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27" w:rsidRDefault="009F2022" w:rsidP="009F2022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F9325985-378D-4D3C-9B79-F99402107097" style="width:450.75pt;height:532.5pt">
            <v:imagedata r:id="rId10" o:title=""/>
          </v:shape>
        </w:pict>
      </w:r>
    </w:p>
    <w:p w:rsidR="00550427" w:rsidRDefault="00550427">
      <w:pPr>
        <w:rPr>
          <w:noProof/>
        </w:rPr>
        <w:sectPr w:rsidR="00550427" w:rsidSect="009F20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550427" w:rsidRDefault="009F2022"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LIITE I</w:t>
      </w:r>
    </w:p>
    <w:p w:rsidR="00550427" w:rsidRDefault="009F2022">
      <w:pPr>
        <w:jc w:val="center"/>
        <w:rPr>
          <w:noProof/>
        </w:rPr>
      </w:pPr>
      <w:r>
        <w:rPr>
          <w:noProof/>
        </w:rPr>
        <w:t>Eurooppalaisen raja- ja merivartioston pysyvien joukkojen kokoonpano vuosittain ja luokittain XX artiklan mukaisesti</w:t>
      </w:r>
    </w:p>
    <w:p w:rsidR="00550427" w:rsidRDefault="00550427">
      <w:pPr>
        <w:pStyle w:val="ListParagraph"/>
        <w:spacing w:before="0" w:after="0"/>
        <w:jc w:val="left"/>
        <w:rPr>
          <w:noProof/>
          <w:sz w:val="20"/>
          <w:szCs w:val="20"/>
        </w:rPr>
      </w:pPr>
    </w:p>
    <w:tbl>
      <w:tblPr>
        <w:tblpPr w:leftFromText="180" w:rightFromText="180" w:vertAnchor="text" w:horzAnchor="margin" w:tblpY="-6"/>
        <w:tblW w:w="87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756"/>
        <w:gridCol w:w="2138"/>
        <w:gridCol w:w="1777"/>
        <w:gridCol w:w="1830"/>
      </w:tblGrid>
      <w:tr w:rsidR="00550427">
        <w:trPr>
          <w:trHeight w:val="1249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Luokka  Vuosi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427" w:rsidRDefault="009F2022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Luokka 1</w:t>
            </w:r>
            <w:r>
              <w:rPr>
                <w:b/>
                <w:noProof/>
                <w:color w:val="000000"/>
              </w:rPr>
              <w:t xml:space="preserve"> Viraston henkilöstö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Luokka 2</w:t>
            </w:r>
          </w:p>
          <w:p w:rsidR="00550427" w:rsidRDefault="009F2022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Pitkäaikaisesti lähetetty operatiivinen henkilöstö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Luokka 3 </w:t>
            </w:r>
          </w:p>
          <w:p w:rsidR="00550427" w:rsidRDefault="009F2022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Lyhytaikaisesti asetettu operatiivinen henkilöstö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jc w:val="center"/>
              <w:rPr>
                <w:b/>
                <w:i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Eurooppalaisen raja- ja merivartioston pysyvät joukot yhteensä</w:t>
            </w:r>
          </w:p>
        </w:tc>
      </w:tr>
      <w:tr w:rsidR="00550427">
        <w:trPr>
          <w:trHeight w:val="299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427" w:rsidRDefault="009F2022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1 500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1 500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7 000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10 000</w:t>
            </w:r>
          </w:p>
        </w:tc>
      </w:tr>
      <w:tr w:rsidR="00550427">
        <w:trPr>
          <w:trHeight w:val="299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427" w:rsidRDefault="009F2022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2 000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2 000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6 000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10 000</w:t>
            </w:r>
          </w:p>
        </w:tc>
      </w:tr>
      <w:tr w:rsidR="00550427">
        <w:trPr>
          <w:trHeight w:val="299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427" w:rsidRDefault="009F2022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2 000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2 000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6 000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10 000</w:t>
            </w:r>
          </w:p>
        </w:tc>
      </w:tr>
      <w:tr w:rsidR="00550427">
        <w:trPr>
          <w:trHeight w:val="299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427" w:rsidRDefault="009F2022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2 500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2 500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5 000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10 000</w:t>
            </w:r>
          </w:p>
        </w:tc>
      </w:tr>
      <w:tr w:rsidR="00550427">
        <w:trPr>
          <w:trHeight w:val="299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427" w:rsidRDefault="009F2022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2024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2 500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2 500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5 000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10 000</w:t>
            </w:r>
          </w:p>
        </w:tc>
      </w:tr>
      <w:tr w:rsidR="00550427">
        <w:trPr>
          <w:trHeight w:val="299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427" w:rsidRDefault="009F2022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2025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3 000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3 000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4 000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10 000</w:t>
            </w:r>
          </w:p>
        </w:tc>
      </w:tr>
      <w:tr w:rsidR="00550427">
        <w:trPr>
          <w:trHeight w:val="299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427" w:rsidRDefault="009F2022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2026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3 000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3 000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4 000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10 000</w:t>
            </w:r>
          </w:p>
        </w:tc>
      </w:tr>
      <w:tr w:rsidR="00550427">
        <w:trPr>
          <w:trHeight w:val="299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427" w:rsidRDefault="009F2022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2027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3 000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3 000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4 000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427" w:rsidRDefault="009F2022">
            <w:pPr>
              <w:spacing w:line="276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10 000</w:t>
            </w:r>
          </w:p>
        </w:tc>
      </w:tr>
    </w:tbl>
    <w:p w:rsidR="00550427" w:rsidRDefault="00550427">
      <w:pPr>
        <w:spacing w:before="0" w:after="160" w:line="259" w:lineRule="auto"/>
        <w:jc w:val="center"/>
        <w:rPr>
          <w:rFonts w:ascii="Calibri" w:eastAsia="Calibri" w:hAnsi="Calibri"/>
          <w:noProof/>
          <w:sz w:val="22"/>
        </w:rPr>
      </w:pPr>
    </w:p>
    <w:p w:rsidR="00550427" w:rsidRDefault="00550427">
      <w:pPr>
        <w:rPr>
          <w:noProof/>
        </w:rPr>
        <w:sectPr w:rsidR="00550427" w:rsidSect="009F2022">
          <w:footerReference w:type="default" r:id="rId17"/>
          <w:footerReference w:type="first" r:id="rId18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550427" w:rsidRDefault="009F2022">
      <w:pPr>
        <w:pStyle w:val="Annexetitre"/>
        <w:rPr>
          <w:noProof/>
        </w:rPr>
      </w:pPr>
      <w:r>
        <w:rPr>
          <w:noProof/>
        </w:rPr>
        <w:t>LIITE II</w:t>
      </w:r>
    </w:p>
    <w:p w:rsidR="00550427" w:rsidRDefault="009F2022">
      <w:pPr>
        <w:jc w:val="center"/>
        <w:rPr>
          <w:b/>
          <w:noProof/>
        </w:rPr>
      </w:pPr>
      <w:r>
        <w:rPr>
          <w:b/>
          <w:noProof/>
        </w:rPr>
        <w:t xml:space="preserve">Luettelo tehtävistä, joita henkilöstösääntöjen alaisen viraston henkilöstön jäsenet hoitavat eurooppalaisen raja- ja merivartioston pysyvien joukkojen lähetettyinä ryhmien jäseninä ja joiden hoitaminen edellyttää toimeenpanovaltaa </w:t>
      </w:r>
    </w:p>
    <w:p w:rsidR="00550427" w:rsidRDefault="009F2022">
      <w:pPr>
        <w:pStyle w:val="NumPar1"/>
        <w:numPr>
          <w:ilvl w:val="0"/>
          <w:numId w:val="14"/>
        </w:numPr>
        <w:rPr>
          <w:noProof/>
        </w:rPr>
      </w:pPr>
      <w:r>
        <w:rPr>
          <w:noProof/>
        </w:rPr>
        <w:t>Henkilöiden hen</w:t>
      </w:r>
      <w:r>
        <w:rPr>
          <w:noProof/>
        </w:rPr>
        <w:t>kilöllisyyden ja kansalaisuuden todentaminen, mukaan lukien asiaa koskevien EU:n ja kansallisten tietokantojen tarkastelu;</w:t>
      </w:r>
    </w:p>
    <w:p w:rsidR="00550427" w:rsidRDefault="009F2022">
      <w:pPr>
        <w:pStyle w:val="NumPar1"/>
        <w:numPr>
          <w:ilvl w:val="0"/>
          <w:numId w:val="19"/>
        </w:numPr>
        <w:rPr>
          <w:noProof/>
        </w:rPr>
      </w:pPr>
      <w:r>
        <w:rPr>
          <w:noProof/>
        </w:rPr>
        <w:t>maahantuloluvan antaminen rajanylityspaikoilla suoritettavien rajatarkastusten yhteydessä (jos Schengenin rajasäännöstön 6 artiklassa</w:t>
      </w:r>
      <w:r>
        <w:rPr>
          <w:noProof/>
        </w:rPr>
        <w:t xml:space="preserve"> vahvistetut maahantuloedellytykset täyttyvät);</w:t>
      </w:r>
    </w:p>
    <w:p w:rsidR="00550427" w:rsidRDefault="009F2022">
      <w:pPr>
        <w:pStyle w:val="NumPar1"/>
        <w:numPr>
          <w:ilvl w:val="0"/>
          <w:numId w:val="19"/>
        </w:numPr>
        <w:rPr>
          <w:noProof/>
        </w:rPr>
      </w:pPr>
      <w:r>
        <w:rPr>
          <w:noProof/>
        </w:rPr>
        <w:t>pääsyn epääminen rajanylityspaikoilla suoritettavien rajatarkastusten yhteydessä; Schengenin rajasäännöstön 14 artiklan mukaisesti;</w:t>
      </w:r>
    </w:p>
    <w:p w:rsidR="00550427" w:rsidRDefault="009F2022">
      <w:pPr>
        <w:pStyle w:val="NumPar1"/>
        <w:numPr>
          <w:ilvl w:val="0"/>
          <w:numId w:val="19"/>
        </w:numPr>
        <w:rPr>
          <w:noProof/>
        </w:rPr>
      </w:pPr>
      <w:r>
        <w:rPr>
          <w:noProof/>
        </w:rPr>
        <w:t>matkustusasiakirjojen leimaaminen Schengenin rajasäännöstön 11 artiklan muka</w:t>
      </w:r>
      <w:r>
        <w:rPr>
          <w:noProof/>
        </w:rPr>
        <w:t>isesti;</w:t>
      </w:r>
    </w:p>
    <w:p w:rsidR="00550427" w:rsidRDefault="009F2022">
      <w:pPr>
        <w:pStyle w:val="NumPar1"/>
        <w:numPr>
          <w:ilvl w:val="0"/>
          <w:numId w:val="19"/>
        </w:numPr>
        <w:rPr>
          <w:noProof/>
        </w:rPr>
      </w:pPr>
      <w:r>
        <w:rPr>
          <w:noProof/>
        </w:rPr>
        <w:t>viisumin myöntäminen tai epääminen rajalla viisumisäännöstön 35 artiklan mukaisesti ja asiaa koskevien tietojen tallentaminen VIS-järjestelmään;</w:t>
      </w:r>
    </w:p>
    <w:p w:rsidR="00550427" w:rsidRDefault="009F2022">
      <w:pPr>
        <w:pStyle w:val="NumPar1"/>
        <w:numPr>
          <w:ilvl w:val="0"/>
          <w:numId w:val="19"/>
        </w:numPr>
        <w:rPr>
          <w:noProof/>
        </w:rPr>
      </w:pPr>
      <w:r>
        <w:rPr>
          <w:noProof/>
        </w:rPr>
        <w:t>rajojen valvonta, mukaan luettuna partiointi rajanylityspaikkojen välillä tarkoituksena estää luvattoma</w:t>
      </w:r>
      <w:r>
        <w:rPr>
          <w:noProof/>
        </w:rPr>
        <w:t>t rajanylitykset, torjua rajatylittävää rikollisuutta ja toteuttaa rajan laittomasti ylittäneisiin henkilöihin kohdistuvia toimenpiteitä, mukaan lukien pysäyttäminen/kiinniotto;</w:t>
      </w:r>
    </w:p>
    <w:p w:rsidR="00550427" w:rsidRDefault="009F2022">
      <w:pPr>
        <w:pStyle w:val="NumPar1"/>
        <w:numPr>
          <w:ilvl w:val="0"/>
          <w:numId w:val="19"/>
        </w:numPr>
        <w:rPr>
          <w:noProof/>
        </w:rPr>
      </w:pPr>
      <w:r>
        <w:rPr>
          <w:noProof/>
        </w:rPr>
        <w:t>ulkorajan laittoman ylittämisen yhteydessä kiinniotettujen henkilöiden sormenj</w:t>
      </w:r>
      <w:r>
        <w:rPr>
          <w:noProof/>
        </w:rPr>
        <w:t>älkien tallentaminen Eurodac-järjestelmään (tunnus 2) Eurodac-asetuksen III luvun mukaisesti;</w:t>
      </w:r>
    </w:p>
    <w:p w:rsidR="00550427" w:rsidRDefault="009F2022">
      <w:pPr>
        <w:pStyle w:val="NumPar1"/>
        <w:numPr>
          <w:ilvl w:val="0"/>
          <w:numId w:val="19"/>
        </w:numPr>
        <w:rPr>
          <w:noProof/>
        </w:rPr>
      </w:pPr>
      <w:r>
        <w:rPr>
          <w:noProof/>
        </w:rPr>
        <w:t>yhteistyö kolmansien maiden kanssa, jotta voidaan tunnistaa kolmansien maiden kansalaiset, jotka ovat palauttamismenettelyjen kohteena, ja hankkia heille matkustu</w:t>
      </w:r>
      <w:r>
        <w:rPr>
          <w:noProof/>
        </w:rPr>
        <w:t>sasiakirjat;</w:t>
      </w:r>
    </w:p>
    <w:p w:rsidR="00550427" w:rsidRDefault="009F2022">
      <w:pPr>
        <w:pStyle w:val="NumPar1"/>
        <w:numPr>
          <w:ilvl w:val="0"/>
          <w:numId w:val="19"/>
        </w:numPr>
        <w:rPr>
          <w:noProof/>
        </w:rPr>
      </w:pPr>
      <w:r>
        <w:rPr>
          <w:noProof/>
        </w:rPr>
        <w:t>pakkotoimin tapahtuvan palauttamisen kohteena olevien kolmansien maiden kansalaisten saattaminen.</w:t>
      </w:r>
    </w:p>
    <w:p w:rsidR="00550427" w:rsidRDefault="00550427">
      <w:pPr>
        <w:rPr>
          <w:noProof/>
        </w:rPr>
      </w:pPr>
    </w:p>
    <w:p w:rsidR="00550427" w:rsidRDefault="00550427">
      <w:pPr>
        <w:rPr>
          <w:noProof/>
        </w:rPr>
        <w:sectPr w:rsidR="00550427" w:rsidSect="009F2022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550427" w:rsidRDefault="009F2022">
      <w:pPr>
        <w:pStyle w:val="Annexetitre"/>
        <w:rPr>
          <w:noProof/>
        </w:rPr>
      </w:pPr>
      <w:r>
        <w:rPr>
          <w:noProof/>
        </w:rPr>
        <w:t>LIITE III</w:t>
      </w:r>
    </w:p>
    <w:p w:rsidR="00550427" w:rsidRDefault="009F2022">
      <w:pPr>
        <w:spacing w:before="0" w:after="160" w:line="259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</w:rPr>
        <w:t>Taulukko vuotuisista osuuksista – jäsenvaltioiden eurooppalaisen raja- ja merivartioston pysyviin joukkoihin 57 ar</w:t>
      </w:r>
      <w:r>
        <w:rPr>
          <w:b/>
          <w:noProof/>
        </w:rPr>
        <w:t>tiklan mukaisesti pitkäaikaisesti lähettämä operatiivinen henkilöstö</w:t>
      </w:r>
    </w:p>
    <w:p w:rsidR="00550427" w:rsidRDefault="00550427">
      <w:pPr>
        <w:spacing w:before="0" w:after="160" w:line="259" w:lineRule="auto"/>
        <w:rPr>
          <w:rFonts w:ascii="Calibri" w:eastAsia="Calibri" w:hAnsi="Calibri"/>
          <w:b/>
          <w:i/>
          <w:noProof/>
          <w:sz w:val="22"/>
        </w:rPr>
      </w:pPr>
    </w:p>
    <w:tbl>
      <w:tblPr>
        <w:tblW w:w="8821" w:type="dxa"/>
        <w:tblLook w:val="04A0" w:firstRow="1" w:lastRow="0" w:firstColumn="1" w:lastColumn="0" w:noHBand="0" w:noVBand="1"/>
      </w:tblPr>
      <w:tblGrid>
        <w:gridCol w:w="1732"/>
        <w:gridCol w:w="932"/>
        <w:gridCol w:w="891"/>
        <w:gridCol w:w="836"/>
        <w:gridCol w:w="836"/>
        <w:gridCol w:w="932"/>
        <w:gridCol w:w="932"/>
        <w:gridCol w:w="932"/>
        <w:gridCol w:w="798"/>
      </w:tblGrid>
      <w:tr w:rsidR="00550427">
        <w:trPr>
          <w:trHeight w:val="317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Maa/vuosi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2027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Belgia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60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Bulgaria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80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80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80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Tšekki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40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Tanska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39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58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Saksa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225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298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298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377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377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450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450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Viro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36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Kreikka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83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83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100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Espanja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111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148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148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185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185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222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222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222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Ranska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170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225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225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285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285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340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340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Kroatia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87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87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108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108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130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130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Italia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125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167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167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208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208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250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250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Kypros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16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Latvia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60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Liettua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78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78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78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Luxemburg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16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Unkari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87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87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108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108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130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130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Malta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12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Alankomaat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83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83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100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Itävalta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68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Puola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133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133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167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167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200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Portugali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78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78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94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94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94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Romania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75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125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125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150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150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Slovenia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70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70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70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Slovakia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70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70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70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Suomi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60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Ruotsi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34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[Sveitsi]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32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[Islanti]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[Liechtenstein]*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[Norja]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40</w:t>
            </w:r>
          </w:p>
        </w:tc>
      </w:tr>
      <w:tr w:rsidR="0055042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YHTEENSÄ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</w:rPr>
              <w:t>1 500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</w:rPr>
              <w:t>2 000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</w:rPr>
              <w:t>2 000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</w:rPr>
              <w:t>2 500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</w:rPr>
              <w:t>2 500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</w:rPr>
              <w:t>3 000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</w:rPr>
              <w:t>3 000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427" w:rsidRDefault="009F2022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</w:rPr>
              <w:t>3 000</w:t>
            </w:r>
          </w:p>
        </w:tc>
      </w:tr>
    </w:tbl>
    <w:p w:rsidR="00550427" w:rsidRDefault="009F2022">
      <w:pPr>
        <w:spacing w:before="0" w:after="160" w:line="259" w:lineRule="auto"/>
        <w:jc w:val="left"/>
        <w:rPr>
          <w:rFonts w:eastAsia="Times New Roman"/>
          <w:noProof/>
          <w:szCs w:val="24"/>
        </w:rPr>
      </w:pPr>
      <w:r>
        <w:rPr>
          <w:noProof/>
        </w:rPr>
        <w:t xml:space="preserve">* Liechtenstein osallistuu toimintaan suhteutetulla </w:t>
      </w:r>
      <w:r>
        <w:rPr>
          <w:noProof/>
        </w:rPr>
        <w:t>taloudellisella tuella.</w:t>
      </w:r>
    </w:p>
    <w:p w:rsidR="00550427" w:rsidRDefault="00550427">
      <w:pPr>
        <w:rPr>
          <w:noProof/>
        </w:rPr>
        <w:sectPr w:rsidR="00550427" w:rsidSect="009F2022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550427" w:rsidRDefault="009F2022">
      <w:pPr>
        <w:pStyle w:val="Annexetitre"/>
        <w:rPr>
          <w:noProof/>
        </w:rPr>
      </w:pPr>
      <w:r>
        <w:rPr>
          <w:noProof/>
        </w:rPr>
        <w:t>LIITE IV</w:t>
      </w:r>
    </w:p>
    <w:p w:rsidR="00550427" w:rsidRDefault="009F2022">
      <w:pPr>
        <w:spacing w:before="0" w:after="160" w:line="259" w:lineRule="auto"/>
        <w:jc w:val="center"/>
        <w:rPr>
          <w:rFonts w:eastAsia="Calibri"/>
          <w:noProof/>
          <w:szCs w:val="24"/>
        </w:rPr>
      </w:pPr>
      <w:r>
        <w:rPr>
          <w:b/>
          <w:noProof/>
        </w:rPr>
        <w:t>Vuotuiset osuudet – jäsenvaltioiden eurooppalaisen raja- ja merivartioston pysyviin joukkoihin 58 artiklan mukaisesti lyhytaikaisesti asettama operatiivinen henkilöstö</w:t>
      </w:r>
    </w:p>
    <w:p w:rsidR="00550427" w:rsidRDefault="00550427">
      <w:pPr>
        <w:spacing w:before="0" w:after="160" w:line="259" w:lineRule="auto"/>
        <w:jc w:val="center"/>
        <w:rPr>
          <w:rFonts w:ascii="Calibri" w:eastAsia="Calibri" w:hAnsi="Calibri"/>
          <w:noProof/>
          <w:sz w:val="22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52"/>
        <w:gridCol w:w="960"/>
        <w:gridCol w:w="883"/>
        <w:gridCol w:w="850"/>
        <w:gridCol w:w="992"/>
        <w:gridCol w:w="851"/>
        <w:gridCol w:w="992"/>
        <w:gridCol w:w="711"/>
      </w:tblGrid>
      <w:tr w:rsidR="00550427">
        <w:trPr>
          <w:trHeight w:val="601"/>
          <w:jc w:val="center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  <w:hideMark/>
          </w:tcPr>
          <w:p w:rsidR="00550427" w:rsidRDefault="009F2022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Maa/vuosi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  <w:hideMark/>
          </w:tcPr>
          <w:p w:rsidR="00550427" w:rsidRDefault="009F2022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2020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550427" w:rsidRDefault="009F2022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  <w:hideMark/>
          </w:tcPr>
          <w:p w:rsidR="00550427" w:rsidRDefault="009F2022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550427" w:rsidRDefault="009F2022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550427" w:rsidRDefault="009F2022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550427" w:rsidRDefault="009F2022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550427" w:rsidRDefault="009F2022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550427" w:rsidRDefault="009F2022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2027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Belgia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120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80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Bulgaria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160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107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Tšekki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53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Tanska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116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77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Saksa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1 052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748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748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602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602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602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Viro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72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48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Kreikka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133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Espanja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444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296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Ranska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795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680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680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455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Kroatia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260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173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Italia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333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Kypros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21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Latvia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120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80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Liettua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156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104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Luxemburg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21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Unkari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260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173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Malta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16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Alankomaat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133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Itävalta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136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91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Puola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267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Portugali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188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125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Romania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200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Slovenia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140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93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Slovakia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140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93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Suomi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120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80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Ruotsi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68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45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[Sveitsi]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64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43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[Islanti]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[Liechtenstein]*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[Norja]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53</w:t>
            </w:r>
          </w:p>
        </w:tc>
      </w:tr>
      <w:tr w:rsidR="0055042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YHTEENSÄ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7 000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6 000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6 000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5 000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5 000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4 000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4 000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0427" w:rsidRDefault="009F2022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4 000</w:t>
            </w:r>
          </w:p>
        </w:tc>
      </w:tr>
    </w:tbl>
    <w:p w:rsidR="00550427" w:rsidRDefault="009F2022"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>(*) Liechtenstein osallistuu toimintaan suhteutetulla taloudellisella tuella.</w:t>
      </w:r>
    </w:p>
    <w:p w:rsidR="00550427" w:rsidRDefault="00550427">
      <w:pPr>
        <w:rPr>
          <w:noProof/>
        </w:rPr>
        <w:sectPr w:rsidR="00550427" w:rsidSect="009F2022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550427" w:rsidRDefault="009F2022">
      <w:pPr>
        <w:pStyle w:val="Annexetitre"/>
        <w:rPr>
          <w:noProof/>
        </w:rPr>
      </w:pPr>
      <w:r>
        <w:rPr>
          <w:noProof/>
        </w:rPr>
        <w:t>LIITE V</w:t>
      </w:r>
    </w:p>
    <w:p w:rsidR="00550427" w:rsidRDefault="009F2022">
      <w:pPr>
        <w:jc w:val="center"/>
        <w:rPr>
          <w:b/>
          <w:noProof/>
          <w:szCs w:val="24"/>
        </w:rPr>
      </w:pPr>
      <w:r>
        <w:rPr>
          <w:b/>
          <w:noProof/>
        </w:rPr>
        <w:t xml:space="preserve">Säännöt, jotka koskevat voimankäyttöä, mukaan lukien henkilöstösääntöjen alaisen viraston henkilöstön käytössä olevien virka-aseiden ja ei-tappavien tarvikkeiden toimitusta, hallussapitoa ja käyttöä sekä koulutusta niiden </w:t>
      </w:r>
      <w:r>
        <w:rPr>
          <w:b/>
          <w:noProof/>
        </w:rPr>
        <w:t>käyttöön silloin, kun tällainen henkilöstö toimii eurooppalaisen raja- ja merivartioston pysyvistä joukoista lähetettyjen ryhmien jäseninä</w:t>
      </w:r>
    </w:p>
    <w:p w:rsidR="00550427" w:rsidRDefault="009F2022">
      <w:pPr>
        <w:pStyle w:val="Heading1"/>
        <w:numPr>
          <w:ilvl w:val="0"/>
          <w:numId w:val="15"/>
        </w:numPr>
        <w:rPr>
          <w:noProof/>
        </w:rPr>
      </w:pPr>
      <w:r>
        <w:rPr>
          <w:i/>
          <w:noProof/>
        </w:rPr>
        <w:t xml:space="preserve"> </w:t>
      </w:r>
      <w:r>
        <w:rPr>
          <w:noProof/>
        </w:rPr>
        <w:t>Voiman- ja aseiden käyttöä koskevat yleiset periaatteet</w:t>
      </w:r>
    </w:p>
    <w:p w:rsidR="00550427" w:rsidRDefault="009F2022">
      <w:pPr>
        <w:spacing w:before="0"/>
        <w:rPr>
          <w:b/>
          <w:i/>
          <w:noProof/>
          <w:szCs w:val="24"/>
        </w:rPr>
      </w:pPr>
      <w:r>
        <w:rPr>
          <w:noProof/>
        </w:rPr>
        <w:t>Tämän asetuksen soveltamiseksi ’voimankäytöllä’ tarkoitetaan</w:t>
      </w:r>
      <w:r>
        <w:rPr>
          <w:noProof/>
        </w:rPr>
        <w:t xml:space="preserve"> sitä, että henkilöstösääntöjen alainen viraston operatiivinen henkilöstö turvautuu tehtäviään suorittaessaan tai itsepuolustukseksi voimakeinoihin, kuten käsien ja vartalon käyttö sekä erilaisten välineiden, aseiden tai tarvikkeiden ja ampuma-aseiden käyt</w:t>
      </w:r>
      <w:r>
        <w:rPr>
          <w:noProof/>
        </w:rPr>
        <w:t>tö.</w:t>
      </w:r>
    </w:p>
    <w:p w:rsidR="00550427" w:rsidRDefault="009F2022">
      <w:pPr>
        <w:spacing w:before="0"/>
        <w:rPr>
          <w:b/>
          <w:noProof/>
          <w:szCs w:val="24"/>
        </w:rPr>
      </w:pPr>
      <w:r>
        <w:rPr>
          <w:noProof/>
        </w:rPr>
        <w:t>Henkilöstösääntöjen alaisesta viraston operatiivisesta henkilöstöstä lähetettyjen ryhmien jäsenten on noudatettava seuraavassa esitettyjä tarpeellisuus-, suhteellisuus- ja ennalta varautumisen periaatteita (nk. perusperiaatteet).</w:t>
      </w:r>
    </w:p>
    <w:p w:rsidR="00550427" w:rsidRDefault="009F2022">
      <w:pPr>
        <w:spacing w:before="0"/>
        <w:rPr>
          <w:i/>
          <w:noProof/>
          <w:szCs w:val="24"/>
        </w:rPr>
      </w:pPr>
      <w:r>
        <w:rPr>
          <w:i/>
          <w:noProof/>
        </w:rPr>
        <w:t>Tarpeellisuusperiaate</w:t>
      </w:r>
    </w:p>
    <w:p w:rsidR="00550427" w:rsidRDefault="009F2022">
      <w:pPr>
        <w:spacing w:before="0"/>
        <w:rPr>
          <w:noProof/>
          <w:szCs w:val="24"/>
        </w:rPr>
      </w:pPr>
      <w:r>
        <w:rPr>
          <w:noProof/>
        </w:rPr>
        <w:t>Voimankäytön, riippumatta siitä, tapahtuko se suorana fyysisenä kontaktina vai aseiden tai tarvikkeiden käyttönä, on oltava poikkeuksellista ja siihen on turvauduttava ainoastaan silloin, kun se on tarpeen viraston tehtävien suorittamiseksi tai itsepuolust</w:t>
      </w:r>
      <w:r>
        <w:rPr>
          <w:noProof/>
        </w:rPr>
        <w:t>ukseksi. Voimaa saa käyttää vasta viimeisenä keinona sen jälkeen, kun tilannetta on yritetty ratkaista kaikin mahdollisin kohtuullisina pidetyin väkivallattomin keinoin, kuten suostuttelemalla, neuvottelemalla ja sovittelemalla. Voiman- tai pakkokeinojen k</w:t>
      </w:r>
      <w:r>
        <w:rPr>
          <w:noProof/>
        </w:rPr>
        <w:t>äyttö ei saa koskaan olla mielivaltaista eikä loukkaavaa.</w:t>
      </w:r>
    </w:p>
    <w:p w:rsidR="00550427" w:rsidRDefault="009F2022">
      <w:pPr>
        <w:spacing w:before="0"/>
        <w:rPr>
          <w:i/>
          <w:noProof/>
          <w:szCs w:val="24"/>
        </w:rPr>
      </w:pPr>
      <w:r>
        <w:rPr>
          <w:i/>
          <w:noProof/>
        </w:rPr>
        <w:t>Suhteellisuusperiaate</w:t>
      </w:r>
    </w:p>
    <w:p w:rsidR="00550427" w:rsidRDefault="009F2022">
      <w:pPr>
        <w:spacing w:before="0"/>
        <w:rPr>
          <w:i/>
          <w:noProof/>
          <w:szCs w:val="24"/>
        </w:rPr>
      </w:pPr>
      <w:r>
        <w:rPr>
          <w:noProof/>
        </w:rPr>
        <w:t>Jos voiman- tai tuliaseiden käyttöä ei voida välttää, henkilöstösääntöjen alaisen viraston operatiivisen henkilöstön on suhteutettava toimintansa rikoksen vakavuuteen ja toimin</w:t>
      </w:r>
      <w:r>
        <w:rPr>
          <w:noProof/>
        </w:rPr>
        <w:t>nan oikeutettuun tavoitteeseen. Operatiivisten toimien aikana suhteellisuusperiaatteen olisi ohjattava sekä käytettävän voiman laatua (esim. aseiden käytön tarve) että sen määrää. Henkilöstösääntöjen alainen viraston operatiivinen henkilöstö ei saa käyttää</w:t>
      </w:r>
      <w:r>
        <w:rPr>
          <w:noProof/>
        </w:rPr>
        <w:t xml:space="preserve"> enempää voimaa kuin mikä on ehdottoman välttämätöntä oikeutetun lainvalvonnallisen tavoitteen saavuttamiseksi. Jos tuliasetta käytetään, henkilöstösääntöjen alaisen viraston operatiivisen henkilöstön on varmistettava, että siitä aiheutuu mahdollisimman vä</w:t>
      </w:r>
      <w:r>
        <w:rPr>
          <w:noProof/>
        </w:rPr>
        <w:t>hän vammoja ja että vahinkojen määrä minimoidaan. Periaatteen noudattaminen edellyttää, että virasto antaa henkilöstösääntöjen alaiselle henkilöstölleen tarvikkeita ja itsesuojeluvälineitä, jotta se voi tarvittaessa käyttää tarvittavan määrän voimaa.</w:t>
      </w:r>
    </w:p>
    <w:p w:rsidR="00550427" w:rsidRDefault="009F2022">
      <w:pPr>
        <w:spacing w:before="0"/>
        <w:rPr>
          <w:noProof/>
        </w:rPr>
      </w:pPr>
      <w:r>
        <w:rPr>
          <w:i/>
          <w:noProof/>
        </w:rPr>
        <w:t>Ennal</w:t>
      </w:r>
      <w:r>
        <w:rPr>
          <w:i/>
          <w:noProof/>
        </w:rPr>
        <w:t>tavarautumisvelvollisuus</w:t>
      </w:r>
    </w:p>
    <w:p w:rsidR="00550427" w:rsidRDefault="009F2022">
      <w:pPr>
        <w:spacing w:before="0"/>
        <w:rPr>
          <w:noProof/>
          <w:szCs w:val="24"/>
        </w:rPr>
      </w:pPr>
      <w:r>
        <w:rPr>
          <w:noProof/>
        </w:rPr>
        <w:t>Henkilöstösääntöjen alaisen viraston operatiivisen henkilöstön suorittamissa operatiivisissa toimissa on kaikilta osin kunnioitettava ja pyrittävä suojelemaan ihmishenkeä. Vammojen ja vahinkojen riski operaatioiden aikana on minimo</w:t>
      </w:r>
      <w:r>
        <w:rPr>
          <w:noProof/>
        </w:rPr>
        <w:t>itava kaikin mahdollisin keinoin. Tähän velvollisuuteen sisältyy henkilöstösääntöjen alaista viraston operatiivista henkilöstöä koskeva yleinen velvoite varoittaa selkeästi aikeesta käyttää voimaa, paitsi jos tällainen varoitus saattaisi ryhmien jäsenet ai</w:t>
      </w:r>
      <w:r>
        <w:rPr>
          <w:noProof/>
        </w:rPr>
        <w:t>heettomasti vaaraan, aiheuttaisi muille hengenvaaran tai vakavaa haittaa tai olisi selvästi epätarkoituksenmukainen tai tehoton kyseisessä tilanteessa.</w:t>
      </w:r>
    </w:p>
    <w:p w:rsidR="00550427" w:rsidRDefault="009F2022">
      <w:pPr>
        <w:pStyle w:val="Heading1"/>
        <w:numPr>
          <w:ilvl w:val="0"/>
          <w:numId w:val="20"/>
        </w:numPr>
        <w:rPr>
          <w:noProof/>
        </w:rPr>
      </w:pPr>
      <w:r>
        <w:rPr>
          <w:noProof/>
        </w:rPr>
        <w:t>Käytännön säännöt, jotka koskevat voiman-, virka-aseiden, ammusten ja tarvikkeiden käyttöä</w:t>
      </w:r>
    </w:p>
    <w:p w:rsidR="00550427" w:rsidRDefault="009F2022">
      <w:pPr>
        <w:spacing w:before="0"/>
        <w:rPr>
          <w:b/>
          <w:noProof/>
          <w:szCs w:val="24"/>
        </w:rPr>
      </w:pPr>
      <w:r>
        <w:rPr>
          <w:b/>
          <w:noProof/>
        </w:rPr>
        <w:t>Yleiset käytä</w:t>
      </w:r>
      <w:r>
        <w:rPr>
          <w:b/>
          <w:noProof/>
        </w:rPr>
        <w:t>nnön säännöt, jotka koskevat voiman, aseiden ja muiden varusteiden käyttöä</w:t>
      </w:r>
    </w:p>
    <w:p w:rsidR="00550427" w:rsidRDefault="009F2022">
      <w:pPr>
        <w:spacing w:before="0"/>
        <w:rPr>
          <w:noProof/>
          <w:szCs w:val="24"/>
        </w:rPr>
      </w:pPr>
      <w:r>
        <w:rPr>
          <w:noProof/>
        </w:rPr>
        <w:t>Asetuksen 83 artiklan 3 kohdan mukaisesti henkilöstösääntöjen alainen viraston operatiivinen henkilöstö käyttää toimeenpanovaltaansa, mukaan lukien voimankäyttö, vastaanottavan jäse</w:t>
      </w:r>
      <w:r>
        <w:rPr>
          <w:noProof/>
        </w:rPr>
        <w:t>nvaltion määräysvallassa ja valvonnassa, ja se saa käyttää voimaa, mukaan lukien aseiden, ammusten ja tarvikkeiden käyttö, vasta saatuaan siihen luvan vastaanottavan jäsenvaltion toimivaltaisilta viranomaisilta sekä vastaanottavan jäsenvaltion rajavartijoi</w:t>
      </w:r>
      <w:r>
        <w:rPr>
          <w:noProof/>
        </w:rPr>
        <w:t>den läsnä ollessa. Vastaanottavan jäsenvaltion toimivaltaiset viranomaiset voivat kuitenkin viraston suostumuksella sallia henkilöstösääntöjen alaisen viraston operatiivisen henkilöstön voimankäytön, vaikka vastaanottavan jäsenvaltion rajavartijoita ei oli</w:t>
      </w:r>
      <w:r>
        <w:rPr>
          <w:noProof/>
        </w:rPr>
        <w:t>si paikalla.</w:t>
      </w:r>
    </w:p>
    <w:p w:rsidR="00550427" w:rsidRDefault="009F2022">
      <w:pPr>
        <w:spacing w:before="0"/>
        <w:rPr>
          <w:noProof/>
          <w:szCs w:val="24"/>
        </w:rPr>
      </w:pPr>
      <w:r>
        <w:rPr>
          <w:noProof/>
        </w:rPr>
        <w:t>Henkilöstösääntöjen alaisen viraston operatiivisen henkilöstön on voiman- ja aseiden käytön yhteydessä</w:t>
      </w:r>
    </w:p>
    <w:p w:rsidR="00550427" w:rsidRDefault="009F2022">
      <w:pPr>
        <w:pStyle w:val="Point0letter"/>
        <w:numPr>
          <w:ilvl w:val="1"/>
          <w:numId w:val="16"/>
        </w:numPr>
        <w:rPr>
          <w:noProof/>
        </w:rPr>
      </w:pPr>
      <w:r>
        <w:rPr>
          <w:noProof/>
        </w:rPr>
        <w:t>noudatettava viraston menettelyohjeita</w:t>
      </w:r>
    </w:p>
    <w:p w:rsidR="00550427" w:rsidRDefault="009F2022">
      <w:pPr>
        <w:pStyle w:val="Point0letter"/>
        <w:numPr>
          <w:ilvl w:val="1"/>
          <w:numId w:val="21"/>
        </w:numPr>
        <w:rPr>
          <w:noProof/>
        </w:rPr>
      </w:pPr>
      <w:r>
        <w:rPr>
          <w:noProof/>
        </w:rPr>
        <w:t>kunnioitettava perusoikeuksia, jotka on taattu kansainvälisessä ja unionin oikeudessa, ja erityisesti</w:t>
      </w:r>
      <w:r>
        <w:rPr>
          <w:noProof/>
        </w:rPr>
        <w:t xml:space="preserve"> Euroopan unionin perusoikeuskirjassa, Euroopan ihmisoikeussopimuksessa, lainvalvontaviranomaisten voiman ja tuliaseiden käyttöä koskevissa YK:n perusperiaatteissa (1990) ja YK:n lainvalvontaviranomaisten menettelytapasäännöissä (1979)</w:t>
      </w:r>
    </w:p>
    <w:p w:rsidR="00550427" w:rsidRDefault="009F2022">
      <w:pPr>
        <w:pStyle w:val="Point0letter"/>
        <w:numPr>
          <w:ilvl w:val="1"/>
          <w:numId w:val="21"/>
        </w:numPr>
        <w:rPr>
          <w:noProof/>
        </w:rPr>
      </w:pPr>
      <w:r>
        <w:rPr>
          <w:noProof/>
        </w:rPr>
        <w:t>noudatettava 1 kohda</w:t>
      </w:r>
      <w:r>
        <w:rPr>
          <w:noProof/>
        </w:rPr>
        <w:t>ssa tarkoitettuja perusperiaatteita.</w:t>
      </w:r>
    </w:p>
    <w:p w:rsidR="00550427" w:rsidRDefault="009F2022">
      <w:pPr>
        <w:spacing w:before="0"/>
        <w:rPr>
          <w:noProof/>
          <w:szCs w:val="24"/>
        </w:rPr>
      </w:pPr>
      <w:r>
        <w:rPr>
          <w:b/>
          <w:noProof/>
        </w:rPr>
        <w:t>Erityiset käytännön säännöt, jotka koskevat lainvalvonnassa yleisimmin käytettyjä voimankäytön välineitä (henkilöstösääntöjen alaisen viraston operatiivisen henkilöstön henkilökohtaisia varusteita)</w:t>
      </w:r>
    </w:p>
    <w:p w:rsidR="00550427" w:rsidRDefault="009F2022">
      <w:pPr>
        <w:spacing w:before="0"/>
        <w:rPr>
          <w:noProof/>
          <w:szCs w:val="24"/>
        </w:rPr>
      </w:pPr>
      <w:r>
        <w:rPr>
          <w:noProof/>
        </w:rPr>
        <w:t>Perusperiaatteiden mu</w:t>
      </w:r>
      <w:r>
        <w:rPr>
          <w:noProof/>
        </w:rPr>
        <w:t>kaisesti voimankäyttö on sallittua ainoastaan siinä määrin, mikä on tarpeen lainvalvonnan välittömän tavoitteen saavuttamiseksi, ja vasta sen jälkeen, kun</w:t>
      </w:r>
    </w:p>
    <w:p w:rsidR="00550427" w:rsidRDefault="009F2022">
      <w:pPr>
        <w:spacing w:before="0"/>
        <w:ind w:left="851" w:hanging="284"/>
        <w:rPr>
          <w:noProof/>
          <w:szCs w:val="24"/>
        </w:rPr>
      </w:pPr>
      <w:r>
        <w:rPr>
          <w:noProof/>
        </w:rPr>
        <w:t>-</w:t>
      </w:r>
      <w:r>
        <w:rPr>
          <w:noProof/>
        </w:rPr>
        <w:tab/>
        <w:t>mahdollisesti väkivaltaista välikohtausta on yritetty ratkaista suostuttelemalla, neuvottelemalla j</w:t>
      </w:r>
      <w:r>
        <w:rPr>
          <w:noProof/>
        </w:rPr>
        <w:t>a sovittelemalla siinä kuitenkaan onnistumatta;</w:t>
      </w:r>
    </w:p>
    <w:p w:rsidR="00550427" w:rsidRDefault="009F2022">
      <w:pPr>
        <w:spacing w:before="0"/>
        <w:ind w:left="851" w:hanging="284"/>
        <w:rPr>
          <w:noProof/>
          <w:szCs w:val="24"/>
        </w:rPr>
      </w:pPr>
      <w:r>
        <w:rPr>
          <w:noProof/>
        </w:rPr>
        <w:t>-</w:t>
      </w:r>
      <w:r>
        <w:rPr>
          <w:noProof/>
        </w:rPr>
        <w:tab/>
        <w:t>aikeesta käyttää voimaa on annettu varoitus.</w:t>
      </w:r>
    </w:p>
    <w:p w:rsidR="00550427" w:rsidRDefault="009F2022">
      <w:pPr>
        <w:spacing w:before="0"/>
        <w:rPr>
          <w:noProof/>
          <w:szCs w:val="24"/>
        </w:rPr>
      </w:pPr>
      <w:r>
        <w:rPr>
          <w:noProof/>
        </w:rPr>
        <w:t xml:space="preserve">Jos voimankäyttöä on lisättävä (esimerkiksi ottamalla käyttöön ase tai siirtymällä toisenlaiseen aseeseen), myös voimankäytön lisäämisestä olisi varoitettava </w:t>
      </w:r>
      <w:r>
        <w:rPr>
          <w:noProof/>
        </w:rPr>
        <w:t>selkeästi, paitsi jos tällainen varoitus saattaisi ryhmien jäsenet aiheettomasti vaaraan, aiheuttaisi muille hengenvaaran tai vakavaa haittaa tai olisi selvästi epätarkoituksenmukainen tai tehoton kyseisessä tilanteessa.</w:t>
      </w:r>
    </w:p>
    <w:p w:rsidR="00550427" w:rsidRDefault="009F2022">
      <w:pPr>
        <w:spacing w:before="0"/>
        <w:rPr>
          <w:b/>
          <w:i/>
          <w:noProof/>
          <w:szCs w:val="24"/>
        </w:rPr>
      </w:pPr>
      <w:r>
        <w:rPr>
          <w:b/>
          <w:i/>
          <w:noProof/>
        </w:rPr>
        <w:t>Tuliaseet</w:t>
      </w:r>
    </w:p>
    <w:p w:rsidR="00550427" w:rsidRDefault="009F2022">
      <w:pPr>
        <w:spacing w:before="0"/>
        <w:rPr>
          <w:noProof/>
          <w:szCs w:val="24"/>
        </w:rPr>
      </w:pPr>
      <w:r>
        <w:rPr>
          <w:noProof/>
        </w:rPr>
        <w:t>Henkilöstösääntöjen alain</w:t>
      </w:r>
      <w:r>
        <w:rPr>
          <w:noProof/>
        </w:rPr>
        <w:t>en viraston operatiivinen henkilöstö saa käyttää tuliaseita ihmisiä vastaan ainoastaan seuraavissa tilanteissa ja vain, jos vähemmän äärimmäiset keinot eivät riitä tarpeellisten tavoitteiden saavuttamiseen:</w:t>
      </w:r>
    </w:p>
    <w:p w:rsidR="00550427" w:rsidRDefault="009F2022">
      <w:pPr>
        <w:pStyle w:val="Tiret0"/>
        <w:numPr>
          <w:ilvl w:val="0"/>
          <w:numId w:val="17"/>
        </w:numPr>
        <w:rPr>
          <w:noProof/>
        </w:rPr>
      </w:pPr>
      <w:r>
        <w:rPr>
          <w:noProof/>
        </w:rPr>
        <w:t>henkilöstösääntöjen alainen viraston operatiivine</w:t>
      </w:r>
      <w:r>
        <w:rPr>
          <w:noProof/>
        </w:rPr>
        <w:t>n henkilöstö saa käyttää tuliaseita ainoastaan viimeisenä keinona äärimmäisessä hätätilanteessa, erityisesti silloin, jos on olemassa pienikin riski, että sivulliset joutuvat vaaraan;</w:t>
      </w:r>
    </w:p>
    <w:p w:rsidR="00550427" w:rsidRDefault="009F2022">
      <w:pPr>
        <w:pStyle w:val="Tiret0"/>
        <w:numPr>
          <w:ilvl w:val="0"/>
          <w:numId w:val="18"/>
        </w:numPr>
        <w:rPr>
          <w:noProof/>
        </w:rPr>
      </w:pPr>
      <w:r>
        <w:rPr>
          <w:noProof/>
        </w:rPr>
        <w:t>itsensä tai muiden puolustamiseksi välittömältä hengenvaaralta tai vakav</w:t>
      </w:r>
      <w:r>
        <w:rPr>
          <w:noProof/>
        </w:rPr>
        <w:t>alta vammalta;</w:t>
      </w:r>
    </w:p>
    <w:p w:rsidR="00550427" w:rsidRDefault="009F2022">
      <w:pPr>
        <w:pStyle w:val="Tiret0"/>
        <w:numPr>
          <w:ilvl w:val="0"/>
          <w:numId w:val="18"/>
        </w:numPr>
        <w:rPr>
          <w:noProof/>
        </w:rPr>
      </w:pPr>
      <w:r>
        <w:rPr>
          <w:noProof/>
        </w:rPr>
        <w:t>välittömän hengenvaaran tai vakavan vamman estämiseksi;</w:t>
      </w:r>
    </w:p>
    <w:p w:rsidR="00550427" w:rsidRDefault="009F2022">
      <w:pPr>
        <w:pStyle w:val="Tiret0"/>
        <w:numPr>
          <w:ilvl w:val="0"/>
          <w:numId w:val="18"/>
        </w:numPr>
        <w:rPr>
          <w:noProof/>
        </w:rPr>
      </w:pPr>
      <w:r>
        <w:rPr>
          <w:noProof/>
        </w:rPr>
        <w:t xml:space="preserve">todellisen hyökkäyksen torjumiseksi tai sellaisen uhkaavan vaarallisen hyökkäyksen estämiseksi, jonka kohteena on olennaisia instituutioita, palveluita tai laitoksia. </w:t>
      </w:r>
    </w:p>
    <w:p w:rsidR="00550427" w:rsidRDefault="009F2022">
      <w:pPr>
        <w:spacing w:before="0"/>
        <w:rPr>
          <w:noProof/>
          <w:szCs w:val="24"/>
        </w:rPr>
      </w:pPr>
      <w:r>
        <w:rPr>
          <w:noProof/>
        </w:rPr>
        <w:t>Ennen tuliaseiden</w:t>
      </w:r>
      <w:r>
        <w:rPr>
          <w:noProof/>
        </w:rPr>
        <w:t xml:space="preserve"> käyttöä viraston henkilöstösääntöjen alaisen operatiivisen henkilöstön on annettava selkeä varoitus aikeesta käyttää tällaisia aseita. Varoitus voidaan antaa sanallisesti tai ampumalla varoituslaukauksia.</w:t>
      </w:r>
    </w:p>
    <w:p w:rsidR="00550427" w:rsidRDefault="009F2022">
      <w:pPr>
        <w:spacing w:before="0"/>
        <w:rPr>
          <w:b/>
          <w:i/>
          <w:noProof/>
          <w:szCs w:val="24"/>
        </w:rPr>
      </w:pPr>
      <w:r>
        <w:rPr>
          <w:b/>
          <w:i/>
          <w:noProof/>
        </w:rPr>
        <w:t>Ei-tappavat aseet</w:t>
      </w:r>
    </w:p>
    <w:p w:rsidR="00550427" w:rsidRDefault="009F2022">
      <w:pPr>
        <w:spacing w:before="0"/>
        <w:rPr>
          <w:noProof/>
          <w:szCs w:val="24"/>
          <w:u w:val="single"/>
        </w:rPr>
      </w:pPr>
      <w:r>
        <w:rPr>
          <w:noProof/>
          <w:u w:val="single"/>
        </w:rPr>
        <w:t>Pamppu</w:t>
      </w:r>
    </w:p>
    <w:p w:rsidR="00550427" w:rsidRDefault="009F2022">
      <w:pPr>
        <w:spacing w:before="0"/>
        <w:rPr>
          <w:noProof/>
          <w:szCs w:val="24"/>
        </w:rPr>
      </w:pPr>
      <w:r>
        <w:rPr>
          <w:noProof/>
        </w:rPr>
        <w:t>Hyväksyttyjä pamppuja saa</w:t>
      </w:r>
      <w:r>
        <w:rPr>
          <w:noProof/>
        </w:rPr>
        <w:t xml:space="preserve"> käyttää ensisijaisena puolustautumisvälineenä tai tarvittaessa aseena seuraavien perusperiaatteiden mukaisesti:</w:t>
      </w:r>
    </w:p>
    <w:p w:rsidR="00550427" w:rsidRDefault="009F2022">
      <w:pPr>
        <w:pStyle w:val="Tiret0"/>
        <w:numPr>
          <w:ilvl w:val="0"/>
          <w:numId w:val="18"/>
        </w:numPr>
        <w:rPr>
          <w:noProof/>
        </w:rPr>
      </w:pPr>
      <w:r>
        <w:rPr>
          <w:noProof/>
        </w:rPr>
        <w:t>jos katsotaan, että vähäisempi voimankäyttö ei selvästikään riitä tavoitteen saavuttamiseksi;</w:t>
      </w:r>
    </w:p>
    <w:p w:rsidR="00550427" w:rsidRDefault="009F2022">
      <w:pPr>
        <w:pStyle w:val="Tiret0"/>
        <w:numPr>
          <w:ilvl w:val="0"/>
          <w:numId w:val="18"/>
        </w:numPr>
        <w:rPr>
          <w:noProof/>
        </w:rPr>
      </w:pPr>
      <w:r>
        <w:rPr>
          <w:noProof/>
        </w:rPr>
        <w:t>todellisen tai uhkaavan, omaisuutta koskevan hyök</w:t>
      </w:r>
      <w:r>
        <w:rPr>
          <w:noProof/>
        </w:rPr>
        <w:t>käyksen torjumiseksi.</w:t>
      </w:r>
    </w:p>
    <w:p w:rsidR="00550427" w:rsidRDefault="009F2022">
      <w:pPr>
        <w:spacing w:before="0"/>
        <w:rPr>
          <w:noProof/>
          <w:szCs w:val="24"/>
        </w:rPr>
      </w:pPr>
      <w:r>
        <w:rPr>
          <w:noProof/>
        </w:rPr>
        <w:t>Ennen pamppujen käyttöä viraston henkilöstösääntöjen alaisen operatiivisen henkilöstön on annettava selkeä varoitus aikeesta käyttää pamppuja. Pamppuja käyttäessään lähetetyn operatiivisen henkilöstön on aina pyrittävä minimoimaan vam</w:t>
      </w:r>
      <w:r>
        <w:rPr>
          <w:noProof/>
        </w:rPr>
        <w:t>mojen syntymisen riski ja vältettävä päähän osumista.</w:t>
      </w:r>
    </w:p>
    <w:p w:rsidR="00550427" w:rsidRDefault="009F2022">
      <w:pPr>
        <w:spacing w:before="0"/>
        <w:rPr>
          <w:noProof/>
          <w:szCs w:val="24"/>
          <w:u w:val="single"/>
        </w:rPr>
      </w:pPr>
      <w:r>
        <w:rPr>
          <w:noProof/>
          <w:u w:val="single"/>
        </w:rPr>
        <w:t>Kyynelehtimistä aiheuttavat aineet (esim. pippurisumute)</w:t>
      </w:r>
    </w:p>
    <w:p w:rsidR="00550427" w:rsidRDefault="009F2022">
      <w:pPr>
        <w:spacing w:before="0"/>
        <w:rPr>
          <w:noProof/>
          <w:szCs w:val="24"/>
        </w:rPr>
      </w:pPr>
      <w:r>
        <w:rPr>
          <w:noProof/>
        </w:rPr>
        <w:t>Hyväksyttyjä kyynelehtimistä aiheuttavia aineita saa käyttää puolustautumisvälineenä tai tarvittaessa aseena seuraavien perusperiaatteiden mukais</w:t>
      </w:r>
      <w:r>
        <w:rPr>
          <w:noProof/>
        </w:rPr>
        <w:t>esti:</w:t>
      </w:r>
    </w:p>
    <w:p w:rsidR="00550427" w:rsidRDefault="009F2022">
      <w:pPr>
        <w:pStyle w:val="Tiret0"/>
        <w:numPr>
          <w:ilvl w:val="0"/>
          <w:numId w:val="18"/>
        </w:numPr>
        <w:rPr>
          <w:noProof/>
        </w:rPr>
      </w:pPr>
      <w:r>
        <w:rPr>
          <w:noProof/>
        </w:rPr>
        <w:t>jos katsotaan, että vähäisempi voimankäyttö ei selvästikään riitä tavoitteen saavuttamiseksi;</w:t>
      </w:r>
    </w:p>
    <w:p w:rsidR="00550427" w:rsidRDefault="009F2022">
      <w:pPr>
        <w:pStyle w:val="Tiret0"/>
        <w:numPr>
          <w:ilvl w:val="0"/>
          <w:numId w:val="18"/>
        </w:numPr>
        <w:rPr>
          <w:noProof/>
        </w:rPr>
      </w:pPr>
      <w:r>
        <w:rPr>
          <w:noProof/>
        </w:rPr>
        <w:t xml:space="preserve">todellisen tai uhkaavan hyökkäyksen torjumiseksi. </w:t>
      </w:r>
    </w:p>
    <w:p w:rsidR="00550427" w:rsidRDefault="009F2022">
      <w:pPr>
        <w:spacing w:before="0"/>
        <w:rPr>
          <w:b/>
          <w:i/>
          <w:noProof/>
          <w:szCs w:val="24"/>
        </w:rPr>
      </w:pPr>
      <w:r>
        <w:rPr>
          <w:b/>
          <w:i/>
          <w:noProof/>
        </w:rPr>
        <w:t>Muut varusteet</w:t>
      </w:r>
    </w:p>
    <w:p w:rsidR="00550427" w:rsidRDefault="009F2022">
      <w:pPr>
        <w:spacing w:before="0"/>
        <w:rPr>
          <w:noProof/>
          <w:szCs w:val="24"/>
          <w:u w:val="single"/>
        </w:rPr>
      </w:pPr>
      <w:r>
        <w:rPr>
          <w:noProof/>
          <w:u w:val="single"/>
        </w:rPr>
        <w:t>Käsiraudat</w:t>
      </w:r>
    </w:p>
    <w:p w:rsidR="00550427" w:rsidRDefault="009F2022">
      <w:pPr>
        <w:pStyle w:val="Tiret0"/>
        <w:numPr>
          <w:ilvl w:val="0"/>
          <w:numId w:val="18"/>
        </w:numPr>
        <w:rPr>
          <w:noProof/>
        </w:rPr>
      </w:pPr>
      <w:r>
        <w:rPr>
          <w:noProof/>
        </w:rPr>
        <w:t>Käsiraudoilla voidaan kahlita ainoastaan henkilö, jonka katsotaan olevan vaarak</w:t>
      </w:r>
      <w:r>
        <w:rPr>
          <w:noProof/>
        </w:rPr>
        <w:t>si itselleen tai muille, turvallisen pidätyksen tai kuljetuksen sekä henkilöstösääntöjen alaisen viraston operatiivisen henkilöstön ja muiden ryhmän jäsenten turvallisuuden varmistamiseksi.</w:t>
      </w:r>
    </w:p>
    <w:p w:rsidR="00550427" w:rsidRDefault="00550427">
      <w:pPr>
        <w:pStyle w:val="ListParagraph"/>
        <w:spacing w:before="0"/>
        <w:rPr>
          <w:noProof/>
          <w:szCs w:val="24"/>
        </w:rPr>
      </w:pPr>
    </w:p>
    <w:p w:rsidR="00550427" w:rsidRDefault="009F2022">
      <w:pPr>
        <w:pStyle w:val="Heading1"/>
        <w:numPr>
          <w:ilvl w:val="0"/>
          <w:numId w:val="20"/>
        </w:numPr>
        <w:rPr>
          <w:noProof/>
        </w:rPr>
      </w:pPr>
      <w:r>
        <w:rPr>
          <w:noProof/>
        </w:rPr>
        <w:t>Valvontamekanismi</w:t>
      </w:r>
    </w:p>
    <w:p w:rsidR="00550427" w:rsidRDefault="009F2022">
      <w:pPr>
        <w:spacing w:before="0"/>
        <w:rPr>
          <w:noProof/>
          <w:szCs w:val="24"/>
        </w:rPr>
      </w:pPr>
      <w:r>
        <w:rPr>
          <w:noProof/>
        </w:rPr>
        <w:t>Virasto tarjoaa seuraavat suojatoimet, jotka li</w:t>
      </w:r>
      <w:r>
        <w:rPr>
          <w:noProof/>
        </w:rPr>
        <w:t xml:space="preserve">ittyvät voiman, aseiden, ammusten ja tarvikkeiden käyttöön, ja käsittelee asiaa vuosikertomuksessaan. </w:t>
      </w:r>
    </w:p>
    <w:p w:rsidR="00550427" w:rsidRDefault="009F2022">
      <w:pPr>
        <w:spacing w:before="0"/>
        <w:rPr>
          <w:b/>
          <w:noProof/>
          <w:szCs w:val="24"/>
        </w:rPr>
      </w:pPr>
      <w:r>
        <w:rPr>
          <w:b/>
          <w:noProof/>
        </w:rPr>
        <w:t>Koulutus</w:t>
      </w:r>
    </w:p>
    <w:p w:rsidR="00550427" w:rsidRDefault="009F2022">
      <w:pPr>
        <w:pStyle w:val="ListParagraph"/>
        <w:spacing w:before="0"/>
        <w:ind w:left="0"/>
        <w:rPr>
          <w:noProof/>
          <w:szCs w:val="24"/>
        </w:rPr>
      </w:pPr>
      <w:r>
        <w:rPr>
          <w:noProof/>
        </w:rPr>
        <w:t xml:space="preserve">Asetuksen 62 artiklan 2 kohdan mukaisesti tarjottavan koulutuksen on katettava ennaltaehkäisyyn ja voimankäyttöön liittyvät teoreettiset ja </w:t>
      </w:r>
      <w:r>
        <w:rPr>
          <w:noProof/>
        </w:rPr>
        <w:t>käytännölliset näkökohdat. Teoreettiseen koulutukseen on sisällyttävä psykologista koulutusta (myös palautumiskyvystä ja paineen alla työskentelystä) sekä tekniikoita, joilla ehkäistään voimankäyttöä esimerkiksi neuvottelemalla ja sovittelemalla. Teoreetti</w:t>
      </w:r>
      <w:r>
        <w:rPr>
          <w:noProof/>
        </w:rPr>
        <w:t>sen koulutuksen jälkeen on järjestettävä pakollinen ja tarkoituksenmukainen teoreettinen ja käytännön koulutus voiman-, aseiden, ammusten ja varusteiden käytöstä. Jotta varmistetaan yhteisymmärrys käytännön toimintatavoista, käytännön koulutuksen päätteeks</w:t>
      </w:r>
      <w:r>
        <w:rPr>
          <w:noProof/>
        </w:rPr>
        <w:t>i järjestetään lähettämisen aikana suoritettavien toimien kannalta tarkoituksenmukainen simulaatio.</w:t>
      </w:r>
    </w:p>
    <w:p w:rsidR="00550427" w:rsidRDefault="00550427">
      <w:pPr>
        <w:pStyle w:val="ListParagraph"/>
        <w:tabs>
          <w:tab w:val="left" w:pos="5400"/>
        </w:tabs>
        <w:spacing w:before="0"/>
        <w:rPr>
          <w:b/>
          <w:noProof/>
          <w:szCs w:val="24"/>
        </w:rPr>
      </w:pPr>
    </w:p>
    <w:p w:rsidR="00550427" w:rsidRDefault="009F2022">
      <w:pPr>
        <w:tabs>
          <w:tab w:val="left" w:pos="5400"/>
        </w:tabs>
        <w:spacing w:before="0"/>
        <w:rPr>
          <w:b/>
          <w:noProof/>
          <w:szCs w:val="24"/>
        </w:rPr>
      </w:pPr>
      <w:r>
        <w:rPr>
          <w:b/>
          <w:noProof/>
        </w:rPr>
        <w:t>Huumaavien aineiden, lääkkeiden ja alkoholin käyttö</w:t>
      </w:r>
    </w:p>
    <w:p w:rsidR="00550427" w:rsidRDefault="009F2022">
      <w:pPr>
        <w:spacing w:before="0"/>
        <w:rPr>
          <w:noProof/>
          <w:szCs w:val="24"/>
        </w:rPr>
      </w:pPr>
      <w:r>
        <w:rPr>
          <w:noProof/>
        </w:rPr>
        <w:t>Henkilöstösääntöjen alainen viraston operatiivinen henkilöstö ei saa käyttää alkoholia palveluksessa ol</w:t>
      </w:r>
      <w:r>
        <w:rPr>
          <w:noProof/>
        </w:rPr>
        <w:t xml:space="preserve">lessaan eikä kohtuullisen ajanjakson aikana ennen palveluksen aloittamista. </w:t>
      </w:r>
    </w:p>
    <w:p w:rsidR="00550427" w:rsidRDefault="009F2022">
      <w:pPr>
        <w:spacing w:before="0"/>
        <w:rPr>
          <w:noProof/>
          <w:szCs w:val="24"/>
        </w:rPr>
      </w:pPr>
      <w:r>
        <w:rPr>
          <w:noProof/>
        </w:rPr>
        <w:t>Heillä ei saa olla hallussaan huumaavia aineita tai lääkkeitä, ellei niitä ole määrätty lääketieteellisistä syistä. Henkilöstön jäsenten, jotka tarvitsevat lääkkeitä lääketieteell</w:t>
      </w:r>
      <w:r>
        <w:rPr>
          <w:noProof/>
        </w:rPr>
        <w:t>isistä syistä, on ilmoitettava tarpeesta välittömästi lähimmälle esimiehelleen. Osallistuminen operatiivisiin toimiin saatetaan arvioida uudestaan ottaen huomioon kyseisen aineen käyttöön liittyvät mahdolliset vaikutukset ja sivuvaikutukset.</w:t>
      </w:r>
    </w:p>
    <w:p w:rsidR="00550427" w:rsidRDefault="009F2022">
      <w:pPr>
        <w:spacing w:before="0"/>
        <w:rPr>
          <w:noProof/>
          <w:szCs w:val="24"/>
        </w:rPr>
      </w:pPr>
      <w:r>
        <w:rPr>
          <w:noProof/>
        </w:rPr>
        <w:t>Virasto vahvis</w:t>
      </w:r>
      <w:r>
        <w:rPr>
          <w:noProof/>
        </w:rPr>
        <w:t>taa valvontamekanismin varmistaakseen, että huumaavien aineiden, lääkkeiden tai alkoholin käyttö ei vaikuta sen henkilöstösääntöjen alaisen operatiivisen henkilöstön tehtävien hoitamiseen. Mekanismi perustuu henkilöstölle säännöllisesti tehtäviin testeihin</w:t>
      </w:r>
      <w:r>
        <w:rPr>
          <w:noProof/>
        </w:rPr>
        <w:t>, joissa tarkkaillaan mahdollista huumaavien aineiden, lääkkeiden tai alkoholin käyttöä. Testeissä ilmenevästä positiivisesta tuloksesta on ilmoitettava välittömästi viraston pääjohtajalle.</w:t>
      </w:r>
    </w:p>
    <w:p w:rsidR="00550427" w:rsidRDefault="009F2022">
      <w:pPr>
        <w:spacing w:before="0"/>
        <w:rPr>
          <w:b/>
          <w:noProof/>
          <w:szCs w:val="24"/>
        </w:rPr>
      </w:pPr>
      <w:r>
        <w:rPr>
          <w:b/>
          <w:noProof/>
        </w:rPr>
        <w:t>Raportointi</w:t>
      </w:r>
    </w:p>
    <w:p w:rsidR="00550427" w:rsidRDefault="009F2022">
      <w:pPr>
        <w:spacing w:before="0"/>
        <w:rPr>
          <w:noProof/>
          <w:color w:val="4F6228" w:themeColor="accent3" w:themeShade="80"/>
        </w:rPr>
      </w:pPr>
      <w:r>
        <w:rPr>
          <w:noProof/>
        </w:rPr>
        <w:t xml:space="preserve">Kaikista välikohtauksista, joissa on käytetty voimaa, </w:t>
      </w:r>
      <w:r>
        <w:rPr>
          <w:noProof/>
        </w:rPr>
        <w:t xml:space="preserve">on ilmoitettava komentoketjun kautta välittömästi kunkin operaation koordinointirakenteeseen sekä perusoikeusvastaavalle ja viraston pääjohtajalle. Raportissa on kuvattava yksityiskohtaisesti olosuhteet, jotka johtivat voimankäyttöön. </w:t>
      </w:r>
    </w:p>
    <w:p w:rsidR="00550427" w:rsidRDefault="009F2022">
      <w:pPr>
        <w:spacing w:before="0"/>
        <w:rPr>
          <w:b/>
          <w:noProof/>
          <w:szCs w:val="24"/>
        </w:rPr>
      </w:pPr>
      <w:r>
        <w:rPr>
          <w:b/>
          <w:noProof/>
        </w:rPr>
        <w:t>Yhteistyö- ja tiedot</w:t>
      </w:r>
      <w:r>
        <w:rPr>
          <w:b/>
          <w:noProof/>
        </w:rPr>
        <w:t>usvelvollisuus</w:t>
      </w:r>
    </w:p>
    <w:p w:rsidR="00550427" w:rsidRDefault="009F2022">
      <w:pPr>
        <w:spacing w:before="0"/>
        <w:rPr>
          <w:noProof/>
          <w:szCs w:val="24"/>
        </w:rPr>
      </w:pPr>
      <w:r>
        <w:rPr>
          <w:noProof/>
        </w:rPr>
        <w:t>Henkilöstösääntöjen alaisen viraston operatiivisen henkilöstön ja kaikkien muiden operaatioihin osallistuvien henkilöiden on tehtävä yhteistyötä operatiivisen toiminnan yhteydessä ilmoitettua välikohtausta koskevien tosiseikkojen keräämiseks</w:t>
      </w:r>
      <w:r>
        <w:rPr>
          <w:noProof/>
        </w:rPr>
        <w:t xml:space="preserve">i. </w:t>
      </w:r>
    </w:p>
    <w:p w:rsidR="00550427" w:rsidRDefault="009F2022">
      <w:pPr>
        <w:spacing w:before="0"/>
        <w:rPr>
          <w:b/>
          <w:noProof/>
          <w:szCs w:val="24"/>
        </w:rPr>
      </w:pPr>
      <w:r>
        <w:rPr>
          <w:b/>
          <w:noProof/>
        </w:rPr>
        <w:t>Valitusmekanismi</w:t>
      </w:r>
    </w:p>
    <w:p w:rsidR="00550427" w:rsidRDefault="009F2022">
      <w:pPr>
        <w:spacing w:before="0"/>
        <w:rPr>
          <w:noProof/>
          <w:szCs w:val="24"/>
        </w:rPr>
      </w:pPr>
      <w:r>
        <w:rPr>
          <w:noProof/>
        </w:rPr>
        <w:t>Kuka tahansa voi tehdä 107 artiklassa säädetyn valitusmekanismin mukaisen ilmoituksen, jos hän epäilee henkilöstösääntöjen alaisen viraston operatiivisen henkilöstön rikkoneen tämän liitteen mukaisesti sovellettavia voimankäyttöä koske</w:t>
      </w:r>
      <w:r>
        <w:rPr>
          <w:noProof/>
        </w:rPr>
        <w:t>via sääntöjä.</w:t>
      </w:r>
    </w:p>
    <w:p w:rsidR="00550427" w:rsidRDefault="009F2022">
      <w:pPr>
        <w:spacing w:before="0"/>
        <w:rPr>
          <w:b/>
          <w:noProof/>
          <w:szCs w:val="24"/>
        </w:rPr>
      </w:pPr>
      <w:r>
        <w:rPr>
          <w:b/>
          <w:noProof/>
        </w:rPr>
        <w:t>Seuraamukset</w:t>
      </w:r>
    </w:p>
    <w:p w:rsidR="00550427" w:rsidRDefault="009F2022">
      <w:pPr>
        <w:spacing w:before="0"/>
        <w:rPr>
          <w:noProof/>
          <w:szCs w:val="24"/>
        </w:rPr>
      </w:pPr>
      <w:r>
        <w:rPr>
          <w:noProof/>
        </w:rPr>
        <w:t>Jos virasto toteaa, että sen henkilöstösääntöjen alaisen operatiivisen henkilöstön jäsen on toiminnassaan rikkonut tämän asetuksen mukaisesti sovellettavia sääntöjä, mukaan lukien Euroopan unionin perusoikeuskirjassa, Euroopan ih</w:t>
      </w:r>
      <w:r>
        <w:rPr>
          <w:noProof/>
        </w:rPr>
        <w:t>misoikeussopimuksessa ja kansainvälisessä oikeudessa taattuja perusoikeuksia, pääjohtaja toteuttaa asianmukaiset toimenpiteet, joihin saattaa sisältyä asianomaisen henkilöstön jäsenen kutsuminen välittömästi takaisin operatiivisesta toiminnasta, sekä mahdo</w:t>
      </w:r>
      <w:r>
        <w:rPr>
          <w:noProof/>
        </w:rPr>
        <w:t>lliset henkilöstösääntöjen mukaiset kurinpitoseuraamukset, mukaan lukien henkilöstön jäsenen erottaminen virastosta.</w:t>
      </w:r>
    </w:p>
    <w:p w:rsidR="00550427" w:rsidRDefault="009F2022">
      <w:pPr>
        <w:pStyle w:val="ListParagraph"/>
        <w:spacing w:before="0"/>
        <w:ind w:left="0"/>
        <w:rPr>
          <w:b/>
          <w:noProof/>
          <w:szCs w:val="24"/>
        </w:rPr>
      </w:pPr>
      <w:r>
        <w:rPr>
          <w:b/>
          <w:noProof/>
        </w:rPr>
        <w:t>Perusoikeusvastaavan rooli</w:t>
      </w:r>
    </w:p>
    <w:p w:rsidR="00550427" w:rsidRDefault="009F2022">
      <w:pPr>
        <w:spacing w:before="0"/>
        <w:rPr>
          <w:noProof/>
          <w:szCs w:val="24"/>
        </w:rPr>
      </w:pPr>
      <w:r>
        <w:rPr>
          <w:noProof/>
        </w:rPr>
        <w:t>Perusoikeusvastaava tarkistaa perehdyttämis- ja täydennyskoulutuksen sisällön erityisesti perusoikeusnäkökohtien</w:t>
      </w:r>
      <w:r>
        <w:rPr>
          <w:noProof/>
        </w:rPr>
        <w:t xml:space="preserve"> ja niiden tilanteiden kannalta, joissa voimankäyttö on tarpeen, ja antaa niistä palautetta sekä varmistaa, että niissä käsitellään asianmukaisia ennaltaehkäiseviä tekniikoita. </w:t>
      </w:r>
    </w:p>
    <w:p w:rsidR="00550427" w:rsidRDefault="009F2022">
      <w:pPr>
        <w:spacing w:before="0"/>
        <w:rPr>
          <w:noProof/>
          <w:szCs w:val="24"/>
        </w:rPr>
      </w:pPr>
      <w:r>
        <w:rPr>
          <w:noProof/>
        </w:rPr>
        <w:t xml:space="preserve">Perusoikeusvastaava raportoi perusoikeuksien kunnioittamisesta vastaanottavan </w:t>
      </w:r>
      <w:r>
        <w:rPr>
          <w:noProof/>
        </w:rPr>
        <w:t>jäsenvaltion lainvalvontakäytäntöjen yhteydessä. Raportti toimitetaan pääjohtajalle, ja se otetaan huomioon toimintasuunnitelmaa laadittaessa.</w:t>
      </w:r>
    </w:p>
    <w:p w:rsidR="00550427" w:rsidRDefault="009F2022">
      <w:pPr>
        <w:spacing w:before="0"/>
        <w:rPr>
          <w:noProof/>
          <w:szCs w:val="24"/>
        </w:rPr>
      </w:pPr>
      <w:r>
        <w:rPr>
          <w:noProof/>
        </w:rPr>
        <w:t>Perusoikeusvastaava huolehtii siitä, että voimankäyttöön sekä aseiden, ammusten ja tarvikkeiden käyttöön liittyvi</w:t>
      </w:r>
      <w:r>
        <w:rPr>
          <w:noProof/>
        </w:rPr>
        <w:t xml:space="preserve">stä välikohtauksista raportoidaan viipymättä pääjohtajalle. </w:t>
      </w:r>
    </w:p>
    <w:p w:rsidR="00550427" w:rsidRDefault="009F2022">
      <w:pPr>
        <w:spacing w:before="0"/>
        <w:rPr>
          <w:noProof/>
          <w:szCs w:val="24"/>
        </w:rPr>
      </w:pPr>
      <w:r>
        <w:rPr>
          <w:noProof/>
        </w:rPr>
        <w:t>Perusoikeusvastaava seuraa säännöllisesti kaikkia voiman, aseiden, ammusten ja tarvikkeiden käyttöön liittyviä toimia, ja kaikista välikohtauksista raportoidaan perusoikeusvastaavan kertomuksessa</w:t>
      </w:r>
      <w:r>
        <w:rPr>
          <w:noProof/>
        </w:rPr>
        <w:t xml:space="preserve"> sekä viraston vuosikertomuksessa.</w:t>
      </w:r>
    </w:p>
    <w:p w:rsidR="00550427" w:rsidRDefault="009F2022">
      <w:pPr>
        <w:pStyle w:val="Heading1"/>
        <w:numPr>
          <w:ilvl w:val="0"/>
          <w:numId w:val="20"/>
        </w:numPr>
        <w:rPr>
          <w:noProof/>
        </w:rPr>
      </w:pPr>
      <w:r>
        <w:rPr>
          <w:noProof/>
        </w:rPr>
        <w:t>Virka-aseiden toimittaminen</w:t>
      </w:r>
    </w:p>
    <w:p w:rsidR="00550427" w:rsidRDefault="009F2022">
      <w:pPr>
        <w:spacing w:before="0"/>
        <w:rPr>
          <w:b/>
          <w:noProof/>
          <w:szCs w:val="24"/>
        </w:rPr>
      </w:pPr>
      <w:r>
        <w:rPr>
          <w:b/>
          <w:noProof/>
        </w:rPr>
        <w:t>Aseiden salliminen</w:t>
      </w:r>
    </w:p>
    <w:p w:rsidR="00550427" w:rsidRDefault="009F2022">
      <w:pPr>
        <w:rPr>
          <w:noProof/>
          <w:szCs w:val="24"/>
        </w:rPr>
      </w:pPr>
      <w:r>
        <w:rPr>
          <w:noProof/>
        </w:rPr>
        <w:t>Henkilöstösääntöjen alaisen viraston operatiivisen henkilöstön käyttöön tarvittavien virka-aseiden, ammusten ja muiden varusteiden määrittelemiseksi tarkasti virasto laatii kattavan luettelon tavaroista, jotka kuuluvat jokaisen henkilökohtaiseen varusteist</w:t>
      </w:r>
      <w:r>
        <w:rPr>
          <w:noProof/>
        </w:rPr>
        <w:t xml:space="preserve">oon. </w:t>
      </w:r>
    </w:p>
    <w:p w:rsidR="00550427" w:rsidRDefault="009F2022">
      <w:pPr>
        <w:rPr>
          <w:noProof/>
          <w:szCs w:val="24"/>
        </w:rPr>
      </w:pPr>
      <w:r>
        <w:rPr>
          <w:noProof/>
        </w:rPr>
        <w:t>Henkilökohtaista varusteistoa käyttävät kaikki henkilöstösääntöjen alaisen viraston operatiivisen henkilöstön jäsenet, jotka on lähetetty eurooppalaisen raja- ja merivartioston pysyvistä joukoista jäseniksi johonkin kolmentyyppisistä ryhmistä. Virast</w:t>
      </w:r>
      <w:r>
        <w:rPr>
          <w:noProof/>
        </w:rPr>
        <w:t>o voi lisäksi täydentää henkilökohtaista varusteistoa ylimääräisellä aseella, ammuksilla tai muilla varusteilla, joita erityisten tehtävien hoitaminen yhden- tai kahdentyyppisessä ryhmässä edellyttää.</w:t>
      </w:r>
    </w:p>
    <w:p w:rsidR="00550427" w:rsidRDefault="009F2022">
      <w:pPr>
        <w:rPr>
          <w:b/>
          <w:noProof/>
          <w:szCs w:val="24"/>
        </w:rPr>
      </w:pPr>
      <w:r>
        <w:rPr>
          <w:noProof/>
        </w:rPr>
        <w:t>Virasto huolehtii siitä, että kaikki henkilöstösääntöje</w:t>
      </w:r>
      <w:r>
        <w:rPr>
          <w:noProof/>
        </w:rPr>
        <w:t xml:space="preserve">n alaisen operatiivisen henkilöstön käyttöön annetut tarvikkeet, myös tuliaseet, ovat yhteensopivia kaikkien tarvittavien teknisten standardien kanssa. </w:t>
      </w:r>
    </w:p>
    <w:p w:rsidR="00550427" w:rsidRDefault="009F2022">
      <w:pPr>
        <w:rPr>
          <w:noProof/>
          <w:szCs w:val="24"/>
        </w:rPr>
      </w:pPr>
      <w:r>
        <w:rPr>
          <w:noProof/>
        </w:rPr>
        <w:t xml:space="preserve">Kaikki aseet, ammukset ja tarvikkeet, joiden käyttöön on lupa, on luetteloitava toimintasuunnitelmassa niiden vastaanottavan jäsenvaltion vaatimusten mukaisesti, jotka koskevat hyväksyttyjä ja kiellettyjä aseita. </w:t>
      </w:r>
    </w:p>
    <w:p w:rsidR="00550427" w:rsidRDefault="009F2022">
      <w:pPr>
        <w:spacing w:before="0"/>
        <w:rPr>
          <w:b/>
          <w:noProof/>
          <w:szCs w:val="24"/>
        </w:rPr>
      </w:pPr>
      <w:r>
        <w:rPr>
          <w:b/>
          <w:noProof/>
        </w:rPr>
        <w:t>Aseiden kieltäminen</w:t>
      </w:r>
    </w:p>
    <w:p w:rsidR="00550427" w:rsidRDefault="009F2022">
      <w:pPr>
        <w:spacing w:before="0"/>
        <w:rPr>
          <w:noProof/>
          <w:szCs w:val="24"/>
        </w:rPr>
      </w:pPr>
      <w:r>
        <w:rPr>
          <w:noProof/>
        </w:rPr>
        <w:t>Vastaanottava jäsenval</w:t>
      </w:r>
      <w:r>
        <w:rPr>
          <w:noProof/>
        </w:rPr>
        <w:t xml:space="preserve">tio voi kieltää tiettyjen virka-aseiden, ammusten ja tarvikkeiden kantamisen 83 artiklan 2 kohdan toisen alakohdan mukaisesti. </w:t>
      </w:r>
    </w:p>
    <w:p w:rsidR="00550427" w:rsidRDefault="009F2022">
      <w:pPr>
        <w:spacing w:before="0"/>
        <w:rPr>
          <w:b/>
          <w:noProof/>
          <w:szCs w:val="24"/>
        </w:rPr>
      </w:pPr>
      <w:r>
        <w:rPr>
          <w:b/>
          <w:noProof/>
        </w:rPr>
        <w:t>Palvelusaikaa koskevat ohjeet</w:t>
      </w:r>
    </w:p>
    <w:p w:rsidR="00550427" w:rsidRDefault="009F2022">
      <w:pPr>
        <w:spacing w:before="0"/>
        <w:rPr>
          <w:noProof/>
          <w:szCs w:val="24"/>
        </w:rPr>
      </w:pPr>
      <w:r>
        <w:rPr>
          <w:noProof/>
        </w:rPr>
        <w:t>Aseita, ammuksia ja tarvikkeita saa kantaa ja käyttää operaatioiden aikana. Niiden kantaminen ja k</w:t>
      </w:r>
      <w:r>
        <w:rPr>
          <w:noProof/>
        </w:rPr>
        <w:t>äyttö ei ole sallittua vapaa-aikana. Virasto vahvistaa erityiset säännöt ja toimenpiteet, joilla helpotetaan henkilöstösääntöjen alaisen viraston operatiivisen henkilöstön aseiden, ammusten ja muiden varusteiden turvallista säilyttämistä henkilöstön vapaa-</w:t>
      </w:r>
      <w:r>
        <w:rPr>
          <w:noProof/>
        </w:rPr>
        <w:t xml:space="preserve">aikoina. </w:t>
      </w:r>
    </w:p>
    <w:p w:rsidR="00550427" w:rsidRDefault="00550427">
      <w:pPr>
        <w:rPr>
          <w:noProof/>
        </w:rPr>
        <w:sectPr w:rsidR="00550427" w:rsidSect="009F2022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550427" w:rsidRDefault="009F2022">
      <w:pPr>
        <w:pStyle w:val="Annexetitre"/>
        <w:rPr>
          <w:noProof/>
        </w:rPr>
      </w:pPr>
      <w:r>
        <w:rPr>
          <w:noProof/>
        </w:rPr>
        <w:t>LIITE VI</w:t>
      </w:r>
    </w:p>
    <w:p w:rsidR="00550427" w:rsidRDefault="009F2022">
      <w:pPr>
        <w:keepNext/>
        <w:spacing w:before="360"/>
        <w:jc w:val="center"/>
        <w:outlineLvl w:val="0"/>
        <w:rPr>
          <w:rFonts w:eastAsia="Times New Roman"/>
          <w:b/>
          <w:smallCaps/>
          <w:noProof/>
          <w:szCs w:val="20"/>
        </w:rPr>
      </w:pPr>
      <w:r>
        <w:rPr>
          <w:b/>
          <w:smallCaps/>
          <w:noProof/>
        </w:rPr>
        <w:t>Vastaavuustaulukko</w:t>
      </w:r>
    </w:p>
    <w:tbl>
      <w:tblPr>
        <w:tblW w:w="8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902"/>
        <w:gridCol w:w="1858"/>
        <w:gridCol w:w="2856"/>
      </w:tblGrid>
      <w:tr w:rsidR="00550427">
        <w:trPr>
          <w:trHeight w:val="630"/>
          <w:tblHeader/>
        </w:trPr>
        <w:tc>
          <w:tcPr>
            <w:tcW w:w="2193" w:type="dxa"/>
            <w:shd w:val="clear" w:color="auto" w:fill="D9D9D9" w:themeFill="background1" w:themeFillShade="D9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Asetus (EU) 2016/1624</w:t>
            </w:r>
          </w:p>
        </w:tc>
        <w:tc>
          <w:tcPr>
            <w:tcW w:w="2124" w:type="dxa"/>
            <w:shd w:val="clear" w:color="auto" w:fill="D9D9D9" w:themeFill="background1" w:themeFillShade="D9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Asetus (EU) N:o 1052/2013</w:t>
            </w:r>
          </w:p>
        </w:tc>
        <w:tc>
          <w:tcPr>
            <w:tcW w:w="2120" w:type="dxa"/>
            <w:shd w:val="clear" w:color="auto" w:fill="D9D9D9" w:themeFill="background1" w:themeFillShade="D9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Yhteinen toiminta 98/700/YOS</w:t>
            </w:r>
          </w:p>
        </w:tc>
        <w:tc>
          <w:tcPr>
            <w:tcW w:w="2123" w:type="dxa"/>
            <w:shd w:val="clear" w:color="auto" w:fill="D9D9D9" w:themeFill="background1" w:themeFillShade="D9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Tämä asetus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 artiklan ensimmäinen virke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 artiklan 1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 artiklan toinen virke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 artiklan 2 kohta 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 artiklan johdantolause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 artiklan johdantolause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 artiklan johdantolause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1 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1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2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2 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3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4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5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 artiklan a alakohta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3 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6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 artiklan b alakohta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7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 artiklan c alakohta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8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9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 artiklan d alakohta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10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 artiklan f alakohta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11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16 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 artiklan e alakohta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12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 artiklan g alakohta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 artiklan 13 </w:t>
            </w:r>
            <w:r>
              <w:rPr>
                <w:noProof/>
                <w:color w:val="000000"/>
              </w:rPr>
              <w:t>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 artiklan i alakohta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14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 artiklan h alakohta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15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4 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16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8 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18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 artiklan 9 </w:t>
            </w:r>
            <w:r>
              <w:rPr>
                <w:noProof/>
                <w:color w:val="000000"/>
              </w:rPr>
              <w:t>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19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5 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20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6 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21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7 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22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10 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23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24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11 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25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12 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26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13 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27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14 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28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15 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29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30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 artiklan 31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 artiklan a–d 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 artiklan a–d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 artiklan e 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 artiklan e ja f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4 artiklan </w:t>
            </w:r>
            <w:r>
              <w:rPr>
                <w:noProof/>
                <w:color w:val="000000"/>
              </w:rPr>
              <w:t>f–k 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 artiklan g ja h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3 artiklan 1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4 artikla 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6 artikla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5 artikla 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 artikla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6 artikla 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5 artiklan 1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 artiklan 1 kohta 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 artiklan 2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5 artiklan 2 ja 3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 artiklan 3 ja 4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8 artiklan 1–4 kohta 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3 artiklan 2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8 artiklan 5 kohta 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3 artiklan 3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8 artiklan 6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8 artiklan 7 ja 8 kohta 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 artikla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 artiklan 1 kohdan a 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 artiklan 1 kohdan 1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 artiklan 1 kohdan 2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 artiklan 1 kohdan b–h 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 artiklan 1 kohdan 3–10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 artikla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 artiklan 1 kohdan 5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 artiklan 1 kohdan 11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8 </w:t>
            </w:r>
            <w:r>
              <w:rPr>
                <w:noProof/>
                <w:color w:val="000000"/>
              </w:rPr>
              <w:t>artiklan 1 kohdan i 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 artiklan 1 kohdan 12 alakohdan i ja ii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8 artiklan 1 kohdan j ja k alakohta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 artiklan 1 kohdan 12 alakohdan iii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 artiklan 1 kohdan b, c ja d alakohta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8 artiklan 1 kohdan 1 alakohta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 artiklan 1 kohdan 13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6 artiklan 2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 artiklan 1 kohdan n ja o 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 artiklan 1 kohdan 14 ja 15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 artiklan 1 kohdan m 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artiklan 1 kohdan 16 </w:t>
            </w:r>
            <w:r>
              <w:rPr>
                <w:noProof/>
                <w:color w:val="000000"/>
              </w:rPr>
              <w:t>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 artiklan 1 kohdan 17–21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8 artiklan 1 kohdan p ja q alakohta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 artiklan 1 kohdan 22 ja 23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 artiklan 1 kohdan a alakohta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 artiklan 1 kohdan 25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 artiklan 1 kohdan r ja s 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 artiklan 1 kohdan 26 ja 27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8 artiklan 1 kohdan t ja u alakohta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 artiklan 1 kohdan 28 ja 29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8 artiklan 2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 artiklan 5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 artikla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 artiklaan sisällytetyt alakohdat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11 artikla </w:t>
            </w:r>
          </w:p>
        </w:tc>
      </w:tr>
      <w:tr w:rsidR="00550427">
        <w:trPr>
          <w:trHeight w:val="94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artiklan 3 kohdan toinen ja neljäs virke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12 artiklan 3 kohta </w:t>
            </w:r>
          </w:p>
        </w:tc>
      </w:tr>
      <w:tr w:rsidR="00550427">
        <w:trPr>
          <w:trHeight w:val="94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 artiklan 3 kohdan ensimmäinen ja kolmas virke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12 artiklan 4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artiklan 1 ja 2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12 artiklan 1 ja 2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23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13 artiklan alkupuoli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13 artiklan loppupuoli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 artiklan 1 ja 2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14 artikla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 artiklan 3, 4 ja 5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44 artiklan 1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15 artiklan 1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44 artiklan 2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15 artiklan 4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15 artiklan 2 ja 3 kohta 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 artikla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18 artikla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 artiklan 1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19 artiklan 1 kohta 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 artiklan 2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 artiklan 3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19 artiklan 2 kohta 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 artiklan 4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4 artiklan 1 </w:t>
            </w:r>
            <w:r>
              <w:rPr>
                <w:noProof/>
                <w:color w:val="000000"/>
              </w:rPr>
              <w:t>kohdan a ja b alakohta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20 artiklan 1 kohdan a ja b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 artiklan 1 kohdan d alakohta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20 artiklan 1 kohdan c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 artiklan 1 kohdan c, e ja f alakohta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20 artiklan 1 kohdan d, e ja f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4 artiklan 4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4 artiklan 2 ja 3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20 artiklan 2 ja 3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21 artiklan 3 kohdan i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 artikla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21 artikla (paitsi 3 kohdan i alakohta)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17 artikla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22 artikla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21 artiklan 1 ja 2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23 </w:t>
            </w:r>
            <w:r>
              <w:rPr>
                <w:noProof/>
                <w:color w:val="000000"/>
              </w:rPr>
              <w:t>artikla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21 artiklan 3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24 artiklan 1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22 artiklan 1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24 artiklan 2 ja 3 kohta </w:t>
            </w:r>
          </w:p>
        </w:tc>
      </w:tr>
      <w:tr w:rsidR="00550427">
        <w:trPr>
          <w:trHeight w:val="126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artiklan 5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25 artiklan 2 kohdan alakohdat (sisältyvät tasojen yleiseen määritelmään)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 artikla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25 artiklan 1 ja 2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25 artiklan 3–5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9 artiklan 1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26 artiklan 1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 artiklan 2 kohdan a–e alakohta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26 artiklan 2 kohdan a–e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26 artiklan 2 kohdan f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9 artiklan 2 kohdan f–k </w:t>
            </w:r>
            <w:r>
              <w:rPr>
                <w:noProof/>
                <w:color w:val="000000"/>
              </w:rPr>
              <w:t>alakohta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26 artiklan 2 kohdan g–h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9 artiklan 3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25 artiklan 5 kohtaa koskevat alakohdat täytäntöönpanosäädöksessä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9 artiklan 4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26 artiklan 3 kohdan alkupuoli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 artiklan 5 kohdan a alakohdan alkupuoli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25 </w:t>
            </w:r>
            <w:r>
              <w:rPr>
                <w:noProof/>
                <w:color w:val="000000"/>
              </w:rPr>
              <w:t>artiklan 5 kohtaa koskevat alakohdat täytäntöönpanosäädöksessä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26 artiklan 3 kohdan loppupuoli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 artiklan 5 kohdan a alakohdan loppupuoli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26 artiklan 4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 artiklan 5 kohdan b alakohta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25 artiklan 5 kohtaa koskevat alakohdat</w:t>
            </w:r>
            <w:r>
              <w:rPr>
                <w:noProof/>
                <w:color w:val="000000"/>
              </w:rPr>
              <w:t xml:space="preserve"> täytäntöönpanosäädöksessä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9 artiklan 6, 7, 8 ja 10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25 artiklan 5 kohtaa koskevat alakohdat täytäntöönpanosäädöksessä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 artiklan 9 kohdan a ja b alakohta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25 artiklan 5 kohtaa koskevat alakohdat täytäntöönpanosäädöksessä</w:t>
            </w:r>
          </w:p>
        </w:tc>
      </w:tr>
      <w:tr w:rsidR="00550427">
        <w:trPr>
          <w:trHeight w:val="94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9 artiklan 9 kohdan johdantolause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26 artiklan 5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 artiklan 2 kohdan a, b ja f alakohta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27 artiklan 2 kohdan a, b ja f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 artiklan 2 kohdan c alakohta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25 artiklan 5 kohtaa koskevat alakohdat täytäntöönpanosäädöksessä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 artiklan 2 kohdan d ja e alakohta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27 artiklan 2 kohdan c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27 artiklan 2 kohdan e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artiklan 3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27 artiklan 3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artiklan 4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27 artiklan 6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artiklan 1 ja 3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27 artiklan 1 ja 3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artiklan 5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27 artiklan 4 ja 5 kohta 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28 artikla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12 artiklan 1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29 artiklan 1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12 artiklan 2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29 artiklan 2 kohdan a–e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12 artiklan 3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29 artiklan 2 kohdan f–h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12 artiklan 4 ja 5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29 artiklan 3 ja 4 kohta 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30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14 artikla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31 artiklan ensimmäinen 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14 artikla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31 artiklan ensimmäinen virke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31 artiklan toinen virke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31 artiklan toinen 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32 artiklan 2 kohdan j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12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32 artikla (paitsi 2 kohdan j alakohta) 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13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33 artiklan kaikki kohdat paitsi 9 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</w:tcPr>
          <w:p w:rsidR="00550427" w:rsidRDefault="00550427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550427" w:rsidRDefault="00550427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550427" w:rsidRDefault="00550427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33 artiklan 9 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34 artikla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35 artiklan 1 kohdan d alakohta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15 artikla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35 artikla (paitsi 1 kohdan d alakohta)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36 artiklan 3 kohdan d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16 artiklan 5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36 artiklan 4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16 artiklan 1, 2 ja 3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36 artiklan 1, 2 ja 3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14 artiklan 2 kohdan a–e 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16 artiklan 4 kohdan b–d alakohta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37 artiklan 2 kohdan a–e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 artiklan 4 kohdan a alakohta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37 artiklan 2 kohdan f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16 artiklan 4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14 artiklan 1, 3 ja 4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37 artiklan 1, 3 ja 4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15 artiklan 5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38 artiklan 4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15 artiklan 1, 2 ja 3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38 artiklan 1, 2 ja 3 kohta 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39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17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40 artikla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18 artiklan 3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41 artiklan 4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41 artiklan 5 kohdan d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18 artiklan 4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41 artiklan 5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41 artiklan 6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18 artiklan 5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41 artiklan 7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18 artiklan 1 ja 2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41 artiklan 1, 2 ja 3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15 artiklan 4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42 artiklan 1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15 artiklan 4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42 artiklan 2 kohta 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19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43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21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44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22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45 artikla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24 artikla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46 artikla 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25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47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26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48 artikla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49 artiklan 1 kohdan c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27 artiklan 1 kohdan c 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27 artiklan 1 kohta paitsi c 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49 artiklan 1 kohta paitsi c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27 artiklan 2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49 artiklan 2 kohdan a–d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49 artiklan 2 kohdan e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27 artiklan 3 ja 4 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49 artiklan 3 ja 4 kohta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50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28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51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29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52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30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31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32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53 artikla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33 artiklan 1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54 artiklan 1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54 artiklan 2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33 artiklan 2–5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54 artiklan 3–6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20, 30 ja 31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55–58 artikla 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59</w:t>
            </w:r>
            <w:r>
              <w:rPr>
                <w:noProof/>
                <w:color w:val="000000"/>
              </w:rPr>
              <w:t xml:space="preserve">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60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61 artikla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36 artiklan 1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62 artiklan 1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62 artiklan 2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36 artiklan 2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62 artiklan 3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36 artiklan 3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36 artiklan 4–8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62 artiklan 4–8 kohta 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38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63 artiklan 1 ja 3–6 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</w:tcPr>
          <w:p w:rsidR="00550427" w:rsidRDefault="009F2022">
            <w:pPr>
              <w:rPr>
                <w:noProof/>
              </w:rPr>
            </w:pPr>
            <w:r>
              <w:rPr>
                <w:noProof/>
              </w:rPr>
              <w:t>--</w:t>
            </w:r>
          </w:p>
        </w:tc>
        <w:tc>
          <w:tcPr>
            <w:tcW w:w="2124" w:type="dxa"/>
            <w:shd w:val="clear" w:color="auto" w:fill="auto"/>
          </w:tcPr>
          <w:p w:rsidR="00550427" w:rsidRDefault="009F2022">
            <w:pPr>
              <w:rPr>
                <w:noProof/>
              </w:rPr>
            </w:pPr>
            <w:r>
              <w:rPr>
                <w:noProof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</w:tcPr>
          <w:p w:rsidR="00550427" w:rsidRDefault="009F2022">
            <w:pPr>
              <w:rPr>
                <w:noProof/>
              </w:rPr>
            </w:pPr>
            <w:r>
              <w:rPr>
                <w:noProof/>
              </w:rPr>
              <w:t>--</w:t>
            </w:r>
          </w:p>
        </w:tc>
        <w:tc>
          <w:tcPr>
            <w:tcW w:w="2123" w:type="dxa"/>
            <w:shd w:val="clear" w:color="auto" w:fill="auto"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63 artiklan 2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39 artiklan kohdat paitsi 13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64 artikla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20 artiklan 12 kohta </w:t>
            </w:r>
          </w:p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39 artiklan 13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65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37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66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67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68 artikla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52 artiklan 1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18 artiklan 1 kohdan alkupuoli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69 artiklan 1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18 artiklan 2 ja 3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69 artiklan 2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52 artiklan 2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18 artiklan 5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69 artiklan 3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52 artiklan 3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69 artiklan 5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18 artiklan 6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69 artiklan 6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18 artiklan 4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69 artiklan 7 kohta 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53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70 artikla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19 artikla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71 artiklan 2–6 kohta 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51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71 artikla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54 artiklan 1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72 artiklan 3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54 artiklan 1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54 artiklan 2 kohdan viimeinen virke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72 artiklan 4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54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72 artiklan 1, 2 ja 5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20 artiklan 1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73 artiklan 1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73 artiklan 2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20 artiklan 3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73 artiklan 3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54 artiklan 2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74 artiklan 1–3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54 artiklan 8 ja 9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74 artiklan 3 ja 4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54 artiklan 11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74 artiklan 5 ja 6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54 artiklan 3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75 artiklan 1–3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54 artiklan 4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75 artiklan 4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75 artiklan 5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18 artiklan 1 kohdan viimeinen virke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76 artiklan 1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20 artiklan 2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76 artiklan 1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20 artiklan 5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20 artiklan 6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76 artiklan 2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20 artiklan 7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76 artiklan 3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77 artiklan 3–6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55 artiklan 1–3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77 artikla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52 artiklan 5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78 artiklan 1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54 artiklan 7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78 artiklan 2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79 artiklan 1 ja 3–6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54 artiklan 5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79 artiklan 2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55 artiklan 4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79 artiklan 7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 artiklan 1 kohta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80 artiklan 1 ja 2 kohta 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 artiklan 2 kohta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2, 3 ja 4 artikla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34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81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35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82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40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83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41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84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42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85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43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86</w:t>
            </w:r>
            <w:r>
              <w:rPr>
                <w:noProof/>
                <w:color w:val="000000"/>
              </w:rPr>
              <w:t xml:space="preserve">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45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46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88 artikla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47 artiklan 2 kohdan a ja b alakohta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89 artiklan 2 kohdan a ja b alakohta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89 artiklan 2 kohdan c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48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89 artiklan 2 kohdan c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47 </w:t>
            </w:r>
            <w:r>
              <w:rPr>
                <w:noProof/>
                <w:color w:val="000000"/>
              </w:rPr>
              <w:t>artiklan 2 kohdan c 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89 artiklan 2 kohdan d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47 artiklan 1 ja 3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89 artiklan kohdat paitsi 2 kohdan c alakohta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20 artiklan 8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90 artiklan 5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20 artiklan 9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13 artikla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90 artiklan 1 ja 2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20 artiklan 4 ja 5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90 artiklan 3 ja 4 kohta 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49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90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50 artiklan 1 ja 2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91 artiklan 1 ja 2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91 artiklan 3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50 artiklan 3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91 artiklan 4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56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92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57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93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58 artiklan 1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94 artiklan 1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94 artiklan 2–4 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58 artiklan 2–4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94 artiklan 5–7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59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95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60 </w:t>
            </w:r>
            <w:r>
              <w:rPr>
                <w:noProof/>
                <w:color w:val="000000"/>
              </w:rPr>
              <w:t>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96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61 artiklan a ja b alakohta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97 artiklan a ja b alakohta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97 artiklan c ja f alakohta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61 artiklan c ja d 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97 artiklan d ja e 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62 artiklan 2 kohdan a–z alakohta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98 artiklan 2 </w:t>
            </w:r>
            <w:r>
              <w:rPr>
                <w:noProof/>
                <w:color w:val="000000"/>
              </w:rPr>
              <w:t>kohdan 1, 2, 4 ja 6–27 alakohta</w:t>
            </w:r>
          </w:p>
        </w:tc>
      </w:tr>
      <w:tr w:rsidR="00550427">
        <w:trPr>
          <w:trHeight w:val="94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98 artiklan 2 kohdan 3 ja 5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62 artiklan 2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98 artiklan 2 kohdan kaikki alakohdat paitsi 3 ja 5 alakohta</w:t>
            </w:r>
          </w:p>
        </w:tc>
      </w:tr>
      <w:tr w:rsidR="00550427">
        <w:trPr>
          <w:trHeight w:val="94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62 artiklan 1 ja 3–8 kohta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98 artiklan 1 ja 3–8 kohta </w:t>
            </w:r>
          </w:p>
        </w:tc>
      </w:tr>
      <w:tr w:rsidR="00550427">
        <w:trPr>
          <w:trHeight w:val="94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63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99 </w:t>
            </w:r>
            <w:r>
              <w:rPr>
                <w:noProof/>
                <w:color w:val="000000"/>
              </w:rPr>
              <w:t>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64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100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65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101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66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102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67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103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104 artiklan 2 kohdan p ja q alakohta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68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104 artiklan 2 kohdan alakohdat paitsi p ja q alakohta</w:t>
            </w:r>
          </w:p>
        </w:tc>
      </w:tr>
      <w:tr w:rsidR="00550427">
        <w:trPr>
          <w:trHeight w:val="94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69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105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70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106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71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107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72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108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73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109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74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110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75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111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76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112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77 </w:t>
            </w:r>
            <w:r>
              <w:rPr>
                <w:noProof/>
                <w:color w:val="000000"/>
              </w:rPr>
              <w:t>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113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78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114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79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115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22 artiklan 2 ja 4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116 artiklan 3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22 artiklan 3 ja 4 kohta 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116 artiklan 4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23 artikla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80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81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116 artiklan 1 ja 2 kohta </w:t>
            </w:r>
          </w:p>
        </w:tc>
      </w:tr>
      <w:tr w:rsidR="0055042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117 artikla 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</w:tcPr>
          <w:p w:rsidR="00550427" w:rsidRDefault="009F2022">
            <w:pPr>
              <w:rPr>
                <w:noProof/>
              </w:rPr>
            </w:pPr>
            <w:r>
              <w:rPr>
                <w:noProof/>
              </w:rPr>
              <w:t>--</w:t>
            </w:r>
          </w:p>
        </w:tc>
        <w:tc>
          <w:tcPr>
            <w:tcW w:w="2124" w:type="dxa"/>
            <w:shd w:val="clear" w:color="auto" w:fill="auto"/>
          </w:tcPr>
          <w:p w:rsidR="00550427" w:rsidRDefault="009F2022">
            <w:pPr>
              <w:rPr>
                <w:noProof/>
              </w:rPr>
            </w:pPr>
            <w:r>
              <w:rPr>
                <w:noProof/>
              </w:rPr>
              <w:t>--</w:t>
            </w:r>
          </w:p>
        </w:tc>
        <w:tc>
          <w:tcPr>
            <w:tcW w:w="2120" w:type="dxa"/>
            <w:shd w:val="clear" w:color="auto" w:fill="auto"/>
          </w:tcPr>
          <w:p w:rsidR="00550427" w:rsidRDefault="009F2022">
            <w:pPr>
              <w:rPr>
                <w:noProof/>
              </w:rPr>
            </w:pPr>
            <w:r>
              <w:rPr>
                <w:noProof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118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82 artikla 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119 artikla</w:t>
            </w:r>
          </w:p>
        </w:tc>
      </w:tr>
      <w:tr w:rsidR="0055042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83 artikla</w:t>
            </w:r>
          </w:p>
        </w:tc>
        <w:tc>
          <w:tcPr>
            <w:tcW w:w="2124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24 artikla</w:t>
            </w:r>
          </w:p>
        </w:tc>
        <w:tc>
          <w:tcPr>
            <w:tcW w:w="2120" w:type="dxa"/>
            <w:shd w:val="clear" w:color="auto" w:fill="auto"/>
            <w:hideMark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</w:tcPr>
          <w:p w:rsidR="00550427" w:rsidRDefault="009F2022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120 artikla</w:t>
            </w:r>
          </w:p>
        </w:tc>
      </w:tr>
    </w:tbl>
    <w:p w:rsidR="00550427" w:rsidRDefault="00550427">
      <w:pPr>
        <w:jc w:val="center"/>
        <w:rPr>
          <w:noProof/>
        </w:rPr>
      </w:pPr>
    </w:p>
    <w:sectPr w:rsidR="00550427" w:rsidSect="009F2022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27" w:rsidRDefault="009F2022">
      <w:pPr>
        <w:spacing w:before="0" w:after="0"/>
      </w:pPr>
      <w:r>
        <w:separator/>
      </w:r>
    </w:p>
  </w:endnote>
  <w:endnote w:type="continuationSeparator" w:id="0">
    <w:p w:rsidR="00550427" w:rsidRDefault="009F20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27" w:rsidRPr="009F2022" w:rsidRDefault="00550427" w:rsidP="009F2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27" w:rsidRPr="009F2022" w:rsidRDefault="009F2022" w:rsidP="009F2022">
    <w:pPr>
      <w:pStyle w:val="Footer"/>
      <w:rPr>
        <w:rFonts w:ascii="Arial" w:hAnsi="Arial" w:cs="Arial"/>
        <w:b/>
        <w:sz w:val="48"/>
      </w:rPr>
    </w:pPr>
    <w:r w:rsidRPr="009F2022">
      <w:rPr>
        <w:rFonts w:ascii="Arial" w:hAnsi="Arial" w:cs="Arial"/>
        <w:b/>
        <w:sz w:val="48"/>
      </w:rPr>
      <w:t>FI</w:t>
    </w:r>
    <w:r w:rsidRPr="009F2022">
      <w:rPr>
        <w:rFonts w:ascii="Arial" w:hAnsi="Arial" w:cs="Arial"/>
        <w:b/>
        <w:sz w:val="48"/>
      </w:rPr>
      <w:tab/>
    </w:r>
    <w:r w:rsidRPr="009F2022">
      <w:rPr>
        <w:rFonts w:ascii="Arial" w:hAnsi="Arial" w:cs="Arial"/>
        <w:b/>
        <w:sz w:val="48"/>
      </w:rPr>
      <w:tab/>
    </w:r>
    <w:r w:rsidRPr="009F2022">
      <w:tab/>
    </w:r>
    <w:r w:rsidRPr="009F2022"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27" w:rsidRPr="009F2022" w:rsidRDefault="00550427" w:rsidP="009F202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2" w:rsidRPr="009F2022" w:rsidRDefault="009F2022" w:rsidP="009F2022">
    <w:pPr>
      <w:pStyle w:val="Footer"/>
      <w:rPr>
        <w:rFonts w:ascii="Arial" w:hAnsi="Arial" w:cs="Arial"/>
        <w:b/>
        <w:sz w:val="48"/>
      </w:rPr>
    </w:pPr>
    <w:r w:rsidRPr="009F2022">
      <w:rPr>
        <w:rFonts w:ascii="Arial" w:hAnsi="Arial" w:cs="Arial"/>
        <w:b/>
        <w:sz w:val="48"/>
      </w:rPr>
      <w:t>FI</w:t>
    </w:r>
    <w:r w:rsidRPr="009F2022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14</w:t>
    </w:r>
    <w:r>
      <w:fldChar w:fldCharType="end"/>
    </w:r>
    <w:r>
      <w:tab/>
    </w:r>
    <w:r w:rsidRPr="009F2022">
      <w:tab/>
    </w:r>
    <w:r w:rsidRPr="009F2022">
      <w:rPr>
        <w:rFonts w:ascii="Arial" w:hAnsi="Arial" w:cs="Arial"/>
        <w:b/>
        <w:sz w:val="48"/>
      </w:rPr>
      <w:t>FI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2" w:rsidRPr="009F2022" w:rsidRDefault="009F2022" w:rsidP="009F2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27" w:rsidRDefault="009F2022">
      <w:pPr>
        <w:spacing w:before="0" w:after="0"/>
      </w:pPr>
      <w:r>
        <w:separator/>
      </w:r>
    </w:p>
  </w:footnote>
  <w:footnote w:type="continuationSeparator" w:id="0">
    <w:p w:rsidR="00550427" w:rsidRDefault="009F202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27" w:rsidRPr="009F2022" w:rsidRDefault="00550427" w:rsidP="009F2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27" w:rsidRPr="009F2022" w:rsidRDefault="00550427" w:rsidP="009F20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27" w:rsidRPr="009F2022" w:rsidRDefault="00550427" w:rsidP="009F2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AA644E3E"/>
    <w:lvl w:ilvl="0">
      <w:start w:val="1"/>
      <w:numFmt w:val="decimal"/>
      <w:pStyle w:val="ListNumber4"/>
      <w:lvlText w:val="%1."/>
      <w:lvlJc w:val="left"/>
      <w:pPr>
        <w:tabs>
          <w:tab w:val="num" w:pos="1263"/>
        </w:tabs>
        <w:ind w:left="1263" w:hanging="360"/>
      </w:pPr>
    </w:lvl>
  </w:abstractNum>
  <w:abstractNum w:abstractNumId="1" w15:restartNumberingAfterBreak="0">
    <w:nsid w:val="FFFFFF7E"/>
    <w:multiLevelType w:val="singleLevel"/>
    <w:tmpl w:val="957E875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05C8A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6BB213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C24DC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6AAE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4C70DE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7892DE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 w15:restartNumberingAfterBreak="0">
    <w:nsid w:val="1010633F"/>
    <w:multiLevelType w:val="hybridMultilevel"/>
    <w:tmpl w:val="433EEC0A"/>
    <w:lvl w:ilvl="0" w:tplc="80A0FFB4">
      <w:start w:val="1"/>
      <w:numFmt w:val="bullet"/>
      <w:pStyle w:val="Briefinglis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7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 w15:restartNumberingAfterBreak="0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9" w15:restartNumberingAfterBreak="0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0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1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2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6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4"/>
  </w:num>
  <w:num w:numId="10">
    <w:abstractNumId w:val="9"/>
  </w:num>
  <w:num w:numId="11">
    <w:abstractNumId w:val="8"/>
  </w:num>
  <w:num w:numId="12">
    <w:abstractNumId w:val="19"/>
  </w:num>
  <w:num w:numId="13">
    <w:abstractNumId w:val="1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</w:num>
  <w:num w:numId="18">
    <w:abstractNumId w:val="23"/>
  </w:num>
  <w:num w:numId="19">
    <w:abstractNumId w:val="11"/>
  </w:num>
  <w:num w:numId="20">
    <w:abstractNumId w:val="24"/>
  </w:num>
  <w:num w:numId="21">
    <w:abstractNumId w:val="10"/>
  </w:num>
  <w:num w:numId="22">
    <w:abstractNumId w:val="23"/>
  </w:num>
  <w:num w:numId="23">
    <w:abstractNumId w:val="15"/>
  </w:num>
  <w:num w:numId="24">
    <w:abstractNumId w:val="25"/>
  </w:num>
  <w:num w:numId="25">
    <w:abstractNumId w:val="13"/>
  </w:num>
  <w:num w:numId="26">
    <w:abstractNumId w:val="16"/>
  </w:num>
  <w:num w:numId="27">
    <w:abstractNumId w:val="11"/>
  </w:num>
  <w:num w:numId="28">
    <w:abstractNumId w:val="24"/>
  </w:num>
  <w:num w:numId="29">
    <w:abstractNumId w:val="10"/>
  </w:num>
  <w:num w:numId="30">
    <w:abstractNumId w:val="17"/>
  </w:num>
  <w:num w:numId="31">
    <w:abstractNumId w:val="21"/>
  </w:num>
  <w:num w:numId="32">
    <w:abstractNumId w:val="22"/>
  </w:num>
  <w:num w:numId="33">
    <w:abstractNumId w:val="12"/>
  </w:num>
  <w:num w:numId="34">
    <w:abstractNumId w:val="20"/>
  </w:num>
  <w:num w:numId="35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10-05 13:11:0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9"/>
    <w:docVar w:name="DQCResult_UnknownFonts" w:val="0;0"/>
    <w:docVar w:name="DQCResult_UnknownStyles" w:val="0;5"/>
    <w:docVar w:name="DQCStatus" w:val="Yellow"/>
    <w:docVar w:name="DQCVersion" w:val="3"/>
    <w:docVar w:name="DQCWithWarnings" w:val="0"/>
    <w:docVar w:name="LW_ACCOMPAGNANT" w:val="ehdotukseen"/>
    <w:docVar w:name="LW_ACCOMPAGNANT.CP" w:val="ehdotukseen"/>
    <w:docVar w:name="LW_ANNEX_NBR_FIRST" w:val="1"/>
    <w:docVar w:name="LW_ANNEX_NBR_LAST" w:val="6"/>
    <w:docVar w:name="LW_ANNEX_UNIQUE" w:val="0"/>
    <w:docVar w:name="LW_CORRIGENDUM" w:val="CORRIGENDUM_x000b_This document replaces COM(2018)631 final of 12.9.2018._x000b_Update of the cover page._x000b__x000b__x000b_The text should read as follows:"/>
    <w:docVar w:name="LW_COVERPAGE_EXISTS" w:val="True"/>
    <w:docVar w:name="LW_COVERPAGE_GUID" w:val="F9325985-378D-4D3C-9B79-F99402107097"/>
    <w:docVar w:name="LW_COVERPAGE_TYPE" w:val="1"/>
    <w:docVar w:name="LW_CROSSREFERENCE" w:val="&lt;UNUSED&gt;"/>
    <w:docVar w:name="LW_DocType" w:val="ANNEX"/>
    <w:docVar w:name="LW_EMISSION" w:val="5.10.2018"/>
    <w:docVar w:name="LW_EMISSION_ISODATE" w:val="2018-10-05"/>
    <w:docVar w:name="LW_EMISSION_LOCATION" w:val="BRX"/>
    <w:docVar w:name="LW_EMISSION_PREFIX" w:val="Bryssel "/>
    <w:docVar w:name="LW_EMISSION_SUFFIX" w:val=" "/>
    <w:docVar w:name="LW_ID_DOCSTRUCTURE" w:val="COM/ANNEX"/>
    <w:docVar w:name="LW_ID_DOCTYPE" w:val="SG-017"/>
    <w:docVar w:name="LW_LANGUE" w:val="FI"/>
    <w:docVar w:name="LW_LEVEL_OF_SENSITIVITY" w:val="Standard treatment"/>
    <w:docVar w:name="LW_NOM.INST" w:val="EUROOPAN KOMISSIO"/>
    <w:docVar w:name="LW_NOM.INST_JOINTDOC" w:val="&lt;EMPTY&gt;"/>
    <w:docVar w:name="LW_OBJETACTEPRINCIPAL" w:val="eurooppalaisesta raja- ja merivartiostosta_x000b_sekä neuvoston yhteisen toiminnan 98/700/YOS, Euroopan parlamentin ja neuvoston asetuksen (EU) N:o 1052/2013 ja Euroopan parlamentin ja neuvoston asetuksen (EU) N:o 2016/1624 kumoamisesta_x000b_"/>
    <w:docVar w:name="LW_OBJETACTEPRINCIPAL.CP" w:val="eurooppalaisesta raja- ja merivartiostosta_x000b_sekä neuvoston yhteisen toiminnan 98/700/YOS, Euroopan parlamentin ja neuvoston asetuksen (EU) N:o 1052/2013 ja Euroopan parlamentin ja neuvoston asetuksen (EU) N:o 2016/1624 kumoamisesta_x000b_"/>
    <w:docVar w:name="LW_PART_NBR" w:val="&lt;UNUSED&gt;"/>
    <w:docVar w:name="LW_PART_NBR_TOTAL" w:val="&lt;UNUSED&gt;"/>
    <w:docVar w:name="LW_REF.INST.NEW" w:val="COM"/>
    <w:docVar w:name="LW_REF.INST.NEW_ADOPTED" w:val="final/2"/>
    <w:docVar w:name="LW_REF.INST.NEW_TEXT" w:val="(2018) 63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LIITTEET"/>
    <w:docVar w:name="LW_TYPE.DOC.CP" w:val="LIITTEET"/>
    <w:docVar w:name="LW_TYPEACTEPRINCIPAL" w:val="EUROOPAN PARLAMENTIN JA NEUVOSTON ASETUKSEKSI_x000b_"/>
    <w:docVar w:name="LW_TYPEACTEPRINCIPAL.CP" w:val="EUROOPAN PARLAMENTIN JA NEUVOSTON ASETUKSEKSI_x000b_"/>
  </w:docVars>
  <w:rsids>
    <w:rsidRoot w:val="00550427"/>
    <w:rsid w:val="00550427"/>
    <w:rsid w:val="009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CA8A26-00A6-4941-9032-7713E845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i-F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nhideWhenUsed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unhideWhenUsed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">
    <w:name w:val="List Bullet"/>
    <w:basedOn w:val="Normal"/>
    <w:unhideWhenUsed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ti-section-1">
    <w:name w:val="ti-section-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ti-section-2">
    <w:name w:val="ti-section-2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customStyle="1" w:styleId="bold">
    <w:name w:val="bold"/>
    <w:basedOn w:val="DefaultParagraphFont"/>
  </w:style>
  <w:style w:type="paragraph" w:customStyle="1" w:styleId="ti-art">
    <w:name w:val="ti-art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sti-art">
    <w:name w:val="sti-art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customStyle="1" w:styleId="italic">
    <w:name w:val="italic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</w:style>
  <w:style w:type="paragraph" w:customStyle="1" w:styleId="LegalNumPar">
    <w:name w:val="LegalNumPar"/>
    <w:basedOn w:val="Normal"/>
    <w:pPr>
      <w:numPr>
        <w:numId w:val="9"/>
      </w:numPr>
      <w:spacing w:before="0" w:after="200"/>
      <w:jc w:val="left"/>
    </w:pPr>
    <w:rPr>
      <w:rFonts w:asciiTheme="minorHAnsi" w:hAnsiTheme="minorHAnsi" w:cstheme="minorBidi"/>
      <w:sz w:val="22"/>
    </w:rPr>
  </w:style>
  <w:style w:type="paragraph" w:customStyle="1" w:styleId="CRSeparator">
    <w:name w:val="CR Separator"/>
    <w:basedOn w:val="Normal"/>
    <w:link w:val="CRSeparatorChar"/>
    <w:pPr>
      <w:keepNext/>
      <w:pBdr>
        <w:top w:val="single" w:sz="4" w:space="1" w:color="auto"/>
      </w:pBdr>
      <w:spacing w:before="240"/>
      <w:ind w:right="40"/>
    </w:pPr>
  </w:style>
  <w:style w:type="character" w:customStyle="1" w:styleId="CRSeparatorChar">
    <w:name w:val="CR Separator Char"/>
    <w:basedOn w:val="NumPar1Char"/>
    <w:link w:val="CRSeparator"/>
    <w:rPr>
      <w:rFonts w:ascii="Times New Roman" w:hAnsi="Times New Roman" w:cs="Times New Roman"/>
      <w:sz w:val="24"/>
      <w:lang w:val="en-GB"/>
    </w:rPr>
  </w:style>
  <w:style w:type="character" w:customStyle="1" w:styleId="NumPar1Char">
    <w:name w:val="NumPar 1 Char"/>
    <w:basedOn w:val="DefaultParagraphFont"/>
    <w:rPr>
      <w:rFonts w:ascii="Times New Roman" w:hAnsi="Times New Roman" w:cs="Times New Roman"/>
      <w:sz w:val="24"/>
      <w:lang w:val="en-GB"/>
    </w:rPr>
  </w:style>
  <w:style w:type="paragraph" w:customStyle="1" w:styleId="CRReference">
    <w:name w:val="CR Reference"/>
    <w:basedOn w:val="Normal"/>
    <w:link w:val="CRReferenceChar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0" w:after="0"/>
      <w:ind w:left="5669" w:right="40"/>
    </w:pPr>
  </w:style>
  <w:style w:type="character" w:customStyle="1" w:styleId="CRReferenceChar">
    <w:name w:val="CR Reference Char"/>
    <w:basedOn w:val="NumPar1Char"/>
    <w:link w:val="CRReference"/>
    <w:rPr>
      <w:rFonts w:ascii="Times New Roman" w:hAnsi="Times New Roman" w:cs="Times New Roman"/>
      <w:sz w:val="24"/>
      <w:lang w:val="en-GB"/>
    </w:rPr>
  </w:style>
  <w:style w:type="character" w:customStyle="1" w:styleId="CRMarker">
    <w:name w:val="CR Marker"/>
    <w:basedOn w:val="DefaultParagraphFont"/>
    <w:rPr>
      <w:rFonts w:ascii="Wingdings" w:hAnsi="Wingdings"/>
      <w:lang w:eastAsia="en-US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2">
    <w:name w:val="Normal2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Points,MAIN CONTENT,List Paragraph11,List Paragraph12,List Paragraph2,L,OBC Bullet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Points Char,MAIN CONTENT Char,L Char"/>
    <w:basedOn w:val="DefaultParagraphFont"/>
    <w:link w:val="ListParagraph"/>
    <w:uiPriority w:val="34"/>
    <w:rPr>
      <w:rFonts w:ascii="Times New Roman" w:hAnsi="Times New Roman" w:cs="Times New Roman"/>
      <w:sz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Emphasis">
    <w:name w:val="Emphasis"/>
    <w:uiPriority w:val="20"/>
    <w:qFormat/>
    <w:rPr>
      <w:i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60" w:after="60"/>
    </w:pPr>
    <w:rPr>
      <w:rFonts w:eastAsia="Times New Roman"/>
      <w:i/>
      <w:iCs/>
      <w:color w:val="000000" w:themeColor="text1"/>
      <w:szCs w:val="24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GB" w:eastAsia="en-GB"/>
    </w:rPr>
  </w:style>
  <w:style w:type="paragraph" w:customStyle="1" w:styleId="Briefinglist1">
    <w:name w:val="Briefing list 1"/>
    <w:basedOn w:val="ListParagraph"/>
    <w:link w:val="Briefinglist1Char"/>
    <w:qFormat/>
    <w:pPr>
      <w:numPr>
        <w:numId w:val="10"/>
      </w:numPr>
    </w:pPr>
    <w:rPr>
      <w:rFonts w:eastAsia="Arial Unicode MS"/>
      <w:color w:val="000000" w:themeColor="text1"/>
    </w:rPr>
  </w:style>
  <w:style w:type="character" w:customStyle="1" w:styleId="Briefinglist1Char">
    <w:name w:val="Briefing list 1 Char"/>
    <w:link w:val="Briefinglist1"/>
    <w:locked/>
    <w:rPr>
      <w:rFonts w:ascii="Times New Roman" w:eastAsia="Arial Unicode MS" w:hAnsi="Times New Roman" w:cs="Times New Roman"/>
      <w:color w:val="000000" w:themeColor="text1"/>
      <w:sz w:val="24"/>
      <w:lang w:val="en-GB"/>
    </w:rPr>
  </w:style>
  <w:style w:type="paragraph" w:customStyle="1" w:styleId="Normal3">
    <w:name w:val="Normal3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Times New Roman" w:hAnsi="Times New Roman" w:cs="Times New Roman"/>
      <w:i/>
      <w:iCs/>
      <w:color w:val="4F81BD" w:themeColor="accent1"/>
      <w:sz w:val="24"/>
      <w:lang w:val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Deleted">
    <w:name w:val="CR Deleted"/>
    <w:basedOn w:val="DefaultParagraphFont"/>
    <w:rPr>
      <w:rFonts w:cs="Times New Roman"/>
      <w:dstrike/>
      <w:lang w:val="fr-FR" w:eastAsia="x-none"/>
    </w:rPr>
  </w:style>
  <w:style w:type="character" w:customStyle="1" w:styleId="CRMinorChangeAdded">
    <w:name w:val="CR Minor Change Added"/>
    <w:basedOn w:val="DefaultParagraphFont"/>
    <w:rPr>
      <w:rFonts w:cs="Times New Roman"/>
      <w:u w:val="double"/>
      <w:lang w:val="fr-FR" w:eastAsia="x-none"/>
    </w:rPr>
  </w:style>
  <w:style w:type="character" w:customStyle="1" w:styleId="CRMinorChangeDeleted">
    <w:name w:val="CR Minor Change Deleted"/>
    <w:basedOn w:val="DefaultParagraphFont"/>
    <w:rPr>
      <w:rFonts w:cs="Times New Roman"/>
      <w:dstrike/>
      <w:u w:val="double"/>
      <w:lang w:val="fr-FR" w:eastAsia="x-none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customStyle="1" w:styleId="ListBullet1">
    <w:name w:val="List Bullet 1"/>
    <w:basedOn w:val="Normal"/>
    <w:pPr>
      <w:numPr>
        <w:numId w:val="11"/>
      </w:numPr>
    </w:pPr>
    <w:rPr>
      <w:rFonts w:eastAsia="Times New Roman"/>
      <w:lang w:eastAsia="de-DE"/>
    </w:rPr>
  </w:style>
  <w:style w:type="paragraph" w:customStyle="1" w:styleId="ListDash1">
    <w:name w:val="List Dash 1"/>
    <w:basedOn w:val="Normal"/>
    <w:pPr>
      <w:numPr>
        <w:numId w:val="12"/>
      </w:numPr>
    </w:pPr>
    <w:rPr>
      <w:rFonts w:eastAsia="Times New Roman"/>
      <w:lang w:eastAsia="de-DE"/>
    </w:rPr>
  </w:style>
  <w:style w:type="paragraph" w:customStyle="1" w:styleId="ListDash2">
    <w:name w:val="List Dash 2"/>
    <w:basedOn w:val="Normal"/>
    <w:pPr>
      <w:numPr>
        <w:numId w:val="13"/>
      </w:numPr>
    </w:pPr>
    <w:rPr>
      <w:rFonts w:eastAsia="Times New Roman"/>
      <w:lang w:eastAsia="de-DE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  <w:lang w:eastAsia="de-DE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  <w:lang w:eastAsia="de-DE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  <w:lang w:eastAsia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0" w:after="0"/>
      <w:jc w:val="left"/>
    </w:pPr>
    <w:rPr>
      <w:rFonts w:ascii="Calibri" w:hAnsi="Calibri" w:cstheme="minorBidi"/>
      <w:sz w:val="22"/>
      <w:szCs w:val="21"/>
      <w:lang w:val="en-US"/>
    </w:rPr>
  </w:style>
  <w:style w:type="paragraph" w:customStyle="1" w:styleId="PointManual">
    <w:name w:val="Point Manual"/>
    <w:basedOn w:val="Normal"/>
    <w:pPr>
      <w:spacing w:line="360" w:lineRule="auto"/>
      <w:ind w:left="567" w:hanging="567"/>
      <w:jc w:val="left"/>
    </w:pPr>
  </w:style>
  <w:style w:type="character" w:customStyle="1" w:styleId="mw-headline">
    <w:name w:val="mw-headline"/>
    <w:basedOn w:val="DefaultParagraphFont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63">
    <w:name w:val="xl63"/>
    <w:basedOn w:val="Normal"/>
    <w:pPr>
      <w:spacing w:before="100" w:beforeAutospacing="1" w:after="100" w:afterAutospacing="1"/>
      <w:jc w:val="left"/>
      <w:textAlignment w:val="top"/>
    </w:pPr>
    <w:rPr>
      <w:rFonts w:eastAsia="Times New Roman"/>
      <w:szCs w:val="24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9F2022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F2022"/>
    <w:rPr>
      <w:rFonts w:ascii="Times New Roman" w:hAnsi="Times New Roman" w:cs="Times New Roman"/>
      <w:sz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9F2022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9F2022"/>
    <w:rPr>
      <w:rFonts w:ascii="Times New Roman" w:hAnsi="Times New Roman" w:cs="Times New Roman"/>
      <w:sz w:val="24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9F2022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9F2022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9F20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9F20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2"/>
      </w:numPr>
    </w:pPr>
  </w:style>
  <w:style w:type="paragraph" w:customStyle="1" w:styleId="Tiret1">
    <w:name w:val="Tiret 1"/>
    <w:basedOn w:val="Point1"/>
    <w:pPr>
      <w:numPr>
        <w:numId w:val="23"/>
      </w:numPr>
    </w:pPr>
  </w:style>
  <w:style w:type="paragraph" w:customStyle="1" w:styleId="Tiret2">
    <w:name w:val="Tiret 2"/>
    <w:basedOn w:val="Point2"/>
    <w:pPr>
      <w:numPr>
        <w:numId w:val="24"/>
      </w:numPr>
    </w:pPr>
  </w:style>
  <w:style w:type="paragraph" w:customStyle="1" w:styleId="Tiret3">
    <w:name w:val="Tiret 3"/>
    <w:basedOn w:val="Point3"/>
    <w:pPr>
      <w:numPr>
        <w:numId w:val="25"/>
      </w:numPr>
    </w:pPr>
  </w:style>
  <w:style w:type="paragraph" w:customStyle="1" w:styleId="Tiret4">
    <w:name w:val="Tiret 4"/>
    <w:basedOn w:val="Point4"/>
    <w:pPr>
      <w:numPr>
        <w:numId w:val="2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9"/>
      </w:numPr>
    </w:pPr>
  </w:style>
  <w:style w:type="paragraph" w:customStyle="1" w:styleId="Point1number">
    <w:name w:val="Point 1 (number)"/>
    <w:basedOn w:val="Normal"/>
    <w:pPr>
      <w:numPr>
        <w:ilvl w:val="2"/>
        <w:numId w:val="29"/>
      </w:numPr>
    </w:pPr>
  </w:style>
  <w:style w:type="paragraph" w:customStyle="1" w:styleId="Point2number">
    <w:name w:val="Point 2 (number)"/>
    <w:basedOn w:val="Normal"/>
    <w:pPr>
      <w:numPr>
        <w:ilvl w:val="4"/>
        <w:numId w:val="29"/>
      </w:numPr>
    </w:pPr>
  </w:style>
  <w:style w:type="paragraph" w:customStyle="1" w:styleId="Point3number">
    <w:name w:val="Point 3 (number)"/>
    <w:basedOn w:val="Normal"/>
    <w:pPr>
      <w:numPr>
        <w:ilvl w:val="6"/>
        <w:numId w:val="29"/>
      </w:numPr>
    </w:pPr>
  </w:style>
  <w:style w:type="paragraph" w:customStyle="1" w:styleId="Point0letter">
    <w:name w:val="Point 0 (letter)"/>
    <w:basedOn w:val="Normal"/>
    <w:pPr>
      <w:numPr>
        <w:ilvl w:val="1"/>
        <w:numId w:val="29"/>
      </w:numPr>
    </w:pPr>
  </w:style>
  <w:style w:type="paragraph" w:customStyle="1" w:styleId="Point1letter">
    <w:name w:val="Point 1 (letter)"/>
    <w:basedOn w:val="Normal"/>
    <w:pPr>
      <w:numPr>
        <w:ilvl w:val="3"/>
        <w:numId w:val="29"/>
      </w:numPr>
    </w:pPr>
  </w:style>
  <w:style w:type="paragraph" w:customStyle="1" w:styleId="Point2letter">
    <w:name w:val="Point 2 (letter)"/>
    <w:basedOn w:val="Normal"/>
    <w:pPr>
      <w:numPr>
        <w:ilvl w:val="5"/>
        <w:numId w:val="29"/>
      </w:numPr>
    </w:pPr>
  </w:style>
  <w:style w:type="paragraph" w:customStyle="1" w:styleId="Point3letter">
    <w:name w:val="Point 3 (letter)"/>
    <w:basedOn w:val="Normal"/>
    <w:pPr>
      <w:numPr>
        <w:ilvl w:val="7"/>
        <w:numId w:val="29"/>
      </w:numPr>
    </w:pPr>
  </w:style>
  <w:style w:type="paragraph" w:customStyle="1" w:styleId="Point4letter">
    <w:name w:val="Point 4 (letter)"/>
    <w:basedOn w:val="Normal"/>
    <w:pPr>
      <w:numPr>
        <w:ilvl w:val="8"/>
        <w:numId w:val="29"/>
      </w:numPr>
    </w:pPr>
  </w:style>
  <w:style w:type="paragraph" w:customStyle="1" w:styleId="Bullet0">
    <w:name w:val="Bullet 0"/>
    <w:basedOn w:val="Normal"/>
    <w:pPr>
      <w:numPr>
        <w:numId w:val="30"/>
      </w:numPr>
    </w:pPr>
  </w:style>
  <w:style w:type="paragraph" w:customStyle="1" w:styleId="Bullet1">
    <w:name w:val="Bullet 1"/>
    <w:basedOn w:val="Normal"/>
    <w:pPr>
      <w:numPr>
        <w:numId w:val="31"/>
      </w:numPr>
    </w:pPr>
  </w:style>
  <w:style w:type="paragraph" w:customStyle="1" w:styleId="Bullet2">
    <w:name w:val="Bullet 2"/>
    <w:basedOn w:val="Normal"/>
    <w:pPr>
      <w:numPr>
        <w:numId w:val="32"/>
      </w:numPr>
    </w:pPr>
  </w:style>
  <w:style w:type="paragraph" w:customStyle="1" w:styleId="Bullet3">
    <w:name w:val="Bullet 3"/>
    <w:basedOn w:val="Normal"/>
    <w:pPr>
      <w:numPr>
        <w:numId w:val="33"/>
      </w:numPr>
    </w:pPr>
  </w:style>
  <w:style w:type="paragraph" w:customStyle="1" w:styleId="Bullet4">
    <w:name w:val="Bullet 4"/>
    <w:basedOn w:val="Normal"/>
    <w:pPr>
      <w:numPr>
        <w:numId w:val="3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ffce5f05-4aa1-4e4f-a6fe-a0da6e7cad59">EN</EC_Collab_DocumentLanguage>
    <_Status xmlns="http://schemas.microsoft.com/sharepoint/v3/fields">Not Started</_Status>
    <EC_Collab_Status xmlns="ffce5f05-4aa1-4e4f-a6fe-a0da6e7cad59">Not Started</EC_Collab_Status>
    <EC_Collab_Reference xmlns="ffce5f05-4aa1-4e4f-a6fe-a0da6e7cad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33ED14F005B334D9CC5250622DB5351" ma:contentTypeVersion="0" ma:contentTypeDescription="Create a new document in this library." ma:contentTypeScope="" ma:versionID="350f47358dbdf4c9115c32c9c9b53343">
  <xsd:schema xmlns:xsd="http://www.w3.org/2001/XMLSchema" xmlns:xs="http://www.w3.org/2001/XMLSchema" xmlns:p="http://schemas.microsoft.com/office/2006/metadata/properties" xmlns:ns2="http://schemas.microsoft.com/sharepoint/v3/fields" xmlns:ns3="ffce5f05-4aa1-4e4f-a6fe-a0da6e7cad59" targetNamespace="http://schemas.microsoft.com/office/2006/metadata/properties" ma:root="true" ma:fieldsID="d99e77464ccaed693ebb241d56278a91" ns2:_="" ns3:_="">
    <xsd:import namespace="http://schemas.microsoft.com/sharepoint/v3/fields"/>
    <xsd:import namespace="ffce5f05-4aa1-4e4f-a6fe-a0da6e7cad59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e5f05-4aa1-4e4f-a6fe-a0da6e7cad59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FBFF9-3042-4413-A7D6-B60DFFBDBC28}">
  <ds:schemaRefs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ffce5f05-4aa1-4e4f-a6fe-a0da6e7cad59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FC4C5A-C06E-40B9-88F8-0C8CA46D1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7E0D3-33A8-4C3D-9841-81C007FBF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ffce5f05-4aa1-4e4f-a6fe-a0da6e7ca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16</Pages>
  <Words>5380</Words>
  <Characters>28247</Characters>
  <Application>Microsoft Office Word</Application>
  <DocSecurity>0</DocSecurity>
  <Lines>2567</Lines>
  <Paragraphs>2241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BARETTE Anne (EMPL)</dc:creator>
  <cp:lastModifiedBy>LAGES CARVALHO Patrick (SG)</cp:lastModifiedBy>
  <cp:revision>9</cp:revision>
  <cp:lastPrinted>2018-10-04T15:12:00Z</cp:lastPrinted>
  <dcterms:created xsi:type="dcterms:W3CDTF">2018-10-05T06:53:00Z</dcterms:created>
  <dcterms:modified xsi:type="dcterms:W3CDTF">2018-10-05T11:33:00Z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6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0x010100258AA79CEB83498886A3A0868112325000333ED14F005B334D9CC5250622DB5351</vt:lpwstr>
  </property>
  <property fmtid="{D5CDD505-2E9C-101B-9397-08002B2CF9AE}" pid="14" name="DQCStatus">
    <vt:lpwstr>Yellow (DQC version 03)</vt:lpwstr>
  </property>
</Properties>
</file>