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C63A91F2-FD82-4899-887F-2CF11B2142AB" style="width:449.85pt;height:423.95pt">
            <v:imagedata r:id="rId11" o:title=""/>
          </v:shape>
        </w:pict>
      </w:r>
    </w:p>
    <w:p>
      <w:pPr>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ANEXO I</w:t>
      </w:r>
    </w:p>
    <w:p>
      <w:pPr>
        <w:jc w:val="center"/>
        <w:rPr>
          <w:noProof/>
        </w:rPr>
      </w:pPr>
      <w:r>
        <w:rPr>
          <w:noProof/>
        </w:rPr>
        <w:t>Composição do corpo permanente da Guarda Europeia de Fronteiras e Costeira por ano e por categoria em conformidade com o artigo XX</w:t>
      </w:r>
    </w:p>
    <w:p>
      <w:pPr>
        <w:pStyle w:val="ListParagraph"/>
        <w:spacing w:before="0" w:after="0"/>
        <w:jc w:val="left"/>
        <w:rPr>
          <w:noProof/>
          <w:sz w:val="20"/>
          <w:szCs w:val="20"/>
        </w:rPr>
      </w:pPr>
    </w:p>
    <w:tbl>
      <w:tblPr>
        <w:tblpPr w:leftFromText="180" w:rightFromText="180" w:vertAnchor="text" w:horzAnchor="margin" w:tblpY="-6"/>
        <w:tblW w:w="8762" w:type="dxa"/>
        <w:tblCellMar>
          <w:left w:w="0" w:type="dxa"/>
          <w:right w:w="0" w:type="dxa"/>
        </w:tblCellMar>
        <w:tblLook w:val="04A0" w:firstRow="1" w:lastRow="0" w:firstColumn="1" w:lastColumn="0" w:noHBand="0" w:noVBand="1"/>
      </w:tblPr>
      <w:tblGrid>
        <w:gridCol w:w="1672"/>
        <w:gridCol w:w="1756"/>
        <w:gridCol w:w="2138"/>
        <w:gridCol w:w="1758"/>
        <w:gridCol w:w="1443"/>
      </w:tblGrid>
      <w:tr>
        <w:trPr>
          <w:trHeight w:val="1249"/>
        </w:trPr>
        <w:tc>
          <w:tcPr>
            <w:tcW w:w="167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pPr>
              <w:jc w:val="center"/>
              <w:rPr>
                <w:b/>
                <w:noProof/>
                <w:color w:val="000000"/>
              </w:rPr>
            </w:pPr>
            <w:r>
              <w:rPr>
                <w:b/>
                <w:noProof/>
                <w:color w:val="000000"/>
              </w:rPr>
              <w:t>Categoria Ano</w:t>
            </w:r>
          </w:p>
        </w:tc>
        <w:tc>
          <w:tcPr>
            <w:tcW w:w="175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pPr>
              <w:jc w:val="center"/>
              <w:rPr>
                <w:b/>
                <w:noProof/>
                <w:color w:val="000000"/>
              </w:rPr>
            </w:pPr>
            <w:r>
              <w:rPr>
                <w:b/>
                <w:noProof/>
                <w:color w:val="000000"/>
              </w:rPr>
              <w:t>Categoria 1 Pessoal da Agência</w:t>
            </w:r>
          </w:p>
        </w:tc>
        <w:tc>
          <w:tcPr>
            <w:tcW w:w="213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pPr>
              <w:jc w:val="center"/>
              <w:rPr>
                <w:b/>
                <w:noProof/>
                <w:color w:val="000000"/>
              </w:rPr>
            </w:pPr>
            <w:r>
              <w:rPr>
                <w:b/>
                <w:noProof/>
                <w:color w:val="000000"/>
              </w:rPr>
              <w:t>Categoria 2</w:t>
            </w:r>
          </w:p>
          <w:p>
            <w:pPr>
              <w:jc w:val="center"/>
              <w:rPr>
                <w:b/>
                <w:noProof/>
                <w:color w:val="000000"/>
              </w:rPr>
            </w:pPr>
            <w:r>
              <w:rPr>
                <w:b/>
                <w:noProof/>
                <w:color w:val="000000"/>
              </w:rPr>
              <w:t>Pessoal operacional para destacamentos de longa duração</w:t>
            </w:r>
          </w:p>
        </w:tc>
        <w:tc>
          <w:tcPr>
            <w:tcW w:w="175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pPr>
              <w:jc w:val="center"/>
              <w:rPr>
                <w:b/>
                <w:noProof/>
                <w:color w:val="000000"/>
              </w:rPr>
            </w:pPr>
            <w:r>
              <w:rPr>
                <w:b/>
                <w:noProof/>
                <w:color w:val="000000"/>
              </w:rPr>
              <w:t xml:space="preserve">Categoria 3 </w:t>
            </w:r>
          </w:p>
          <w:p>
            <w:pPr>
              <w:jc w:val="center"/>
              <w:rPr>
                <w:b/>
                <w:noProof/>
                <w:color w:val="000000"/>
              </w:rPr>
            </w:pPr>
            <w:r>
              <w:rPr>
                <w:b/>
                <w:noProof/>
                <w:color w:val="000000"/>
              </w:rPr>
              <w:t>Pessoal operacional para destacamentos de curta duração</w:t>
            </w:r>
          </w:p>
        </w:tc>
        <w:tc>
          <w:tcPr>
            <w:tcW w:w="143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pPr>
              <w:jc w:val="center"/>
              <w:rPr>
                <w:b/>
                <w:iCs/>
                <w:noProof/>
                <w:color w:val="000000"/>
              </w:rPr>
            </w:pPr>
            <w:r>
              <w:rPr>
                <w:b/>
                <w:noProof/>
                <w:color w:val="000000"/>
              </w:rPr>
              <w:t>Total para o corpo permanente da Guarda Europeia de Fronteiras e Costeira</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2020</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1 500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1 500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7 000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2021</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6 000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2022</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6 000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2023</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5 000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2024</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5 000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2025</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4 000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2026</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4 000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2027</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4 000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bl>
    <w:p>
      <w:pPr>
        <w:spacing w:before="0" w:after="160" w:line="259" w:lineRule="auto"/>
        <w:jc w:val="center"/>
        <w:rPr>
          <w:rFonts w:ascii="Calibri" w:eastAsia="Calibri" w:hAnsi="Calibri"/>
          <w:noProof/>
          <w:sz w:val="22"/>
        </w:rPr>
      </w:pPr>
    </w:p>
    <w:p>
      <w:pPr>
        <w:rPr>
          <w:noProof/>
        </w:rPr>
        <w:sectPr>
          <w:footerReference w:type="default" r:id="rId18"/>
          <w:footerReference w:type="first" r:id="rId19"/>
          <w:pgSz w:w="11907" w:h="16839"/>
          <w:pgMar w:top="1134" w:right="1417" w:bottom="1134" w:left="1417" w:header="709" w:footer="709" w:gutter="0"/>
          <w:cols w:space="720"/>
          <w:docGrid w:linePitch="360"/>
        </w:sectPr>
      </w:pPr>
    </w:p>
    <w:p>
      <w:pPr>
        <w:pStyle w:val="Annexetitre"/>
        <w:rPr>
          <w:noProof/>
        </w:rPr>
      </w:pPr>
      <w:r>
        <w:rPr>
          <w:noProof/>
        </w:rPr>
        <w:lastRenderedPageBreak/>
        <w:t>ANEXO II</w:t>
      </w:r>
    </w:p>
    <w:p>
      <w:pPr>
        <w:jc w:val="center"/>
        <w:rPr>
          <w:b/>
          <w:noProof/>
        </w:rPr>
      </w:pPr>
      <w:r>
        <w:rPr>
          <w:b/>
          <w:noProof/>
        </w:rPr>
        <w:t xml:space="preserve">Lista das tarefas a realizar pelo pessoal estatutário da Agência na qualidade de membros das equipas destacados a partir do corpo permanente da Guarda Europeia de Fronteiras e Costeira e que exigem poderes executivos </w:t>
      </w:r>
    </w:p>
    <w:p>
      <w:pPr>
        <w:pStyle w:val="NumPar1"/>
        <w:numPr>
          <w:ilvl w:val="0"/>
          <w:numId w:val="14"/>
        </w:numPr>
        <w:rPr>
          <w:noProof/>
        </w:rPr>
      </w:pPr>
      <w:r>
        <w:rPr>
          <w:noProof/>
        </w:rPr>
        <w:t>Verificação da identidade e da nacionalidade de pessoas, incluindo a consulta das bases de dados relevantes a nível nacional e da UE;</w:t>
      </w:r>
    </w:p>
    <w:p>
      <w:pPr>
        <w:pStyle w:val="NumPar1"/>
        <w:rPr>
          <w:noProof/>
        </w:rPr>
      </w:pPr>
      <w:r>
        <w:rPr>
          <w:noProof/>
        </w:rPr>
        <w:t>Autorização de entrada após controlo realizado nos pontos de passagem das fronteiras (caso sejam respeitadas as condições de entrada previstas no artigo 6.º do Código das Fronteiras Schengen);</w:t>
      </w:r>
    </w:p>
    <w:p>
      <w:pPr>
        <w:pStyle w:val="NumPar1"/>
        <w:rPr>
          <w:noProof/>
        </w:rPr>
      </w:pPr>
      <w:r>
        <w:rPr>
          <w:noProof/>
        </w:rPr>
        <w:t>Recusa de entrada após controlo realizado nos pontos de passagem das fronteiras, em conformidade com o artigo 14.º do Código das Fronteiras Schengen;</w:t>
      </w:r>
    </w:p>
    <w:p>
      <w:pPr>
        <w:pStyle w:val="NumPar1"/>
        <w:rPr>
          <w:noProof/>
        </w:rPr>
      </w:pPr>
      <w:r>
        <w:rPr>
          <w:noProof/>
        </w:rPr>
        <w:t>Aposição de carimbo nos documentos de viagem, em conformidade com o artigo 11.º do Código das Fronteiras Schengen;</w:t>
      </w:r>
    </w:p>
    <w:p>
      <w:pPr>
        <w:pStyle w:val="NumPar1"/>
        <w:rPr>
          <w:noProof/>
        </w:rPr>
      </w:pPr>
      <w:r>
        <w:rPr>
          <w:noProof/>
        </w:rPr>
        <w:t>Emissão ou recusa de vistos na fronteira, em conformidade com o artigo 35.º do Código dos Vistos, e introdução dos dados pertinentes no VIS;</w:t>
      </w:r>
    </w:p>
    <w:p>
      <w:pPr>
        <w:pStyle w:val="NumPar1"/>
        <w:rPr>
          <w:noProof/>
        </w:rPr>
      </w:pPr>
      <w:r>
        <w:rPr>
          <w:noProof/>
        </w:rPr>
        <w:t>Vigilância das fronteiras incluindo a patrulha entre pontos de passagem das fronteiras a fim de impedir as passagens não autorizadas, lutar contra a criminalidade transfronteiriça e tomar medidas contra pessoas que tenham atravessado ilegalmente as fronteiras, incluindo a sua interceção ou detenção;</w:t>
      </w:r>
    </w:p>
    <w:p>
      <w:pPr>
        <w:pStyle w:val="NumPar1"/>
        <w:rPr>
          <w:noProof/>
        </w:rPr>
      </w:pPr>
      <w:r>
        <w:rPr>
          <w:noProof/>
        </w:rPr>
        <w:t>Registo das impressões digitais das pessoas detidas por ocasião da passagem ilegal de uma fronteira externa no EURODAC (categoria 2), em conformidade com o capítulo III do Regulamento EURODAC;</w:t>
      </w:r>
    </w:p>
    <w:p>
      <w:pPr>
        <w:pStyle w:val="NumPar1"/>
        <w:rPr>
          <w:noProof/>
        </w:rPr>
      </w:pPr>
      <w:r>
        <w:rPr>
          <w:noProof/>
        </w:rPr>
        <w:t>Cooperação com países terceiros com vista à identificação e à obtenção de documentos de viagem para os nacionais de países terceiros sujeitos ao regresso;</w:t>
      </w:r>
    </w:p>
    <w:p>
      <w:pPr>
        <w:pStyle w:val="NumPar1"/>
        <w:rPr>
          <w:noProof/>
        </w:rPr>
      </w:pPr>
      <w:r>
        <w:rPr>
          <w:noProof/>
        </w:rPr>
        <w:t>Escolta de nacionais de países terceiros sujeitos ao regresso forçado.</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lastRenderedPageBreak/>
        <w:t>ANEXO III</w:t>
      </w:r>
    </w:p>
    <w:p>
      <w:pPr>
        <w:spacing w:before="0" w:after="160" w:line="259" w:lineRule="auto"/>
        <w:jc w:val="center"/>
        <w:rPr>
          <w:rFonts w:eastAsia="Calibri"/>
          <w:b/>
          <w:noProof/>
          <w:szCs w:val="24"/>
        </w:rPr>
      </w:pPr>
      <w:r>
        <w:rPr>
          <w:b/>
          <w:noProof/>
        </w:rPr>
        <w:t>Quadro das contribuições anuais dos Estados-Membros para o corpo permanente da Guarda Europeia de Fronteiras e Costeira mediante o destacamento de longa duração de pessoal operacional, em conformidade com o artigo 57.º</w:t>
      </w:r>
    </w:p>
    <w:p>
      <w:pPr>
        <w:spacing w:before="0" w:after="160" w:line="259" w:lineRule="auto"/>
        <w:rPr>
          <w:rFonts w:ascii="Calibri" w:eastAsia="Calibri" w:hAnsi="Calibri"/>
          <w:b/>
          <w:i/>
          <w:noProof/>
          <w:sz w:val="22"/>
        </w:rPr>
      </w:pPr>
    </w:p>
    <w:tbl>
      <w:tblPr>
        <w:tblW w:w="8821" w:type="dxa"/>
        <w:tblLook w:val="04A0" w:firstRow="1" w:lastRow="0" w:firstColumn="1" w:lastColumn="0" w:noHBand="0" w:noVBand="1"/>
      </w:tblPr>
      <w:tblGrid>
        <w:gridCol w:w="1732"/>
        <w:gridCol w:w="932"/>
        <w:gridCol w:w="891"/>
        <w:gridCol w:w="836"/>
        <w:gridCol w:w="836"/>
        <w:gridCol w:w="932"/>
        <w:gridCol w:w="932"/>
        <w:gridCol w:w="932"/>
        <w:gridCol w:w="798"/>
      </w:tblGrid>
      <w:tr>
        <w:trPr>
          <w:trHeight w:val="317"/>
          <w:tblHeader/>
        </w:trPr>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País / Ano</w:t>
            </w:r>
          </w:p>
        </w:tc>
        <w:tc>
          <w:tcPr>
            <w:tcW w:w="9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2020</w:t>
            </w:r>
          </w:p>
        </w:tc>
        <w:tc>
          <w:tcPr>
            <w:tcW w:w="90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2021</w:t>
            </w:r>
          </w:p>
        </w:tc>
        <w:tc>
          <w:tcPr>
            <w:tcW w:w="84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2022</w:t>
            </w:r>
          </w:p>
        </w:tc>
        <w:tc>
          <w:tcPr>
            <w:tcW w:w="8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2023</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2024</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2025</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2026</w:t>
            </w:r>
          </w:p>
        </w:tc>
        <w:tc>
          <w:tcPr>
            <w:tcW w:w="8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2027</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Bélgica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Bulgária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República Checa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Dinamarca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29</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39</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39</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Alemanha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298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298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377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377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Estónia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24</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36</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Grécia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Espanha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111</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148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148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222</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222</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França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170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225</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Croácia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Itália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250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Chipre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Letónia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Lituânia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39</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52</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Luxemburgo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Hungria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Malta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Países Baixos</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Áustria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68</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Polónia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Portugal</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94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94</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94</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Roménia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150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Eslovénia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Eslováquia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Finlândia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Suécia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17</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0" w:after="160" w:line="259" w:lineRule="auto"/>
              <w:jc w:val="left"/>
              <w:rPr>
                <w:rFonts w:eastAsia="Times New Roman"/>
                <w:b/>
                <w:bCs/>
                <w:noProof/>
                <w:sz w:val="22"/>
              </w:rPr>
            </w:pPr>
            <w:r>
              <w:rPr>
                <w:b/>
                <w:noProof/>
                <w:sz w:val="22"/>
              </w:rPr>
              <w:t>[Suíça]</w:t>
            </w:r>
          </w:p>
        </w:tc>
        <w:tc>
          <w:tcPr>
            <w:tcW w:w="951"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16</w:t>
            </w:r>
          </w:p>
        </w:tc>
        <w:tc>
          <w:tcPr>
            <w:tcW w:w="906"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21</w:t>
            </w:r>
          </w:p>
        </w:tc>
        <w:tc>
          <w:tcPr>
            <w:tcW w:w="845"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21</w:t>
            </w:r>
          </w:p>
        </w:tc>
        <w:tc>
          <w:tcPr>
            <w:tcW w:w="844"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27</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27</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32</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32</w:t>
            </w:r>
          </w:p>
        </w:tc>
        <w:tc>
          <w:tcPr>
            <w:tcW w:w="802"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32</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0" w:after="160" w:line="259" w:lineRule="auto"/>
              <w:jc w:val="left"/>
              <w:rPr>
                <w:rFonts w:eastAsia="Times New Roman"/>
                <w:b/>
                <w:bCs/>
                <w:noProof/>
                <w:sz w:val="22"/>
              </w:rPr>
            </w:pPr>
            <w:r>
              <w:rPr>
                <w:b/>
                <w:noProof/>
                <w:sz w:val="22"/>
              </w:rPr>
              <w:t>[Islândia]</w:t>
            </w:r>
          </w:p>
        </w:tc>
        <w:tc>
          <w:tcPr>
            <w:tcW w:w="951"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w:t>
            </w:r>
          </w:p>
        </w:tc>
        <w:tc>
          <w:tcPr>
            <w:tcW w:w="906"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w:t>
            </w:r>
          </w:p>
        </w:tc>
        <w:tc>
          <w:tcPr>
            <w:tcW w:w="845"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w:t>
            </w:r>
          </w:p>
        </w:tc>
        <w:tc>
          <w:tcPr>
            <w:tcW w:w="844"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w:t>
            </w:r>
          </w:p>
        </w:tc>
        <w:tc>
          <w:tcPr>
            <w:tcW w:w="802"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0" w:after="160" w:line="259" w:lineRule="auto"/>
              <w:jc w:val="left"/>
              <w:rPr>
                <w:rFonts w:eastAsia="Times New Roman"/>
                <w:b/>
                <w:bCs/>
                <w:noProof/>
                <w:sz w:val="22"/>
              </w:rPr>
            </w:pPr>
            <w:r>
              <w:rPr>
                <w:b/>
                <w:noProof/>
                <w:sz w:val="22"/>
              </w:rPr>
              <w:t>[Liechtenstein]*</w:t>
            </w:r>
          </w:p>
        </w:tc>
        <w:tc>
          <w:tcPr>
            <w:tcW w:w="951"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906"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845"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844"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802"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0" w:after="160" w:line="259" w:lineRule="auto"/>
              <w:jc w:val="left"/>
              <w:rPr>
                <w:rFonts w:eastAsia="Times New Roman"/>
                <w:b/>
                <w:bCs/>
                <w:noProof/>
                <w:sz w:val="22"/>
              </w:rPr>
            </w:pPr>
            <w:r>
              <w:rPr>
                <w:b/>
                <w:noProof/>
                <w:sz w:val="22"/>
              </w:rPr>
              <w:t>[Noruega]</w:t>
            </w:r>
          </w:p>
        </w:tc>
        <w:tc>
          <w:tcPr>
            <w:tcW w:w="951"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20</w:t>
            </w:r>
          </w:p>
        </w:tc>
        <w:tc>
          <w:tcPr>
            <w:tcW w:w="906"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27</w:t>
            </w:r>
          </w:p>
        </w:tc>
        <w:tc>
          <w:tcPr>
            <w:tcW w:w="845"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27</w:t>
            </w:r>
          </w:p>
        </w:tc>
        <w:tc>
          <w:tcPr>
            <w:tcW w:w="844"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40</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40</w:t>
            </w:r>
          </w:p>
        </w:tc>
        <w:tc>
          <w:tcPr>
            <w:tcW w:w="802"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TOTAL</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1 500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2 000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2 000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2 500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2 500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3 000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3 000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3 000</w:t>
            </w:r>
          </w:p>
        </w:tc>
      </w:tr>
    </w:tbl>
    <w:p>
      <w:pPr>
        <w:spacing w:before="0" w:after="160" w:line="259" w:lineRule="auto"/>
        <w:jc w:val="left"/>
        <w:rPr>
          <w:rFonts w:eastAsia="Times New Roman"/>
          <w:noProof/>
          <w:szCs w:val="24"/>
        </w:rPr>
      </w:pPr>
      <w:r>
        <w:rPr>
          <w:noProof/>
        </w:rPr>
        <w:t>(*) O Liechtenstein contribuirá proporcionalmente com apoio financeiro</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ANEXO IV</w:t>
      </w:r>
    </w:p>
    <w:p>
      <w:pPr>
        <w:spacing w:before="0" w:after="160" w:line="259" w:lineRule="auto"/>
        <w:jc w:val="center"/>
        <w:rPr>
          <w:rFonts w:eastAsia="Calibri"/>
          <w:noProof/>
          <w:szCs w:val="24"/>
        </w:rPr>
      </w:pPr>
      <w:r>
        <w:rPr>
          <w:b/>
          <w:noProof/>
        </w:rPr>
        <w:t>Contribuições anuais dos Estados-Membros para o corpo permanente da GEFC mediante o destacamento de curta duração do pessoal operacional, em conformidade com o artigo 58.º</w:t>
      </w:r>
    </w:p>
    <w:p>
      <w:pPr>
        <w:spacing w:before="0" w:after="160" w:line="259" w:lineRule="auto"/>
        <w:jc w:val="center"/>
        <w:rPr>
          <w:rFonts w:ascii="Calibri" w:eastAsia="Calibri" w:hAnsi="Calibri"/>
          <w:noProof/>
          <w:sz w:val="22"/>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2"/>
        <w:gridCol w:w="960"/>
        <w:gridCol w:w="883"/>
        <w:gridCol w:w="850"/>
        <w:gridCol w:w="992"/>
        <w:gridCol w:w="851"/>
        <w:gridCol w:w="992"/>
        <w:gridCol w:w="711"/>
      </w:tblGrid>
      <w:tr>
        <w:trPr>
          <w:trHeight w:val="601"/>
          <w:jc w:val="center"/>
        </w:trPr>
        <w:tc>
          <w:tcPr>
            <w:tcW w:w="1800" w:type="dxa"/>
            <w:shd w:val="clear" w:color="auto" w:fill="D9D9D9" w:themeFill="background1" w:themeFillShade="D9"/>
            <w:noWrap/>
            <w:vAlign w:val="center"/>
            <w:hideMark/>
          </w:tcPr>
          <w:p>
            <w:pPr>
              <w:spacing w:before="0" w:after="0"/>
              <w:jc w:val="center"/>
              <w:rPr>
                <w:rFonts w:eastAsia="Times New Roman"/>
                <w:b/>
                <w:bCs/>
                <w:noProof/>
                <w:sz w:val="22"/>
              </w:rPr>
            </w:pPr>
            <w:r>
              <w:rPr>
                <w:b/>
                <w:noProof/>
                <w:sz w:val="22"/>
              </w:rPr>
              <w:t>País / Ano</w:t>
            </w:r>
          </w:p>
        </w:tc>
        <w:tc>
          <w:tcPr>
            <w:tcW w:w="752"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2020</w:t>
            </w:r>
          </w:p>
        </w:tc>
        <w:tc>
          <w:tcPr>
            <w:tcW w:w="960" w:type="dxa"/>
            <w:shd w:val="clear" w:color="auto" w:fill="D9D9D9" w:themeFill="background1" w:themeFillShade="D9"/>
            <w:noWrap/>
            <w:vAlign w:val="center"/>
            <w:hideMark/>
          </w:tcPr>
          <w:p>
            <w:pPr>
              <w:spacing w:before="0" w:after="0"/>
              <w:jc w:val="center"/>
              <w:rPr>
                <w:rFonts w:eastAsia="Times New Roman"/>
                <w:b/>
                <w:bCs/>
                <w:noProof/>
                <w:sz w:val="22"/>
              </w:rPr>
            </w:pPr>
            <w:r>
              <w:rPr>
                <w:b/>
                <w:noProof/>
                <w:sz w:val="22"/>
              </w:rPr>
              <w:t>2021</w:t>
            </w:r>
          </w:p>
        </w:tc>
        <w:tc>
          <w:tcPr>
            <w:tcW w:w="883"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2022</w:t>
            </w:r>
          </w:p>
        </w:tc>
        <w:tc>
          <w:tcPr>
            <w:tcW w:w="850"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2023</w:t>
            </w:r>
          </w:p>
        </w:tc>
        <w:tc>
          <w:tcPr>
            <w:tcW w:w="992"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2024</w:t>
            </w:r>
          </w:p>
        </w:tc>
        <w:tc>
          <w:tcPr>
            <w:tcW w:w="851"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2025</w:t>
            </w:r>
          </w:p>
        </w:tc>
        <w:tc>
          <w:tcPr>
            <w:tcW w:w="992"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2026</w:t>
            </w:r>
          </w:p>
        </w:tc>
        <w:tc>
          <w:tcPr>
            <w:tcW w:w="709"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2027</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Bélgica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80</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Bulgária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187</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160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160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107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107</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107</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República Checa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67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67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53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53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53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Dinamarca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135</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116</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116</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97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97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77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77</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77</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Alemanha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1052</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900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900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748</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748</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602</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602</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602</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Estónia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84</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72</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72</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60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60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48</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48</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48</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Grécia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233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167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167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133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Espanha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518</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444</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444</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370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370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296</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296</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296</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França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795</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680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680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565</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565</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455</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455</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455</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Croácia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303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260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260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173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173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173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Itália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583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500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500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417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417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333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333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333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Chipre</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37</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32</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32</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21</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21</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21</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Letónia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80</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Lituânia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182</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156</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156</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130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130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104</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104</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104</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Luxemburgo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37</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32</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32</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21</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21</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21</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Hungria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303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260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260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173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173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173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Malta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28</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24</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24</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16</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16</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16</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Países Baixos</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233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167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167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133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Áustria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159</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136</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136</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113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113</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91</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91</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91</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Polónia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467</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400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400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333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333</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267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267</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267</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Portugal</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219</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188</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188</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157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157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125</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125</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125</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Roménia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350</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300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300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250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250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200</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Eslovénia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163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93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Eslováquia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163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93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Finlândia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80</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Suécia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79</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68</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68</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57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57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45</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45</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45</w:t>
            </w:r>
          </w:p>
        </w:tc>
      </w:tr>
      <w:tr>
        <w:trPr>
          <w:trHeight w:val="300"/>
          <w:jc w:val="center"/>
        </w:trPr>
        <w:tc>
          <w:tcPr>
            <w:tcW w:w="1800" w:type="dxa"/>
            <w:shd w:val="clear" w:color="auto" w:fill="auto"/>
            <w:noWrap/>
            <w:vAlign w:val="bottom"/>
          </w:tcPr>
          <w:p>
            <w:pPr>
              <w:spacing w:before="0" w:after="0"/>
              <w:jc w:val="left"/>
              <w:rPr>
                <w:rFonts w:eastAsia="Times New Roman"/>
                <w:b/>
                <w:noProof/>
                <w:sz w:val="22"/>
              </w:rPr>
            </w:pPr>
            <w:r>
              <w:rPr>
                <w:b/>
                <w:noProof/>
                <w:sz w:val="22"/>
              </w:rPr>
              <w:t>[Suíça]</w:t>
            </w:r>
          </w:p>
        </w:tc>
        <w:tc>
          <w:tcPr>
            <w:tcW w:w="752" w:type="dxa"/>
            <w:shd w:val="clear" w:color="auto" w:fill="auto"/>
            <w:noWrap/>
            <w:vAlign w:val="center"/>
          </w:tcPr>
          <w:p>
            <w:pPr>
              <w:spacing w:before="0" w:after="0"/>
              <w:jc w:val="right"/>
              <w:rPr>
                <w:rFonts w:eastAsia="Times New Roman"/>
                <w:noProof/>
                <w:sz w:val="22"/>
              </w:rPr>
            </w:pPr>
            <w:r>
              <w:rPr>
                <w:noProof/>
                <w:color w:val="000000"/>
                <w:sz w:val="22"/>
              </w:rPr>
              <w:t>75</w:t>
            </w:r>
          </w:p>
        </w:tc>
        <w:tc>
          <w:tcPr>
            <w:tcW w:w="960" w:type="dxa"/>
            <w:shd w:val="clear" w:color="auto" w:fill="auto"/>
            <w:noWrap/>
            <w:vAlign w:val="center"/>
          </w:tcPr>
          <w:p>
            <w:pPr>
              <w:spacing w:before="0" w:after="0"/>
              <w:jc w:val="right"/>
              <w:rPr>
                <w:rFonts w:eastAsia="Times New Roman"/>
                <w:noProof/>
                <w:sz w:val="22"/>
              </w:rPr>
            </w:pPr>
            <w:r>
              <w:rPr>
                <w:noProof/>
                <w:color w:val="000000"/>
                <w:sz w:val="22"/>
              </w:rPr>
              <w:t>64</w:t>
            </w:r>
          </w:p>
        </w:tc>
        <w:tc>
          <w:tcPr>
            <w:tcW w:w="883" w:type="dxa"/>
            <w:shd w:val="clear" w:color="auto" w:fill="auto"/>
            <w:noWrap/>
            <w:vAlign w:val="center"/>
          </w:tcPr>
          <w:p>
            <w:pPr>
              <w:spacing w:before="0" w:after="0"/>
              <w:jc w:val="right"/>
              <w:rPr>
                <w:rFonts w:eastAsia="Times New Roman"/>
                <w:noProof/>
                <w:sz w:val="22"/>
              </w:rPr>
            </w:pPr>
            <w:r>
              <w:rPr>
                <w:noProof/>
                <w:color w:val="000000"/>
                <w:sz w:val="22"/>
              </w:rPr>
              <w:t>64</w:t>
            </w:r>
          </w:p>
        </w:tc>
        <w:tc>
          <w:tcPr>
            <w:tcW w:w="850" w:type="dxa"/>
            <w:shd w:val="clear" w:color="auto" w:fill="auto"/>
            <w:noWrap/>
            <w:vAlign w:val="center"/>
          </w:tcPr>
          <w:p>
            <w:pPr>
              <w:spacing w:before="0" w:after="0"/>
              <w:jc w:val="right"/>
              <w:rPr>
                <w:rFonts w:eastAsia="Times New Roman"/>
                <w:noProof/>
                <w:sz w:val="22"/>
              </w:rPr>
            </w:pPr>
            <w:r>
              <w:rPr>
                <w:noProof/>
                <w:color w:val="000000"/>
                <w:sz w:val="22"/>
              </w:rPr>
              <w:t>53</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53</w:t>
            </w:r>
          </w:p>
        </w:tc>
        <w:tc>
          <w:tcPr>
            <w:tcW w:w="851" w:type="dxa"/>
            <w:shd w:val="clear" w:color="auto" w:fill="auto"/>
            <w:noWrap/>
            <w:vAlign w:val="center"/>
          </w:tcPr>
          <w:p>
            <w:pPr>
              <w:spacing w:before="0" w:after="0"/>
              <w:jc w:val="right"/>
              <w:rPr>
                <w:rFonts w:eastAsia="Times New Roman"/>
                <w:noProof/>
                <w:sz w:val="22"/>
              </w:rPr>
            </w:pPr>
            <w:r>
              <w:rPr>
                <w:noProof/>
                <w:color w:val="000000"/>
                <w:sz w:val="22"/>
              </w:rPr>
              <w:t>43</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43</w:t>
            </w:r>
          </w:p>
        </w:tc>
        <w:tc>
          <w:tcPr>
            <w:tcW w:w="709" w:type="dxa"/>
            <w:shd w:val="clear" w:color="auto" w:fill="auto"/>
            <w:noWrap/>
            <w:vAlign w:val="center"/>
          </w:tcPr>
          <w:p>
            <w:pPr>
              <w:spacing w:before="0" w:after="0"/>
              <w:jc w:val="right"/>
              <w:rPr>
                <w:rFonts w:eastAsia="Times New Roman"/>
                <w:noProof/>
                <w:sz w:val="22"/>
              </w:rPr>
            </w:pPr>
            <w:r>
              <w:rPr>
                <w:noProof/>
                <w:color w:val="000000"/>
                <w:sz w:val="22"/>
              </w:rPr>
              <w:t>43</w:t>
            </w:r>
          </w:p>
        </w:tc>
      </w:tr>
      <w:tr>
        <w:trPr>
          <w:trHeight w:val="300"/>
          <w:jc w:val="center"/>
        </w:trPr>
        <w:tc>
          <w:tcPr>
            <w:tcW w:w="1800" w:type="dxa"/>
            <w:shd w:val="clear" w:color="auto" w:fill="auto"/>
            <w:noWrap/>
            <w:vAlign w:val="bottom"/>
          </w:tcPr>
          <w:p>
            <w:pPr>
              <w:spacing w:before="0" w:after="0"/>
              <w:jc w:val="left"/>
              <w:rPr>
                <w:rFonts w:eastAsia="Times New Roman"/>
                <w:b/>
                <w:noProof/>
                <w:sz w:val="22"/>
              </w:rPr>
            </w:pPr>
            <w:r>
              <w:rPr>
                <w:b/>
                <w:noProof/>
                <w:sz w:val="22"/>
              </w:rPr>
              <w:t>[Islândia]</w:t>
            </w:r>
          </w:p>
        </w:tc>
        <w:tc>
          <w:tcPr>
            <w:tcW w:w="752" w:type="dxa"/>
            <w:shd w:val="clear" w:color="auto" w:fill="auto"/>
            <w:noWrap/>
            <w:vAlign w:val="center"/>
          </w:tcPr>
          <w:p>
            <w:pPr>
              <w:spacing w:before="0" w:after="0"/>
              <w:jc w:val="right"/>
              <w:rPr>
                <w:rFonts w:eastAsia="Times New Roman"/>
                <w:noProof/>
                <w:sz w:val="22"/>
              </w:rPr>
            </w:pPr>
            <w:r>
              <w:rPr>
                <w:noProof/>
                <w:color w:val="000000"/>
                <w:sz w:val="22"/>
              </w:rPr>
              <w:t>9</w:t>
            </w:r>
          </w:p>
        </w:tc>
        <w:tc>
          <w:tcPr>
            <w:tcW w:w="960" w:type="dxa"/>
            <w:shd w:val="clear" w:color="auto" w:fill="auto"/>
            <w:noWrap/>
            <w:vAlign w:val="center"/>
          </w:tcPr>
          <w:p>
            <w:pPr>
              <w:spacing w:before="0" w:after="0"/>
              <w:jc w:val="right"/>
              <w:rPr>
                <w:rFonts w:eastAsia="Times New Roman"/>
                <w:noProof/>
                <w:sz w:val="22"/>
              </w:rPr>
            </w:pPr>
            <w:r>
              <w:rPr>
                <w:noProof/>
                <w:color w:val="000000"/>
                <w:sz w:val="22"/>
              </w:rPr>
              <w:t>8</w:t>
            </w:r>
          </w:p>
        </w:tc>
        <w:tc>
          <w:tcPr>
            <w:tcW w:w="883" w:type="dxa"/>
            <w:shd w:val="clear" w:color="auto" w:fill="auto"/>
            <w:noWrap/>
            <w:vAlign w:val="center"/>
          </w:tcPr>
          <w:p>
            <w:pPr>
              <w:spacing w:before="0" w:after="0"/>
              <w:jc w:val="right"/>
              <w:rPr>
                <w:rFonts w:eastAsia="Times New Roman"/>
                <w:noProof/>
                <w:sz w:val="22"/>
              </w:rPr>
            </w:pPr>
            <w:r>
              <w:rPr>
                <w:noProof/>
                <w:color w:val="000000"/>
                <w:sz w:val="22"/>
              </w:rPr>
              <w:t>8</w:t>
            </w:r>
          </w:p>
        </w:tc>
        <w:tc>
          <w:tcPr>
            <w:tcW w:w="850" w:type="dxa"/>
            <w:shd w:val="clear" w:color="auto" w:fill="auto"/>
            <w:noWrap/>
            <w:vAlign w:val="center"/>
          </w:tcPr>
          <w:p>
            <w:pPr>
              <w:spacing w:before="0" w:after="0"/>
              <w:jc w:val="right"/>
              <w:rPr>
                <w:rFonts w:eastAsia="Times New Roman"/>
                <w:noProof/>
                <w:sz w:val="22"/>
              </w:rPr>
            </w:pPr>
            <w:r>
              <w:rPr>
                <w:noProof/>
                <w:color w:val="000000"/>
                <w:sz w:val="22"/>
              </w:rPr>
              <w:t>7</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7</w:t>
            </w:r>
          </w:p>
        </w:tc>
        <w:tc>
          <w:tcPr>
            <w:tcW w:w="851" w:type="dxa"/>
            <w:shd w:val="clear" w:color="auto" w:fill="auto"/>
            <w:noWrap/>
            <w:vAlign w:val="center"/>
          </w:tcPr>
          <w:p>
            <w:pPr>
              <w:spacing w:before="0" w:after="0"/>
              <w:jc w:val="right"/>
              <w:rPr>
                <w:rFonts w:eastAsia="Times New Roman"/>
                <w:noProof/>
                <w:sz w:val="22"/>
              </w:rPr>
            </w:pPr>
            <w:r>
              <w:rPr>
                <w:noProof/>
                <w:color w:val="000000"/>
                <w:sz w:val="22"/>
              </w:rPr>
              <w:t>5</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5</w:t>
            </w:r>
          </w:p>
        </w:tc>
        <w:tc>
          <w:tcPr>
            <w:tcW w:w="709" w:type="dxa"/>
            <w:shd w:val="clear" w:color="auto" w:fill="auto"/>
            <w:noWrap/>
            <w:vAlign w:val="center"/>
          </w:tcPr>
          <w:p>
            <w:pPr>
              <w:spacing w:before="0" w:after="0"/>
              <w:jc w:val="right"/>
              <w:rPr>
                <w:rFonts w:eastAsia="Times New Roman"/>
                <w:noProof/>
                <w:sz w:val="22"/>
              </w:rPr>
            </w:pPr>
            <w:r>
              <w:rPr>
                <w:noProof/>
                <w:color w:val="000000"/>
                <w:sz w:val="22"/>
              </w:rPr>
              <w:t>5</w:t>
            </w:r>
          </w:p>
        </w:tc>
      </w:tr>
      <w:tr>
        <w:trPr>
          <w:trHeight w:val="300"/>
          <w:jc w:val="center"/>
        </w:trPr>
        <w:tc>
          <w:tcPr>
            <w:tcW w:w="1800" w:type="dxa"/>
            <w:shd w:val="clear" w:color="auto" w:fill="auto"/>
            <w:noWrap/>
            <w:vAlign w:val="bottom"/>
          </w:tcPr>
          <w:p>
            <w:pPr>
              <w:spacing w:before="0" w:after="0"/>
              <w:jc w:val="left"/>
              <w:rPr>
                <w:rFonts w:eastAsia="Times New Roman"/>
                <w:b/>
                <w:noProof/>
                <w:sz w:val="22"/>
              </w:rPr>
            </w:pPr>
            <w:r>
              <w:rPr>
                <w:b/>
                <w:noProof/>
                <w:sz w:val="22"/>
              </w:rPr>
              <w:t>[Liechtenstein]*</w:t>
            </w:r>
          </w:p>
        </w:tc>
        <w:tc>
          <w:tcPr>
            <w:tcW w:w="752" w:type="dxa"/>
            <w:shd w:val="clear" w:color="auto" w:fill="auto"/>
            <w:noWrap/>
            <w:vAlign w:val="center"/>
          </w:tcPr>
          <w:p>
            <w:pPr>
              <w:spacing w:before="0" w:after="0"/>
              <w:jc w:val="right"/>
              <w:rPr>
                <w:rFonts w:eastAsia="Times New Roman"/>
                <w:noProof/>
                <w:sz w:val="22"/>
              </w:rPr>
            </w:pPr>
            <w:r>
              <w:rPr>
                <w:noProof/>
                <w:color w:val="000000"/>
                <w:sz w:val="22"/>
              </w:rPr>
              <w:t>0</w:t>
            </w:r>
          </w:p>
        </w:tc>
        <w:tc>
          <w:tcPr>
            <w:tcW w:w="960" w:type="dxa"/>
            <w:shd w:val="clear" w:color="auto" w:fill="auto"/>
            <w:noWrap/>
            <w:vAlign w:val="center"/>
          </w:tcPr>
          <w:p>
            <w:pPr>
              <w:spacing w:before="0" w:after="0"/>
              <w:jc w:val="right"/>
              <w:rPr>
                <w:rFonts w:eastAsia="Times New Roman"/>
                <w:noProof/>
                <w:sz w:val="22"/>
              </w:rPr>
            </w:pPr>
            <w:r>
              <w:rPr>
                <w:noProof/>
                <w:color w:val="000000"/>
                <w:sz w:val="22"/>
              </w:rPr>
              <w:t>0</w:t>
            </w:r>
          </w:p>
        </w:tc>
        <w:tc>
          <w:tcPr>
            <w:tcW w:w="883" w:type="dxa"/>
            <w:shd w:val="clear" w:color="auto" w:fill="auto"/>
            <w:noWrap/>
            <w:vAlign w:val="center"/>
          </w:tcPr>
          <w:p>
            <w:pPr>
              <w:spacing w:before="0" w:after="0"/>
              <w:jc w:val="right"/>
              <w:rPr>
                <w:rFonts w:eastAsia="Times New Roman"/>
                <w:noProof/>
                <w:sz w:val="22"/>
              </w:rPr>
            </w:pPr>
            <w:r>
              <w:rPr>
                <w:noProof/>
                <w:color w:val="000000"/>
                <w:sz w:val="22"/>
              </w:rPr>
              <w:t>0</w:t>
            </w:r>
          </w:p>
        </w:tc>
        <w:tc>
          <w:tcPr>
            <w:tcW w:w="850" w:type="dxa"/>
            <w:shd w:val="clear" w:color="auto" w:fill="auto"/>
            <w:noWrap/>
            <w:vAlign w:val="center"/>
          </w:tcPr>
          <w:p>
            <w:pPr>
              <w:spacing w:before="0" w:after="0"/>
              <w:jc w:val="right"/>
              <w:rPr>
                <w:rFonts w:eastAsia="Times New Roman"/>
                <w:noProof/>
                <w:sz w:val="22"/>
              </w:rPr>
            </w:pPr>
            <w:r>
              <w:rPr>
                <w:noProof/>
                <w:color w:val="000000"/>
                <w:sz w:val="22"/>
              </w:rPr>
              <w:t>0</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0</w:t>
            </w:r>
          </w:p>
        </w:tc>
        <w:tc>
          <w:tcPr>
            <w:tcW w:w="851" w:type="dxa"/>
            <w:shd w:val="clear" w:color="auto" w:fill="auto"/>
            <w:noWrap/>
            <w:vAlign w:val="center"/>
          </w:tcPr>
          <w:p>
            <w:pPr>
              <w:spacing w:before="0" w:after="0"/>
              <w:jc w:val="right"/>
              <w:rPr>
                <w:rFonts w:eastAsia="Times New Roman"/>
                <w:noProof/>
                <w:sz w:val="22"/>
              </w:rPr>
            </w:pPr>
            <w:r>
              <w:rPr>
                <w:noProof/>
                <w:color w:val="000000"/>
                <w:sz w:val="22"/>
              </w:rPr>
              <w:t>0</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0</w:t>
            </w:r>
          </w:p>
        </w:tc>
        <w:tc>
          <w:tcPr>
            <w:tcW w:w="709" w:type="dxa"/>
            <w:shd w:val="clear" w:color="auto" w:fill="auto"/>
            <w:noWrap/>
            <w:vAlign w:val="center"/>
          </w:tcPr>
          <w:p>
            <w:pPr>
              <w:spacing w:before="0" w:after="0"/>
              <w:jc w:val="right"/>
              <w:rPr>
                <w:rFonts w:eastAsia="Times New Roman"/>
                <w:noProof/>
                <w:sz w:val="22"/>
              </w:rPr>
            </w:pPr>
            <w:r>
              <w:rPr>
                <w:noProof/>
                <w:color w:val="000000"/>
                <w:sz w:val="22"/>
              </w:rPr>
              <w:t>0</w:t>
            </w:r>
          </w:p>
        </w:tc>
      </w:tr>
      <w:tr>
        <w:trPr>
          <w:trHeight w:val="300"/>
          <w:jc w:val="center"/>
        </w:trPr>
        <w:tc>
          <w:tcPr>
            <w:tcW w:w="1800" w:type="dxa"/>
            <w:shd w:val="clear" w:color="auto" w:fill="auto"/>
            <w:noWrap/>
            <w:vAlign w:val="bottom"/>
          </w:tcPr>
          <w:p>
            <w:pPr>
              <w:spacing w:before="0" w:after="0"/>
              <w:jc w:val="left"/>
              <w:rPr>
                <w:rFonts w:eastAsia="Times New Roman"/>
                <w:b/>
                <w:noProof/>
                <w:sz w:val="22"/>
              </w:rPr>
            </w:pPr>
            <w:r>
              <w:rPr>
                <w:b/>
                <w:noProof/>
                <w:sz w:val="22"/>
              </w:rPr>
              <w:t>[Noruega]</w:t>
            </w:r>
          </w:p>
        </w:tc>
        <w:tc>
          <w:tcPr>
            <w:tcW w:w="752" w:type="dxa"/>
            <w:shd w:val="clear" w:color="auto" w:fill="auto"/>
            <w:noWrap/>
            <w:vAlign w:val="center"/>
          </w:tcPr>
          <w:p>
            <w:pPr>
              <w:spacing w:before="0" w:after="0"/>
              <w:jc w:val="right"/>
              <w:rPr>
                <w:rFonts w:eastAsia="Times New Roman"/>
                <w:noProof/>
                <w:sz w:val="22"/>
              </w:rPr>
            </w:pPr>
            <w:r>
              <w:rPr>
                <w:noProof/>
                <w:color w:val="000000"/>
                <w:sz w:val="22"/>
              </w:rPr>
              <w:t>93</w:t>
            </w:r>
          </w:p>
        </w:tc>
        <w:tc>
          <w:tcPr>
            <w:tcW w:w="960" w:type="dxa"/>
            <w:shd w:val="clear" w:color="auto" w:fill="auto"/>
            <w:noWrap/>
            <w:vAlign w:val="center"/>
          </w:tcPr>
          <w:p>
            <w:pPr>
              <w:spacing w:before="0" w:after="0"/>
              <w:jc w:val="right"/>
              <w:rPr>
                <w:rFonts w:eastAsia="Times New Roman"/>
                <w:noProof/>
                <w:sz w:val="22"/>
              </w:rPr>
            </w:pPr>
            <w:r>
              <w:rPr>
                <w:noProof/>
                <w:color w:val="000000"/>
                <w:sz w:val="22"/>
              </w:rPr>
              <w:t>80</w:t>
            </w:r>
          </w:p>
        </w:tc>
        <w:tc>
          <w:tcPr>
            <w:tcW w:w="883" w:type="dxa"/>
            <w:shd w:val="clear" w:color="auto" w:fill="auto"/>
            <w:noWrap/>
            <w:vAlign w:val="center"/>
          </w:tcPr>
          <w:p>
            <w:pPr>
              <w:spacing w:before="0" w:after="0"/>
              <w:jc w:val="right"/>
              <w:rPr>
                <w:rFonts w:eastAsia="Times New Roman"/>
                <w:noProof/>
                <w:sz w:val="22"/>
              </w:rPr>
            </w:pPr>
            <w:r>
              <w:rPr>
                <w:noProof/>
                <w:color w:val="000000"/>
                <w:sz w:val="22"/>
              </w:rPr>
              <w:t>80</w:t>
            </w:r>
          </w:p>
        </w:tc>
        <w:tc>
          <w:tcPr>
            <w:tcW w:w="850" w:type="dxa"/>
            <w:shd w:val="clear" w:color="auto" w:fill="auto"/>
            <w:noWrap/>
            <w:vAlign w:val="center"/>
          </w:tcPr>
          <w:p>
            <w:pPr>
              <w:spacing w:before="0" w:after="0"/>
              <w:jc w:val="right"/>
              <w:rPr>
                <w:rFonts w:eastAsia="Times New Roman"/>
                <w:noProof/>
                <w:sz w:val="22"/>
              </w:rPr>
            </w:pPr>
            <w:r>
              <w:rPr>
                <w:noProof/>
                <w:color w:val="000000"/>
                <w:sz w:val="22"/>
              </w:rPr>
              <w:t>67</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67</w:t>
            </w:r>
          </w:p>
        </w:tc>
        <w:tc>
          <w:tcPr>
            <w:tcW w:w="851" w:type="dxa"/>
            <w:shd w:val="clear" w:color="auto" w:fill="auto"/>
            <w:noWrap/>
            <w:vAlign w:val="center"/>
          </w:tcPr>
          <w:p>
            <w:pPr>
              <w:spacing w:before="0" w:after="0"/>
              <w:jc w:val="right"/>
              <w:rPr>
                <w:rFonts w:eastAsia="Times New Roman"/>
                <w:noProof/>
                <w:sz w:val="22"/>
              </w:rPr>
            </w:pPr>
            <w:r>
              <w:rPr>
                <w:noProof/>
                <w:color w:val="000000"/>
                <w:sz w:val="22"/>
              </w:rPr>
              <w:t>53</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53</w:t>
            </w:r>
          </w:p>
        </w:tc>
        <w:tc>
          <w:tcPr>
            <w:tcW w:w="709" w:type="dxa"/>
            <w:shd w:val="clear" w:color="auto" w:fill="auto"/>
            <w:noWrap/>
            <w:vAlign w:val="center"/>
          </w:tcPr>
          <w:p>
            <w:pPr>
              <w:spacing w:before="0" w:after="0"/>
              <w:jc w:val="right"/>
              <w:rPr>
                <w:rFonts w:eastAsia="Times New Roman"/>
                <w:noProof/>
                <w:sz w:val="22"/>
              </w:rPr>
            </w:pPr>
            <w:r>
              <w:rPr>
                <w:noProof/>
                <w:color w:val="000000"/>
                <w:sz w:val="22"/>
              </w:rPr>
              <w:t>53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TOTAL</w:t>
            </w:r>
          </w:p>
        </w:tc>
        <w:tc>
          <w:tcPr>
            <w:tcW w:w="752" w:type="dxa"/>
            <w:shd w:val="clear" w:color="auto" w:fill="auto"/>
            <w:noWrap/>
            <w:vAlign w:val="center"/>
            <w:hideMark/>
          </w:tcPr>
          <w:p>
            <w:pPr>
              <w:spacing w:before="0" w:after="0"/>
              <w:jc w:val="right"/>
              <w:rPr>
                <w:rFonts w:eastAsia="Times New Roman"/>
                <w:b/>
                <w:bCs/>
                <w:noProof/>
                <w:sz w:val="22"/>
              </w:rPr>
            </w:pPr>
            <w:r>
              <w:rPr>
                <w:b/>
                <w:noProof/>
                <w:color w:val="000000"/>
                <w:sz w:val="22"/>
              </w:rPr>
              <w:t>7 000</w:t>
            </w:r>
          </w:p>
        </w:tc>
        <w:tc>
          <w:tcPr>
            <w:tcW w:w="960" w:type="dxa"/>
            <w:shd w:val="clear" w:color="auto" w:fill="auto"/>
            <w:noWrap/>
            <w:vAlign w:val="center"/>
            <w:hideMark/>
          </w:tcPr>
          <w:p>
            <w:pPr>
              <w:spacing w:before="0" w:after="0"/>
              <w:jc w:val="right"/>
              <w:rPr>
                <w:rFonts w:eastAsia="Times New Roman"/>
                <w:b/>
                <w:bCs/>
                <w:noProof/>
                <w:sz w:val="22"/>
              </w:rPr>
            </w:pPr>
            <w:r>
              <w:rPr>
                <w:b/>
                <w:noProof/>
                <w:color w:val="000000"/>
                <w:sz w:val="22"/>
              </w:rPr>
              <w:t>6 000</w:t>
            </w:r>
          </w:p>
        </w:tc>
        <w:tc>
          <w:tcPr>
            <w:tcW w:w="883" w:type="dxa"/>
            <w:shd w:val="clear" w:color="auto" w:fill="auto"/>
            <w:noWrap/>
            <w:vAlign w:val="center"/>
            <w:hideMark/>
          </w:tcPr>
          <w:p>
            <w:pPr>
              <w:spacing w:before="0" w:after="0"/>
              <w:jc w:val="right"/>
              <w:rPr>
                <w:rFonts w:eastAsia="Times New Roman"/>
                <w:b/>
                <w:bCs/>
                <w:noProof/>
                <w:sz w:val="22"/>
              </w:rPr>
            </w:pPr>
            <w:r>
              <w:rPr>
                <w:b/>
                <w:noProof/>
                <w:color w:val="000000"/>
                <w:sz w:val="22"/>
              </w:rPr>
              <w:t>6 000</w:t>
            </w:r>
          </w:p>
        </w:tc>
        <w:tc>
          <w:tcPr>
            <w:tcW w:w="850" w:type="dxa"/>
            <w:shd w:val="clear" w:color="auto" w:fill="auto"/>
            <w:noWrap/>
            <w:vAlign w:val="center"/>
            <w:hideMark/>
          </w:tcPr>
          <w:p>
            <w:pPr>
              <w:spacing w:before="0" w:after="0"/>
              <w:jc w:val="right"/>
              <w:rPr>
                <w:rFonts w:eastAsia="Times New Roman"/>
                <w:b/>
                <w:bCs/>
                <w:noProof/>
                <w:sz w:val="22"/>
              </w:rPr>
            </w:pPr>
            <w:r>
              <w:rPr>
                <w:b/>
                <w:noProof/>
                <w:color w:val="000000"/>
                <w:sz w:val="22"/>
              </w:rPr>
              <w:t>5 000</w:t>
            </w:r>
          </w:p>
        </w:tc>
        <w:tc>
          <w:tcPr>
            <w:tcW w:w="992" w:type="dxa"/>
            <w:shd w:val="clear" w:color="auto" w:fill="auto"/>
            <w:noWrap/>
            <w:vAlign w:val="center"/>
            <w:hideMark/>
          </w:tcPr>
          <w:p>
            <w:pPr>
              <w:spacing w:before="0" w:after="0"/>
              <w:jc w:val="right"/>
              <w:rPr>
                <w:rFonts w:eastAsia="Times New Roman"/>
                <w:b/>
                <w:bCs/>
                <w:noProof/>
                <w:sz w:val="22"/>
              </w:rPr>
            </w:pPr>
            <w:r>
              <w:rPr>
                <w:b/>
                <w:noProof/>
                <w:color w:val="000000"/>
                <w:sz w:val="22"/>
              </w:rPr>
              <w:t>5 000</w:t>
            </w:r>
          </w:p>
        </w:tc>
        <w:tc>
          <w:tcPr>
            <w:tcW w:w="851" w:type="dxa"/>
            <w:shd w:val="clear" w:color="auto" w:fill="auto"/>
            <w:noWrap/>
            <w:vAlign w:val="center"/>
            <w:hideMark/>
          </w:tcPr>
          <w:p>
            <w:pPr>
              <w:spacing w:before="0" w:after="0"/>
              <w:jc w:val="right"/>
              <w:rPr>
                <w:rFonts w:eastAsia="Times New Roman"/>
                <w:b/>
                <w:bCs/>
                <w:noProof/>
                <w:sz w:val="22"/>
              </w:rPr>
            </w:pPr>
            <w:r>
              <w:rPr>
                <w:b/>
                <w:noProof/>
                <w:color w:val="000000"/>
                <w:sz w:val="22"/>
              </w:rPr>
              <w:t>4 000</w:t>
            </w:r>
          </w:p>
        </w:tc>
        <w:tc>
          <w:tcPr>
            <w:tcW w:w="992" w:type="dxa"/>
            <w:shd w:val="clear" w:color="auto" w:fill="auto"/>
            <w:noWrap/>
            <w:vAlign w:val="center"/>
            <w:hideMark/>
          </w:tcPr>
          <w:p>
            <w:pPr>
              <w:spacing w:before="0" w:after="0"/>
              <w:jc w:val="right"/>
              <w:rPr>
                <w:rFonts w:eastAsia="Times New Roman"/>
                <w:b/>
                <w:bCs/>
                <w:noProof/>
                <w:sz w:val="22"/>
              </w:rPr>
            </w:pPr>
            <w:r>
              <w:rPr>
                <w:b/>
                <w:noProof/>
                <w:color w:val="000000"/>
                <w:sz w:val="22"/>
              </w:rPr>
              <w:t>4 000</w:t>
            </w:r>
          </w:p>
        </w:tc>
        <w:tc>
          <w:tcPr>
            <w:tcW w:w="709" w:type="dxa"/>
            <w:shd w:val="clear" w:color="auto" w:fill="auto"/>
            <w:noWrap/>
            <w:vAlign w:val="center"/>
            <w:hideMark/>
          </w:tcPr>
          <w:p>
            <w:pPr>
              <w:spacing w:before="0" w:after="0"/>
              <w:jc w:val="right"/>
              <w:rPr>
                <w:rFonts w:eastAsia="Times New Roman"/>
                <w:b/>
                <w:bCs/>
                <w:noProof/>
                <w:sz w:val="22"/>
              </w:rPr>
            </w:pPr>
            <w:r>
              <w:rPr>
                <w:b/>
                <w:noProof/>
                <w:color w:val="000000"/>
                <w:sz w:val="22"/>
              </w:rPr>
              <w:t>4 000</w:t>
            </w:r>
          </w:p>
        </w:tc>
      </w:tr>
    </w:tbl>
    <w:p>
      <w:pPr>
        <w:spacing w:before="0" w:after="160" w:line="259" w:lineRule="auto"/>
        <w:jc w:val="left"/>
        <w:rPr>
          <w:rFonts w:eastAsia="Calibri"/>
          <w:noProof/>
          <w:sz w:val="22"/>
        </w:rPr>
      </w:pPr>
      <w:r>
        <w:rPr>
          <w:noProof/>
          <w:sz w:val="22"/>
        </w:rPr>
        <w:t>(*) O Liechtenstein contribuirá proporcionalmente com apoio financeiro.</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ANEXO V</w:t>
      </w:r>
    </w:p>
    <w:p>
      <w:pPr>
        <w:jc w:val="center"/>
        <w:rPr>
          <w:b/>
          <w:noProof/>
          <w:szCs w:val="24"/>
        </w:rPr>
      </w:pPr>
      <w:r>
        <w:rPr>
          <w:b/>
          <w:noProof/>
        </w:rPr>
        <w:t>Regras relativas ao uso da força, incluindo o fornecimento, a formação, o controlo e a utilização de armas de fogo de serviço e de equipamento não letal, aplicáveis ao pessoal estatutário da Agência quando agem na qualidade de membros de equipas durante o seu destacamento a partir do corpo permanente da Guarda Europeia de Fronteiras e Costeira</w:t>
      </w:r>
    </w:p>
    <w:p>
      <w:pPr>
        <w:pStyle w:val="Heading1"/>
        <w:numPr>
          <w:ilvl w:val="0"/>
          <w:numId w:val="15"/>
        </w:numPr>
        <w:rPr>
          <w:noProof/>
        </w:rPr>
      </w:pPr>
      <w:r>
        <w:rPr>
          <w:i/>
          <w:noProof/>
        </w:rPr>
        <w:t xml:space="preserve"> </w:t>
      </w:r>
      <w:r>
        <w:rPr>
          <w:noProof/>
        </w:rPr>
        <w:t>Princípios gerais que regem o uso da força e de armas</w:t>
      </w:r>
    </w:p>
    <w:p>
      <w:pPr>
        <w:spacing w:before="0"/>
        <w:rPr>
          <w:b/>
          <w:i/>
          <w:noProof/>
          <w:szCs w:val="24"/>
        </w:rPr>
      </w:pPr>
      <w:r>
        <w:rPr>
          <w:noProof/>
        </w:rPr>
        <w:t>Para efeitos do presente regulamento, entende-se por «uso da força» o recurso, por parte do pessoal estatutário da Agência, a meios físicos para o exercício das suas funções ou em legítima defesa, que incluam a utilização das mãos e do corpo ou a utilização de quaisquer instrumentos, armas, equipamento e armas de fogo.</w:t>
      </w:r>
    </w:p>
    <w:p>
      <w:pPr>
        <w:spacing w:before="0"/>
        <w:rPr>
          <w:b/>
          <w:noProof/>
          <w:szCs w:val="24"/>
        </w:rPr>
      </w:pPr>
      <w:r>
        <w:rPr>
          <w:noProof/>
        </w:rPr>
        <w:t>A utilização da força e de armas pelos membros das equipas destacadas a partir do pessoal estatutário da Agência deve respeitar os princípios da necessidade, da proporcionalidade e da precaução («princípios fundamentais»), como a seguir se indica.</w:t>
      </w:r>
    </w:p>
    <w:p>
      <w:pPr>
        <w:spacing w:before="0"/>
        <w:rPr>
          <w:i/>
          <w:noProof/>
          <w:szCs w:val="24"/>
        </w:rPr>
      </w:pPr>
      <w:r>
        <w:rPr>
          <w:i/>
          <w:noProof/>
        </w:rPr>
        <w:t>Princípio da necessidade</w:t>
      </w:r>
    </w:p>
    <w:p>
      <w:pPr>
        <w:spacing w:before="0"/>
        <w:rPr>
          <w:noProof/>
          <w:szCs w:val="24"/>
        </w:rPr>
      </w:pPr>
      <w:r>
        <w:rPr>
          <w:noProof/>
        </w:rPr>
        <w:t>A utilização da força, quer através de contacto físico direto, quer através da utilização de armas ou de equipamento, deve ser excecional e só deve ocorrer quando for estritamente necessário para assegurar o desempenho das funções da Agência ou em legítima defesa. A força só pode ser utilizada em último recurso, depois de terem sido envidados todos os esforços razoáveis para resolver uma situação por meios não violentos, nomeadamente a persuasão, a negociação ou a mediação. O uso da força ou de medidas coercivas nunca pode ser arbitrário ou abusivo.</w:t>
      </w:r>
    </w:p>
    <w:p>
      <w:pPr>
        <w:spacing w:before="0"/>
        <w:rPr>
          <w:i/>
          <w:noProof/>
          <w:szCs w:val="24"/>
        </w:rPr>
      </w:pPr>
      <w:r>
        <w:rPr>
          <w:i/>
          <w:noProof/>
        </w:rPr>
        <w:t>Princípio da proporcionalidade</w:t>
      </w:r>
    </w:p>
    <w:p>
      <w:pPr>
        <w:spacing w:before="0"/>
        <w:rPr>
          <w:i/>
          <w:noProof/>
          <w:szCs w:val="24"/>
        </w:rPr>
      </w:pPr>
      <w:r>
        <w:rPr>
          <w:noProof/>
        </w:rPr>
        <w:t>Sempre que o uso legítimo da força ou de armas de fogo seja inevitável, o pessoal estatutário da Agência deve agir de forma proporcional atendendo à gravidade da infração e ao objetivo legítimo visado. Durante as atividades operacionais, o princípio da proporcionalidade deve reger tanto a natureza da força utilizada (por exemplo, a necessidade de utilização de armas) como o grau da força aplicada. O pessoal estatutário da Agência só pode utilizar a força estritamente necessária para alcançar o objetivo legítimo de aplicação da lei. Em caso de utilização de uma arma de fogo, o pessoal operacional estatutário da Agência deve assegurar que essa utilização causa o menor dano possível e minimiza, tanto quanto possível, os danos corporais ou prejuízos. O princípio exige que a Agência forneça ao seu pessoal estatutário equipamentos e instrumentos de auto defesa necessários para aplicar o grau de força adequado.</w:t>
      </w:r>
    </w:p>
    <w:p>
      <w:pPr>
        <w:spacing w:before="0"/>
        <w:rPr>
          <w:noProof/>
        </w:rPr>
      </w:pPr>
      <w:r>
        <w:rPr>
          <w:i/>
          <w:noProof/>
        </w:rPr>
        <w:t>Dever de precaução</w:t>
      </w:r>
    </w:p>
    <w:p>
      <w:pPr>
        <w:spacing w:before="0"/>
        <w:rPr>
          <w:noProof/>
          <w:szCs w:val="24"/>
        </w:rPr>
      </w:pPr>
      <w:r>
        <w:rPr>
          <w:noProof/>
        </w:rPr>
        <w:t>As atividades operacionais realizadas pelo pessoal estatutário da Agência devem respeitar plenamente a vida humana e ter o objetivo de a preservar. Devem ser tomadas todas as medidas necessárias para minimizar o risco de ferimentos ou danos durante as operações. Esta obrigação inclui uma obrigação geral de o pessoal estatutário da Agência emitir um aviso claro sobre a intenção de utilizar a força, a menos que tal aviso coloque indevidamente em risco os membros das equipas, dê origem a riscos de morte ou danos graves a terceiros, ou seja claramente inapropriada ou ineficaz atendendo às circunstâncias específicas.</w:t>
      </w:r>
    </w:p>
    <w:p>
      <w:pPr>
        <w:pStyle w:val="Heading1"/>
        <w:rPr>
          <w:noProof/>
        </w:rPr>
      </w:pPr>
      <w:r>
        <w:rPr>
          <w:noProof/>
        </w:rPr>
        <w:t>Regras práticas para a utilização da força, armas de serviço, munições e equipamentos</w:t>
      </w:r>
    </w:p>
    <w:p>
      <w:pPr>
        <w:spacing w:before="0"/>
        <w:rPr>
          <w:b/>
          <w:noProof/>
          <w:szCs w:val="24"/>
        </w:rPr>
      </w:pPr>
      <w:r>
        <w:rPr>
          <w:b/>
          <w:noProof/>
        </w:rPr>
        <w:t>Regras práticas gerais para a utilização da força, de armas e de outros equipamentos</w:t>
      </w:r>
    </w:p>
    <w:p>
      <w:pPr>
        <w:spacing w:before="0"/>
        <w:rPr>
          <w:noProof/>
          <w:szCs w:val="24"/>
        </w:rPr>
      </w:pPr>
      <w:r>
        <w:rPr>
          <w:noProof/>
        </w:rPr>
        <w:t>Em conformidade com o artigo 83.º, n.º 3, o pessoal estatutário da Agência exerce os seus poderes executivos, incluindo o uso da força, sob as ordens e o controlo do Estado-Membro de acolhimento e só pode utilizar a força, incluindo armas, munições e equipamento, após a receção da autorização por parte das autoridades competentes do Estado-Membro de acolhimento e na presença dos guardas de fronteira do Estado-Membro de acolhimento. No entanto, as autoridades competentes do Estado-Membro de acolhimento podem autorizar, com o consentimento da Agência, o pessoal estatutário desta última a utilizar a força na ausência de agentes do Estado-Membro de acolhimento.</w:t>
      </w:r>
    </w:p>
    <w:p>
      <w:pPr>
        <w:spacing w:before="0"/>
        <w:rPr>
          <w:noProof/>
          <w:szCs w:val="24"/>
        </w:rPr>
      </w:pPr>
      <w:r>
        <w:rPr>
          <w:noProof/>
        </w:rPr>
        <w:t>A utilização da força e de armas pelo pessoal estatutário da Agência deve:</w:t>
      </w:r>
    </w:p>
    <w:p>
      <w:pPr>
        <w:pStyle w:val="Point0letter"/>
        <w:numPr>
          <w:ilvl w:val="1"/>
          <w:numId w:val="16"/>
        </w:numPr>
        <w:rPr>
          <w:noProof/>
        </w:rPr>
      </w:pPr>
      <w:r>
        <w:rPr>
          <w:noProof/>
        </w:rPr>
        <w:t>Ser conforme ao código de conduta da Agência;</w:t>
      </w:r>
    </w:p>
    <w:p>
      <w:pPr>
        <w:pStyle w:val="Point0letter"/>
        <w:rPr>
          <w:noProof/>
        </w:rPr>
      </w:pPr>
      <w:r>
        <w:rPr>
          <w:noProof/>
        </w:rPr>
        <w:t>Respeitar os direitos fundamentais, tal como garantidos pelo direito internacional e pelo direito da União, nomeadamente nos termos da Carta dos Direitos Fundamentais, da Convenção Europeia dos Direitos do Homem, dos Princípios Básicos das Nações Unidas sobre a Utilização da Força e de Armas de Fogo pelos Funcionários Responsáveis pela Aplicação da Lei (1990) e do Código de Conduta da ONU para os Funcionários Responsáveis pela Aplicação da Lei (1979);</w:t>
      </w:r>
    </w:p>
    <w:p>
      <w:pPr>
        <w:pStyle w:val="Point0letter"/>
        <w:rPr>
          <w:noProof/>
        </w:rPr>
      </w:pPr>
      <w:r>
        <w:rPr>
          <w:noProof/>
        </w:rPr>
        <w:t>Respeitar os princípios fundamentais referidos na parte I.</w:t>
      </w:r>
    </w:p>
    <w:p>
      <w:pPr>
        <w:spacing w:before="0"/>
        <w:rPr>
          <w:noProof/>
          <w:szCs w:val="24"/>
        </w:rPr>
      </w:pPr>
      <w:r>
        <w:rPr>
          <w:b/>
          <w:noProof/>
        </w:rPr>
        <w:t>Regras práticas específicas aplicáveis aos instrumentos de força mais utilizados para a aplicação da lei (elementos do equipamento pessoal do pessoal estatutário da Agência)</w:t>
      </w:r>
    </w:p>
    <w:p>
      <w:pPr>
        <w:spacing w:before="0"/>
        <w:rPr>
          <w:noProof/>
          <w:szCs w:val="24"/>
        </w:rPr>
      </w:pPr>
      <w:r>
        <w:rPr>
          <w:noProof/>
        </w:rPr>
        <w:t>Em conformidade com os princípios fundamentais, a utilização da força só é admissível na medida do necessário para atingir o objetivo imediato de aplicação da lei, e apenas depois de:</w:t>
      </w:r>
    </w:p>
    <w:p>
      <w:pPr>
        <w:spacing w:before="0"/>
        <w:ind w:left="851" w:hanging="284"/>
        <w:rPr>
          <w:noProof/>
          <w:szCs w:val="24"/>
        </w:rPr>
      </w:pPr>
      <w:r>
        <w:rPr>
          <w:noProof/>
        </w:rPr>
        <w:t>-</w:t>
      </w:r>
      <w:r>
        <w:rPr>
          <w:noProof/>
        </w:rPr>
        <w:tab/>
        <w:t>Terem sido inutilmente desenvolvidos todos os esforços de resolução de confrontos potencialmente violentos através da persuasão, da negociação e da mediação;</w:t>
      </w:r>
    </w:p>
    <w:p>
      <w:pPr>
        <w:spacing w:before="0"/>
        <w:ind w:left="851" w:hanging="284"/>
        <w:rPr>
          <w:noProof/>
          <w:szCs w:val="24"/>
        </w:rPr>
      </w:pPr>
      <w:r>
        <w:rPr>
          <w:noProof/>
        </w:rPr>
        <w:t>-</w:t>
      </w:r>
      <w:r>
        <w:rPr>
          <w:noProof/>
        </w:rPr>
        <w:tab/>
        <w:t>Ter sido fornecido um aviso sobre a intenção de utilizar a força.</w:t>
      </w:r>
    </w:p>
    <w:p>
      <w:pPr>
        <w:spacing w:before="0"/>
        <w:rPr>
          <w:noProof/>
          <w:szCs w:val="24"/>
        </w:rPr>
      </w:pPr>
      <w:r>
        <w:rPr>
          <w:noProof/>
        </w:rPr>
        <w:t>Caso seja necessário agravar o nível de intervenção (por exemplo, utilizar uma arma ou outro tipo de arma), também deverá ser emitido um aviso claro a esse respeito, a menos que tal aviso coloque em risco os membros das equipas, dê origem a riscos de morte ou danos graves a terceiros, ou seja claramente inapropriada ou ineficaz atendendo às circunstâncias específicas.</w:t>
      </w:r>
    </w:p>
    <w:p>
      <w:pPr>
        <w:spacing w:before="0"/>
        <w:rPr>
          <w:b/>
          <w:i/>
          <w:noProof/>
          <w:szCs w:val="24"/>
        </w:rPr>
      </w:pPr>
      <w:r>
        <w:rPr>
          <w:b/>
          <w:i/>
          <w:noProof/>
        </w:rPr>
        <w:t>Armas de fogo</w:t>
      </w:r>
    </w:p>
    <w:p>
      <w:pPr>
        <w:spacing w:before="0"/>
        <w:rPr>
          <w:noProof/>
          <w:szCs w:val="24"/>
        </w:rPr>
      </w:pPr>
      <w:r>
        <w:rPr>
          <w:noProof/>
        </w:rPr>
        <w:t>O pessoal estatutário da Agência não pode utilizar armas de fogo contra terceiros, exceto nas circunstâncias seguidamente indicadas e apenas quando outros meios menos extremos sejam insuficientes para alcançar os objetivos necessários:</w:t>
      </w:r>
    </w:p>
    <w:p>
      <w:pPr>
        <w:pStyle w:val="Tiret0"/>
        <w:numPr>
          <w:ilvl w:val="0"/>
          <w:numId w:val="17"/>
        </w:numPr>
        <w:rPr>
          <w:noProof/>
        </w:rPr>
      </w:pPr>
      <w:r>
        <w:rPr>
          <w:noProof/>
        </w:rPr>
        <w:t>O pessoal estatutário da Agência só pode utilizar armas de fogo em último recurso, em caso de extrema urgência, especialmente se existir um risco para as pessoas que se encontrem nas proximidades;</w:t>
      </w:r>
    </w:p>
    <w:p>
      <w:pPr>
        <w:pStyle w:val="Tiret0"/>
        <w:rPr>
          <w:noProof/>
        </w:rPr>
      </w:pPr>
      <w:r>
        <w:rPr>
          <w:noProof/>
        </w:rPr>
        <w:t>Em legítima defesa ou em defesa de terceiros contra uma ameaça iminente de morte ou de lesões graves;</w:t>
      </w:r>
    </w:p>
    <w:p>
      <w:pPr>
        <w:pStyle w:val="Tiret0"/>
        <w:rPr>
          <w:noProof/>
        </w:rPr>
      </w:pPr>
      <w:r>
        <w:rPr>
          <w:noProof/>
        </w:rPr>
        <w:t>Por forma a prevenir uma ameaça iminente de morte ou de lesões graves;</w:t>
      </w:r>
    </w:p>
    <w:p>
      <w:pPr>
        <w:pStyle w:val="Tiret0"/>
        <w:rPr>
          <w:noProof/>
        </w:rPr>
      </w:pPr>
      <w:r>
        <w:rPr>
          <w:noProof/>
        </w:rPr>
        <w:t xml:space="preserve">Para repelir um ataque em curso ou evitar um ataque perigoso eminente contra instituições, serviços ou instalações essenciais; </w:t>
      </w:r>
    </w:p>
    <w:p>
      <w:pPr>
        <w:spacing w:before="0"/>
        <w:rPr>
          <w:noProof/>
          <w:szCs w:val="24"/>
        </w:rPr>
      </w:pPr>
      <w:r>
        <w:rPr>
          <w:noProof/>
        </w:rPr>
        <w:t>Antes de utilizar armas de fogo, o pessoal operacional da Agência deve emitir um aviso claro sobre a intenção de as utilizar. Os avisos podem ser feitos oralmente ou através de disparos de advertência.</w:t>
      </w:r>
    </w:p>
    <w:p>
      <w:pPr>
        <w:spacing w:before="0"/>
        <w:rPr>
          <w:b/>
          <w:i/>
          <w:noProof/>
          <w:szCs w:val="24"/>
        </w:rPr>
      </w:pPr>
      <w:r>
        <w:rPr>
          <w:b/>
          <w:i/>
          <w:noProof/>
        </w:rPr>
        <w:t>Armas não letais</w:t>
      </w:r>
    </w:p>
    <w:p>
      <w:pPr>
        <w:spacing w:before="0"/>
        <w:rPr>
          <w:noProof/>
          <w:szCs w:val="24"/>
          <w:u w:val="single"/>
        </w:rPr>
      </w:pPr>
      <w:r>
        <w:rPr>
          <w:noProof/>
          <w:u w:val="single"/>
        </w:rPr>
        <w:t>Bastão</w:t>
      </w:r>
    </w:p>
    <w:p>
      <w:pPr>
        <w:spacing w:before="0"/>
        <w:rPr>
          <w:noProof/>
          <w:szCs w:val="24"/>
        </w:rPr>
      </w:pPr>
      <w:r>
        <w:rPr>
          <w:noProof/>
        </w:rPr>
        <w:t>Os bastões autorizados podem ser utilizados como meio primário de defesa ou como arma, se for caso disso, em conformidade com os princípios fundamentais e nas seguintes circunstâncias:</w:t>
      </w:r>
    </w:p>
    <w:p>
      <w:pPr>
        <w:pStyle w:val="Tiret0"/>
        <w:rPr>
          <w:noProof/>
        </w:rPr>
      </w:pPr>
      <w:r>
        <w:rPr>
          <w:noProof/>
        </w:rPr>
        <w:t>Quando um menor uso da força for considerado claramente inadequado para o fim a que se destina;</w:t>
      </w:r>
    </w:p>
    <w:p>
      <w:pPr>
        <w:pStyle w:val="Tiret0"/>
        <w:rPr>
          <w:noProof/>
        </w:rPr>
      </w:pPr>
      <w:r>
        <w:rPr>
          <w:noProof/>
        </w:rPr>
        <w:t>Para evitar um ataque em curso ou iminente contra bens.</w:t>
      </w:r>
    </w:p>
    <w:p>
      <w:pPr>
        <w:spacing w:before="0"/>
        <w:rPr>
          <w:noProof/>
          <w:szCs w:val="24"/>
        </w:rPr>
      </w:pPr>
      <w:r>
        <w:rPr>
          <w:noProof/>
        </w:rPr>
        <w:t>Antes de utilizar bastões, o pessoal operacional da Agência deve emitir um aviso claro sobre a intenção de os utilizar. Ao utilizá-los, o pessoal operacional destacado deve sempre procurar reduzir ao mínimo o risco de causar lesões e evitar o contacto com a cabeça.</w:t>
      </w:r>
    </w:p>
    <w:p>
      <w:pPr>
        <w:spacing w:before="0"/>
        <w:rPr>
          <w:noProof/>
          <w:szCs w:val="24"/>
          <w:u w:val="single"/>
        </w:rPr>
      </w:pPr>
      <w:r>
        <w:rPr>
          <w:noProof/>
          <w:u w:val="single"/>
        </w:rPr>
        <w:t>Dispositivos lacrimogéneos (p. ex.: gás pimenta)</w:t>
      </w:r>
    </w:p>
    <w:p>
      <w:pPr>
        <w:spacing w:before="0"/>
        <w:rPr>
          <w:noProof/>
          <w:szCs w:val="24"/>
        </w:rPr>
      </w:pPr>
      <w:r>
        <w:rPr>
          <w:noProof/>
        </w:rPr>
        <w:t>Os dispositivos lacrimogéneos autorizados podem ser utilizados como instrumentos de defesa ou como arma, se for caso disso, em conformidade com os princípios fundamentais e nas seguintes circunstâncias:</w:t>
      </w:r>
    </w:p>
    <w:p>
      <w:pPr>
        <w:pStyle w:val="Tiret0"/>
        <w:rPr>
          <w:noProof/>
        </w:rPr>
      </w:pPr>
      <w:r>
        <w:rPr>
          <w:noProof/>
        </w:rPr>
        <w:t>Quando um menor uso da força for considerado claramente inadequado para o fim a que se destina;</w:t>
      </w:r>
    </w:p>
    <w:p>
      <w:pPr>
        <w:pStyle w:val="Tiret0"/>
        <w:rPr>
          <w:noProof/>
        </w:rPr>
      </w:pPr>
      <w:r>
        <w:rPr>
          <w:noProof/>
        </w:rPr>
        <w:t xml:space="preserve">Para evitar um ataque em curso ou iminente. </w:t>
      </w:r>
    </w:p>
    <w:p>
      <w:pPr>
        <w:spacing w:before="0"/>
        <w:rPr>
          <w:b/>
          <w:i/>
          <w:noProof/>
          <w:szCs w:val="24"/>
        </w:rPr>
      </w:pPr>
      <w:r>
        <w:rPr>
          <w:b/>
          <w:i/>
          <w:noProof/>
        </w:rPr>
        <w:t>Outros equipamentos</w:t>
      </w:r>
    </w:p>
    <w:p>
      <w:pPr>
        <w:spacing w:before="0"/>
        <w:rPr>
          <w:noProof/>
          <w:szCs w:val="24"/>
          <w:u w:val="single"/>
        </w:rPr>
      </w:pPr>
      <w:r>
        <w:rPr>
          <w:noProof/>
          <w:u w:val="single"/>
        </w:rPr>
        <w:t>Algemas</w:t>
      </w:r>
    </w:p>
    <w:p>
      <w:pPr>
        <w:pStyle w:val="Tiret0"/>
        <w:rPr>
          <w:noProof/>
        </w:rPr>
      </w:pPr>
      <w:r>
        <w:rPr>
          <w:noProof/>
        </w:rPr>
        <w:t>Só poderão ser algemadas as pessoas que se considere representarem um perigo para si próprias ou para outros, a fim de garantir a segurança durante a sua detenção ou transporte e a segurança do pessoal estatutário da Agência e de outros membros da equipa.</w:t>
      </w:r>
    </w:p>
    <w:p>
      <w:pPr>
        <w:pStyle w:val="ListParagraph"/>
        <w:spacing w:before="0"/>
        <w:rPr>
          <w:noProof/>
          <w:szCs w:val="24"/>
        </w:rPr>
      </w:pPr>
    </w:p>
    <w:p>
      <w:pPr>
        <w:pStyle w:val="Heading1"/>
        <w:rPr>
          <w:noProof/>
        </w:rPr>
      </w:pPr>
      <w:r>
        <w:rPr>
          <w:noProof/>
        </w:rPr>
        <w:t>Mecanismo de controlo</w:t>
      </w:r>
    </w:p>
    <w:p>
      <w:pPr>
        <w:spacing w:before="0"/>
        <w:rPr>
          <w:noProof/>
          <w:szCs w:val="24"/>
        </w:rPr>
      </w:pPr>
      <w:r>
        <w:rPr>
          <w:noProof/>
        </w:rPr>
        <w:t xml:space="preserve">A Agência deve fornecer as seguintes garantias em relação à utilização da força, armas, munições e equipamento e disponibilizar informações pormenorizadas a este respeito no seu relatório anual. </w:t>
      </w:r>
    </w:p>
    <w:p>
      <w:pPr>
        <w:spacing w:before="0"/>
        <w:rPr>
          <w:b/>
          <w:noProof/>
          <w:szCs w:val="24"/>
        </w:rPr>
      </w:pPr>
      <w:r>
        <w:rPr>
          <w:b/>
          <w:noProof/>
        </w:rPr>
        <w:t>Formação</w:t>
      </w:r>
    </w:p>
    <w:p>
      <w:pPr>
        <w:pStyle w:val="ListParagraph"/>
        <w:spacing w:before="0"/>
        <w:ind w:left="0"/>
        <w:rPr>
          <w:noProof/>
          <w:szCs w:val="24"/>
        </w:rPr>
      </w:pPr>
      <w:r>
        <w:rPr>
          <w:noProof/>
        </w:rPr>
        <w:t>A formação prestada nos termos do artigo 62.º, n.º 2, deve abranger aspetos teóricos e práticos relacionados com a prevenção e o uso da força. A formação teórica deve incluir formação psicológica (incluindo formação em matéria de resiliência e trabalho em situações de forte pressão), bem como técnicas destinadas a prevenir a utilização da força, como a negociação e a mediação. A formação teórica deve ser seguida de uma formação adequada teórica e prática obrigatória sobre o uso da força, das armas, das munições e do equipamento. A formação prática, a fim de assegurar uma compreensão e uma abordagem prática comuns, deve ser concluída com uma simulação relevante para as atividades a realizar durante o destacamento.</w:t>
      </w:r>
    </w:p>
    <w:p>
      <w:pPr>
        <w:pStyle w:val="ListParagraph"/>
        <w:tabs>
          <w:tab w:val="left" w:pos="5400"/>
        </w:tabs>
        <w:spacing w:before="0"/>
        <w:rPr>
          <w:b/>
          <w:noProof/>
          <w:szCs w:val="24"/>
        </w:rPr>
      </w:pPr>
    </w:p>
    <w:p>
      <w:pPr>
        <w:tabs>
          <w:tab w:val="left" w:pos="5400"/>
        </w:tabs>
        <w:spacing w:before="0"/>
        <w:rPr>
          <w:b/>
          <w:noProof/>
          <w:szCs w:val="24"/>
        </w:rPr>
      </w:pPr>
      <w:r>
        <w:rPr>
          <w:b/>
          <w:noProof/>
        </w:rPr>
        <w:t>Consumo de estupefacientes, drogas e álcool</w:t>
      </w:r>
    </w:p>
    <w:p>
      <w:pPr>
        <w:spacing w:before="0"/>
        <w:rPr>
          <w:noProof/>
          <w:szCs w:val="24"/>
        </w:rPr>
      </w:pPr>
      <w:r>
        <w:rPr>
          <w:noProof/>
        </w:rPr>
        <w:t xml:space="preserve">O pessoal estatutário da Agência não deve consumir álcool em serviço ou durante um período de tempo razoável antes do início do serviço. </w:t>
      </w:r>
    </w:p>
    <w:p>
      <w:pPr>
        <w:spacing w:before="0"/>
        <w:rPr>
          <w:noProof/>
          <w:szCs w:val="24"/>
        </w:rPr>
      </w:pPr>
      <w:r>
        <w:rPr>
          <w:noProof/>
        </w:rPr>
        <w:t>Não deve possuir nem consumir estupefacientes ou drogas, salvo indicação médica. Os agentes que necessitem de medicamentos para fins médicos devem informar imediatamente os seus superiores hierárquicos diretos desse facto. A participação em atividades operacionais pode ser reavaliada tendo em conta os potenciais efeitos e efeitos secundários associados à utilização da substância em causa.</w:t>
      </w:r>
    </w:p>
    <w:p>
      <w:pPr>
        <w:spacing w:before="0"/>
        <w:rPr>
          <w:noProof/>
          <w:szCs w:val="24"/>
        </w:rPr>
      </w:pPr>
      <w:r>
        <w:rPr>
          <w:noProof/>
        </w:rPr>
        <w:t>A Agência deve criar um mecanismo de controlo para assegurar que o pessoal operacional estatutário desempenha as suas funções sem influência de estupefacientes, drogas ou álcool. Este mecanismo deve basear-se num exame médico regular ao possível consumo de estupefacientes, drogas ou álcool. Qualquer resultado positivo detetado nesses testes deve ser imediatamente comunicado ao diretor executivo da Agência.</w:t>
      </w:r>
    </w:p>
    <w:p>
      <w:pPr>
        <w:spacing w:before="0"/>
        <w:rPr>
          <w:b/>
          <w:noProof/>
          <w:szCs w:val="24"/>
        </w:rPr>
      </w:pPr>
      <w:r>
        <w:rPr>
          <w:b/>
          <w:noProof/>
        </w:rPr>
        <w:t>Relatórios</w:t>
      </w:r>
    </w:p>
    <w:p>
      <w:pPr>
        <w:spacing w:before="0"/>
        <w:rPr>
          <w:noProof/>
          <w:color w:val="4F6228" w:themeColor="accent3" w:themeShade="80"/>
        </w:rPr>
      </w:pPr>
      <w:r>
        <w:rPr>
          <w:noProof/>
        </w:rPr>
        <w:t xml:space="preserve">Quaisquer incidentes que envolvam a utilização da força devem ser imediatamente relatados através da cadeia de comando à estrutura de coordenação competente para cada operação, bem como ao responsável pelos direitos fundamentais e ao diretor executivo da Agência. O relatório deve especificar pormenorizadamente as circunstâncias dessa utilização. </w:t>
      </w:r>
    </w:p>
    <w:p>
      <w:pPr>
        <w:spacing w:before="0"/>
        <w:rPr>
          <w:b/>
          <w:noProof/>
          <w:szCs w:val="24"/>
        </w:rPr>
      </w:pPr>
      <w:r>
        <w:rPr>
          <w:b/>
          <w:noProof/>
        </w:rPr>
        <w:t>Dever de cooperação e de informação</w:t>
      </w:r>
    </w:p>
    <w:p>
      <w:pPr>
        <w:spacing w:before="0"/>
        <w:rPr>
          <w:noProof/>
          <w:szCs w:val="24"/>
        </w:rPr>
      </w:pPr>
      <w:r>
        <w:rPr>
          <w:noProof/>
        </w:rPr>
        <w:t xml:space="preserve">O pessoal estatutário da Agência e quaisquer outros participantes nas operações devem cooperar na recolha de informações sobre qualquer incidente que tenha sido comunicado no âmbito de uma atividade operacional. </w:t>
      </w:r>
    </w:p>
    <w:p>
      <w:pPr>
        <w:spacing w:before="0"/>
        <w:rPr>
          <w:b/>
          <w:noProof/>
          <w:szCs w:val="24"/>
        </w:rPr>
      </w:pPr>
      <w:r>
        <w:rPr>
          <w:b/>
          <w:noProof/>
        </w:rPr>
        <w:t>Procedimento de apresentação de queixas</w:t>
      </w:r>
    </w:p>
    <w:p>
      <w:pPr>
        <w:spacing w:before="0"/>
        <w:rPr>
          <w:noProof/>
          <w:szCs w:val="24"/>
        </w:rPr>
      </w:pPr>
      <w:r>
        <w:rPr>
          <w:noProof/>
        </w:rPr>
        <w:t>Qualquer pessoa pode comunicar suspeitas de incumprimento pelo pessoal estatutário da Agência das regras relativas à utilização da força aplicáveis nos termos do presente anexo, no âmbito do procedimento de apresentação de queixas previsto no artigo 107.º.</w:t>
      </w:r>
    </w:p>
    <w:p>
      <w:pPr>
        <w:spacing w:before="0"/>
        <w:rPr>
          <w:b/>
          <w:noProof/>
          <w:szCs w:val="24"/>
        </w:rPr>
      </w:pPr>
      <w:r>
        <w:rPr>
          <w:b/>
          <w:noProof/>
        </w:rPr>
        <w:t>Sanções</w:t>
      </w:r>
    </w:p>
    <w:p>
      <w:pPr>
        <w:spacing w:before="0"/>
        <w:rPr>
          <w:noProof/>
          <w:szCs w:val="24"/>
        </w:rPr>
      </w:pPr>
      <w:r>
        <w:rPr>
          <w:noProof/>
        </w:rPr>
        <w:t>Sem prejuízo do disposto no artigo 86.º, se a Agência verificar que um membro do seu pessoal operacional estatutário agiu em violação das regras aplicáveis ao abrigo do presente regulamento, incluindo os direitos fundamentais protegidos pela Carta, pela Convenção Europeia dos Direitos do Homem e pelo direito internacional, o diretor executivo deve tomar as medidas adequadas, que podem incluir a retirada imediata do membro em causa da atividade operacional, bem como eventuais medidas disciplinares em conformidade com o Estatuto dos Funcionários, incluindo a exclusão do membro do pessoal da Agência.</w:t>
      </w:r>
    </w:p>
    <w:p>
      <w:pPr>
        <w:pStyle w:val="ListParagraph"/>
        <w:spacing w:before="0"/>
        <w:ind w:left="0"/>
        <w:rPr>
          <w:b/>
          <w:noProof/>
          <w:szCs w:val="24"/>
        </w:rPr>
      </w:pPr>
      <w:r>
        <w:rPr>
          <w:b/>
          <w:noProof/>
        </w:rPr>
        <w:t>Papel do responsável pelos direitos fundamentais</w:t>
      </w:r>
    </w:p>
    <w:p>
      <w:pPr>
        <w:spacing w:before="0"/>
        <w:rPr>
          <w:noProof/>
          <w:szCs w:val="24"/>
        </w:rPr>
      </w:pPr>
      <w:r>
        <w:rPr>
          <w:noProof/>
        </w:rPr>
        <w:t xml:space="preserve">O responsável pelos direitos fundamentais deve verificar e apresentar observações sobre o conteúdo da formação inicial e contínua, especialmente os aspetos relativos aos direitos fundamentais e às situações em que a utilização da força é necessária, devendo também assegurar que tais formações incluem técnicas preventivas úteis. </w:t>
      </w:r>
    </w:p>
    <w:p>
      <w:pPr>
        <w:spacing w:before="0"/>
        <w:rPr>
          <w:noProof/>
          <w:szCs w:val="24"/>
        </w:rPr>
      </w:pPr>
      <w:r>
        <w:rPr>
          <w:noProof/>
        </w:rPr>
        <w:t>O responsável pelos direitos fundamentais deve apresentar um relatório sobre o respeito dos direitos fundamentais no âmbito das práticas de aplicação da lei no Estado-Membro de acolhimento. Esse relatório deve ser apresentado ao diretor executivo e tido em conta aquando da definição do plano operacional.</w:t>
      </w:r>
    </w:p>
    <w:p>
      <w:pPr>
        <w:spacing w:before="0"/>
        <w:rPr>
          <w:noProof/>
          <w:szCs w:val="24"/>
        </w:rPr>
      </w:pPr>
      <w:r>
        <w:rPr>
          <w:noProof/>
        </w:rPr>
        <w:t xml:space="preserve">O responsável pelos direitos fundamentais deve assegurar que os incidentes relacionados com a utilização de força, armas, munições e equipamento são comunicados sem demora ao diretor executivo. </w:t>
      </w:r>
    </w:p>
    <w:p>
      <w:pPr>
        <w:spacing w:before="0"/>
        <w:rPr>
          <w:noProof/>
          <w:szCs w:val="24"/>
        </w:rPr>
      </w:pPr>
      <w:r>
        <w:rPr>
          <w:noProof/>
        </w:rPr>
        <w:t>O responsável pelos direitos fundamentais deve monitorizar regularmente todas as atividades relacionadas com a utilização de força, armas, munições e equipamento. Todos os incidentes devem constar dos seus relatórios bem como do relatório anual da Agência.</w:t>
      </w:r>
    </w:p>
    <w:p>
      <w:pPr>
        <w:pStyle w:val="Heading1"/>
        <w:rPr>
          <w:noProof/>
        </w:rPr>
      </w:pPr>
      <w:r>
        <w:rPr>
          <w:noProof/>
        </w:rPr>
        <w:t>Fornecimento de armas de serviço</w:t>
      </w:r>
    </w:p>
    <w:p>
      <w:pPr>
        <w:spacing w:before="0"/>
        <w:rPr>
          <w:b/>
          <w:noProof/>
          <w:szCs w:val="24"/>
        </w:rPr>
      </w:pPr>
      <w:r>
        <w:rPr>
          <w:b/>
          <w:noProof/>
        </w:rPr>
        <w:t>Armas autorizadas</w:t>
      </w:r>
    </w:p>
    <w:p>
      <w:pPr>
        <w:rPr>
          <w:noProof/>
          <w:szCs w:val="24"/>
        </w:rPr>
      </w:pPr>
      <w:r>
        <w:rPr>
          <w:noProof/>
        </w:rPr>
        <w:t xml:space="preserve">A fim de determinar as armas de serviço, munições e outro equipamento a utilizar pelo pessoal estatutário da Agência, esta deve estabelecer uma lista exaustiva do material a incluir no equipamento individual. </w:t>
      </w:r>
    </w:p>
    <w:p>
      <w:pPr>
        <w:rPr>
          <w:noProof/>
          <w:szCs w:val="24"/>
        </w:rPr>
      </w:pPr>
      <w:r>
        <w:rPr>
          <w:noProof/>
        </w:rPr>
        <w:t>O equipamento individual é utilizado por todo o pessoal operacional estatutário da Agência destacado como membros dos três tipos de equipas do corpo permanente da Guarda Europeia de Fronteiras e Costeira. A Agência pode também acrescentar ao equipamento individual armas, munições ou outro equipamento específico suplementar para o desempenho de tarefas específicas no âmbito de um ou dois tipos de equipas.</w:t>
      </w:r>
    </w:p>
    <w:p>
      <w:pPr>
        <w:rPr>
          <w:b/>
          <w:noProof/>
          <w:szCs w:val="24"/>
        </w:rPr>
      </w:pPr>
      <w:r>
        <w:rPr>
          <w:noProof/>
        </w:rPr>
        <w:t xml:space="preserve">A Agência deve assegurar que todos os equipamentos do pessoal operacional estatutário, incluindo as armas de fogo, são conformes com as normas técnicas aplicáveis. </w:t>
      </w:r>
    </w:p>
    <w:p>
      <w:pPr>
        <w:rPr>
          <w:noProof/>
          <w:szCs w:val="24"/>
        </w:rPr>
      </w:pPr>
      <w:r>
        <w:rPr>
          <w:noProof/>
        </w:rPr>
        <w:t xml:space="preserve">As armas, munições e equipamento cuja utilização é autorizada devem ser enumerados no plano operacional em conformidade com os requisitos aplicáveis no Estado-Membro de acolhimento em matéria de armas autorizadas e proibidas. </w:t>
      </w:r>
    </w:p>
    <w:p>
      <w:pPr>
        <w:spacing w:before="0"/>
        <w:rPr>
          <w:b/>
          <w:noProof/>
          <w:szCs w:val="24"/>
        </w:rPr>
      </w:pPr>
      <w:r>
        <w:rPr>
          <w:b/>
          <w:noProof/>
        </w:rPr>
        <w:t>Armas proibidas</w:t>
      </w:r>
    </w:p>
    <w:p>
      <w:pPr>
        <w:spacing w:before="0"/>
        <w:rPr>
          <w:noProof/>
          <w:szCs w:val="24"/>
        </w:rPr>
      </w:pPr>
      <w:r>
        <w:rPr>
          <w:noProof/>
        </w:rPr>
        <w:t xml:space="preserve">O Estado-Membro de acolhimento pode proibir o porte de determinadas armas de serviço, munições e equipamentos, em conformidade com o artigo 83.º, n.º 2, segundo travessão. </w:t>
      </w:r>
    </w:p>
    <w:p>
      <w:pPr>
        <w:spacing w:before="0"/>
        <w:rPr>
          <w:b/>
          <w:noProof/>
          <w:szCs w:val="24"/>
        </w:rPr>
      </w:pPr>
      <w:r>
        <w:rPr>
          <w:b/>
          <w:noProof/>
        </w:rPr>
        <w:t>Instruções para o período de serviço</w:t>
      </w:r>
    </w:p>
    <w:p>
      <w:pPr>
        <w:spacing w:before="0"/>
        <w:rPr>
          <w:noProof/>
          <w:szCs w:val="24"/>
        </w:rPr>
      </w:pPr>
      <w:r>
        <w:rPr>
          <w:noProof/>
        </w:rPr>
        <w:t xml:space="preserve">O porte e utilização de armas, munições e equipamento são autorizados durante as operações. É proibido o seu porte e utilização fora do período de serviço. A Agência deve estabelecer regras e medidas específicas para facilitar o depósito em instalações protegidas das armas, munições e outro equipamento do seu pessoal operacional estatutário fora dos períodos de serviço. </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ANEXO VI</w:t>
      </w:r>
    </w:p>
    <w:p>
      <w:pPr>
        <w:keepNext/>
        <w:spacing w:before="360"/>
        <w:jc w:val="center"/>
        <w:outlineLvl w:val="0"/>
        <w:rPr>
          <w:rFonts w:eastAsia="Times New Roman"/>
          <w:b/>
          <w:smallCaps/>
          <w:noProof/>
          <w:szCs w:val="20"/>
        </w:rPr>
      </w:pPr>
      <w:r>
        <w:rPr>
          <w:b/>
          <w:smallCaps/>
          <w:noProof/>
        </w:rPr>
        <w:t>Tabela de correspondência</w:t>
      </w:r>
    </w:p>
    <w:tbl>
      <w:tblPr>
        <w:tblW w:w="8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24"/>
        <w:gridCol w:w="2120"/>
        <w:gridCol w:w="2123"/>
      </w:tblGrid>
      <w:tr>
        <w:trPr>
          <w:trHeight w:val="630"/>
          <w:tblHeader/>
        </w:trPr>
        <w:tc>
          <w:tcPr>
            <w:tcW w:w="2193" w:type="dxa"/>
            <w:shd w:val="clear" w:color="auto" w:fill="D9D9D9" w:themeFill="background1" w:themeFillShade="D9"/>
            <w:hideMark/>
          </w:tcPr>
          <w:p>
            <w:pPr>
              <w:spacing w:before="0" w:after="0"/>
              <w:jc w:val="left"/>
              <w:rPr>
                <w:rFonts w:eastAsia="Times New Roman"/>
                <w:b/>
                <w:noProof/>
                <w:color w:val="000000"/>
                <w:szCs w:val="24"/>
              </w:rPr>
            </w:pPr>
            <w:r>
              <w:rPr>
                <w:b/>
                <w:noProof/>
                <w:color w:val="000000"/>
              </w:rPr>
              <w:t>Regulamento (UE) 2016/1624</w:t>
            </w:r>
          </w:p>
        </w:tc>
        <w:tc>
          <w:tcPr>
            <w:tcW w:w="2124" w:type="dxa"/>
            <w:shd w:val="clear" w:color="auto" w:fill="D9D9D9" w:themeFill="background1" w:themeFillShade="D9"/>
            <w:hideMark/>
          </w:tcPr>
          <w:p>
            <w:pPr>
              <w:spacing w:before="0" w:after="0"/>
              <w:jc w:val="left"/>
              <w:rPr>
                <w:rFonts w:eastAsia="Times New Roman"/>
                <w:b/>
                <w:noProof/>
                <w:color w:val="000000"/>
                <w:szCs w:val="24"/>
              </w:rPr>
            </w:pPr>
            <w:r>
              <w:rPr>
                <w:b/>
                <w:noProof/>
                <w:color w:val="000000"/>
              </w:rPr>
              <w:t>Regulamento (UE) n.º 1052/2013</w:t>
            </w:r>
          </w:p>
        </w:tc>
        <w:tc>
          <w:tcPr>
            <w:tcW w:w="2120" w:type="dxa"/>
            <w:shd w:val="clear" w:color="auto" w:fill="D9D9D9" w:themeFill="background1" w:themeFillShade="D9"/>
            <w:hideMark/>
          </w:tcPr>
          <w:p>
            <w:pPr>
              <w:spacing w:before="0" w:after="0"/>
              <w:jc w:val="left"/>
              <w:rPr>
                <w:rFonts w:eastAsia="Times New Roman"/>
                <w:b/>
                <w:noProof/>
                <w:color w:val="000000"/>
                <w:szCs w:val="24"/>
              </w:rPr>
            </w:pPr>
            <w:r>
              <w:rPr>
                <w:b/>
                <w:noProof/>
                <w:color w:val="000000"/>
              </w:rPr>
              <w:t>Ação Comum 98/700/JAI</w:t>
            </w:r>
          </w:p>
        </w:tc>
        <w:tc>
          <w:tcPr>
            <w:tcW w:w="2123" w:type="dxa"/>
            <w:shd w:val="clear" w:color="auto" w:fill="D9D9D9" w:themeFill="background1" w:themeFillShade="D9"/>
            <w:hideMark/>
          </w:tcPr>
          <w:p>
            <w:pPr>
              <w:spacing w:before="0" w:after="0"/>
              <w:jc w:val="left"/>
              <w:rPr>
                <w:rFonts w:eastAsia="Times New Roman"/>
                <w:b/>
                <w:noProof/>
                <w:color w:val="000000"/>
                <w:szCs w:val="24"/>
              </w:rPr>
            </w:pPr>
            <w:r>
              <w:rPr>
                <w:b/>
                <w:noProof/>
                <w:color w:val="000000"/>
              </w:rPr>
              <w:t>Presente regulamento</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1.º, primeira frase</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1.°, primeiro parágrafo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1.º, segunda frase</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1.°, segundo parágrafo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 frase introdutória</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3.°, frase introdutória</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 frase introdutória</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2.º, ponto 1</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1</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2</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2.º, ponto 2</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3</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4</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5</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3.°, alínea a)</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2.º, ponto 3</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6</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3º, alínea b)</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7</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3.º, alínea c)</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8</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9</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3.º, alínea d)</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10</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3.º, alínea f)</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11</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2.º, ponto 16</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3.º, alínea 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12</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3.º, alínea g)</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13</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3.º, alínea i)</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14</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3.°, alínea h)</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15</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2.º, ponto 4</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16</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2.º, ponto 8</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18</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2.º, ponto 9</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19</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2.º, ponto 5</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20</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2.º, ponto 6</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21</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2.º, ponto 7</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22</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2.º, ponto 10</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23</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24</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2.º, ponto 11</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25</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2.º, ponto 12</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26</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2.º, ponto 13</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27</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2.º, ponto 14</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28</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2.º, ponto 15</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29</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30</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2.º, ponto 31</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4.º, alíneas a) a d)</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3.º, alíneas a) a 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4.º, alínea e)</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3.º, alíneas e) e f)</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4.º, alíneas f) a k)</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3.°, alíneas g) a h)</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3.°, n.º 1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4.º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6.º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5.º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7.º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6.º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 n.º 1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 n.º 1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 n.º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5.º, n.</w:t>
            </w:r>
            <w:r>
              <w:rPr>
                <w:noProof/>
                <w:color w:val="000000"/>
                <w:vertAlign w:val="superscript"/>
              </w:rPr>
              <w:t>os</w:t>
            </w:r>
            <w:r>
              <w:rPr>
                <w:noProof/>
                <w:color w:val="000000"/>
              </w:rPr>
              <w:t xml:space="preserve"> 2 e 3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7.°, n.</w:t>
            </w:r>
            <w:r>
              <w:rPr>
                <w:noProof/>
                <w:color w:val="000000"/>
                <w:vertAlign w:val="superscript"/>
              </w:rPr>
              <w:t>os</w:t>
            </w:r>
            <w:r>
              <w:rPr>
                <w:noProof/>
                <w:color w:val="000000"/>
              </w:rPr>
              <w:t xml:space="preserve"> 3 e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8.º, n.</w:t>
            </w:r>
            <w:r>
              <w:rPr>
                <w:noProof/>
                <w:color w:val="000000"/>
                <w:vertAlign w:val="superscript"/>
              </w:rPr>
              <w:t>os</w:t>
            </w:r>
            <w:r>
              <w:rPr>
                <w:noProof/>
                <w:color w:val="000000"/>
              </w:rPr>
              <w:t xml:space="preserve"> 1 a 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3.°, n.º 2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8.°, n.º 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3.°, n.º 3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8.°, n.º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8.°, n.</w:t>
            </w:r>
            <w:r>
              <w:rPr>
                <w:noProof/>
                <w:color w:val="000000"/>
                <w:vertAlign w:val="superscript"/>
              </w:rPr>
              <w:t>os</w:t>
            </w:r>
            <w:r>
              <w:rPr>
                <w:noProof/>
                <w:color w:val="000000"/>
              </w:rPr>
              <w:t xml:space="preserve"> 7 e 8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9.º </w:t>
            </w:r>
          </w:p>
        </w:tc>
      </w:tr>
      <w:tr>
        <w:trPr>
          <w:trHeight w:val="630"/>
          <w:tblHeader/>
        </w:trPr>
        <w:tc>
          <w:tcPr>
            <w:tcW w:w="2193" w:type="dxa"/>
            <w:shd w:val="clear" w:color="auto" w:fill="auto"/>
            <w:hideMark/>
          </w:tcPr>
          <w:p>
            <w:pPr>
              <w:spacing w:before="0" w:after="0"/>
              <w:jc w:val="left"/>
              <w:rPr>
                <w:rFonts w:eastAsia="Times New Roman"/>
                <w:noProof/>
                <w:color w:val="000000"/>
                <w:szCs w:val="24"/>
                <w:lang w:val="es-ES"/>
              </w:rPr>
            </w:pPr>
            <w:r>
              <w:rPr>
                <w:noProof/>
                <w:color w:val="000000"/>
                <w:lang w:val="es-ES"/>
              </w:rPr>
              <w:t>Artigo 8.º, n.º 1, alínea a)</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10.º, n.º 1, ponto 1</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10.º, n.º 1, ponto 2</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8.º, n.º 1, alíneas b) a h)</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10.º, n.º 1, pontos 3 a 10</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6.º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10.º, n.º 1, ponto 5</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10.º, n.º 1, ponto 11</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8, nº 1, alínea i)</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10.º, n.º 1, ponto 12, alíneas i) e ii)</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8.º, nº 1, alíneas j) e k)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10.º, n.º 1, ponto 12, alínea iii)</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6, nº 1, alíneas b), c) e d)</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8, nº 1, ponto 1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10.º, n.º 1, ponto 13</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6.°, n.º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8.º, n.º 1, alíneas n) e o)</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10.º, n.º 1, pontos 14 e 15</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8, nº 1, alínea m)</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10.º, n.º 1, ponto 16</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10.º, n.º 1, pontos 17 a 21</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8.º, n.º 1, alíneas p) e q)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10.º, n.º 1, pontos 22 e 23</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lang w:val="es-ES"/>
              </w:rPr>
            </w:pPr>
            <w:r>
              <w:rPr>
                <w:noProof/>
                <w:color w:val="000000"/>
                <w:lang w:val="es-ES"/>
              </w:rPr>
              <w:t>Artigo 6.º, n.º 1, alínea a)</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10.º, n.º 1, ponto 25</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8.º, n.º 1, alíneas r) e s)</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10.º, n.º 1, pontos 26 e 27</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8.º, n.º 1, alíneas t) e u)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10.º, n.º 1, pontos 28 e 29</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8.°, n.º 2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 n.º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11.º</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Pontos incluídos no artigo 10.º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9.º</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11.º </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10.º, n.º 3, segunda e quarta frases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12.°, n.º 3 </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10.º, n.º 3, primeira e terceira frases</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12.°, n.º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10.º, n.</w:t>
            </w:r>
            <w:r>
              <w:rPr>
                <w:noProof/>
                <w:color w:val="000000"/>
                <w:vertAlign w:val="superscript"/>
              </w:rPr>
              <w:t>os</w:t>
            </w:r>
            <w:r>
              <w:rPr>
                <w:noProof/>
                <w:color w:val="000000"/>
              </w:rPr>
              <w:t xml:space="preserve"> 1 e 2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12.°, n.</w:t>
            </w:r>
            <w:r>
              <w:rPr>
                <w:noProof/>
                <w:color w:val="000000"/>
                <w:vertAlign w:val="superscript"/>
              </w:rPr>
              <w:t>os</w:t>
            </w:r>
            <w:r>
              <w:rPr>
                <w:noProof/>
                <w:color w:val="000000"/>
              </w:rPr>
              <w:t xml:space="preserve"> 1 e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23.º</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13.°, primeira metade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13.°, segunda metade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7.°, n.</w:t>
            </w:r>
            <w:r>
              <w:rPr>
                <w:noProof/>
                <w:color w:val="000000"/>
                <w:vertAlign w:val="superscript"/>
              </w:rPr>
              <w:t>os</w:t>
            </w:r>
            <w:r>
              <w:rPr>
                <w:noProof/>
                <w:color w:val="000000"/>
              </w:rPr>
              <w:t xml:space="preserve"> 1 e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14.º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7.°, n.</w:t>
            </w:r>
            <w:r>
              <w:rPr>
                <w:noProof/>
                <w:color w:val="000000"/>
                <w:vertAlign w:val="superscript"/>
              </w:rPr>
              <w:t>os</w:t>
            </w:r>
            <w:r>
              <w:rPr>
                <w:noProof/>
                <w:color w:val="000000"/>
              </w:rPr>
              <w:t xml:space="preserve"> 3, 4 e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44.°, n.º 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15.°, n.º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44.°, n.º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15.°, n.º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15.°, n.</w:t>
            </w:r>
            <w:r>
              <w:rPr>
                <w:noProof/>
                <w:color w:val="000000"/>
                <w:vertAlign w:val="superscript"/>
              </w:rPr>
              <w:t>os</w:t>
            </w:r>
            <w:r>
              <w:rPr>
                <w:noProof/>
                <w:color w:val="000000"/>
              </w:rPr>
              <w:t xml:space="preserve"> 2 e 3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1.º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18.º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2.°, n.º 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19.°, n.º 1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2.°, n.º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2.°, n.º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19.°, n.º 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2.°, n.º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4.º, nº 1, alíneas a) e b)</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20.º, nº 1, alíneas a) e b)</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lang w:val="es-ES"/>
              </w:rPr>
            </w:pPr>
            <w:r>
              <w:rPr>
                <w:noProof/>
                <w:color w:val="000000"/>
                <w:lang w:val="es-ES"/>
              </w:rPr>
              <w:t>Artigo 4.º, n.º 1, alínea d)</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lang w:val="es-ES"/>
              </w:rPr>
            </w:pPr>
            <w:r>
              <w:rPr>
                <w:noProof/>
                <w:color w:val="000000"/>
                <w:lang w:val="es-ES"/>
              </w:rPr>
              <w:t>Artigo 20.º, n.º 1, alínea c)</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4.º, n.º 1, alíneas c), e) e f)</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20.º, n.º 1, alíneas d), e) e f)</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4.°, n.º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4.°, n.</w:t>
            </w:r>
            <w:r>
              <w:rPr>
                <w:noProof/>
                <w:color w:val="000000"/>
                <w:vertAlign w:val="superscript"/>
              </w:rPr>
              <w:t>os</w:t>
            </w:r>
            <w:r>
              <w:rPr>
                <w:noProof/>
                <w:color w:val="000000"/>
              </w:rPr>
              <w:t xml:space="preserve"> 2 e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20.°, n.</w:t>
            </w:r>
            <w:r>
              <w:rPr>
                <w:noProof/>
                <w:color w:val="000000"/>
                <w:vertAlign w:val="superscript"/>
              </w:rPr>
              <w:t>os</w:t>
            </w:r>
            <w:r>
              <w:rPr>
                <w:noProof/>
                <w:color w:val="000000"/>
              </w:rPr>
              <w:t xml:space="preserve"> 2 e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21, nº 3, alínea i)</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5.º</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21.º (exceto n.º 3, alínea i))</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17.º</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22.º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21.°, n.</w:t>
            </w:r>
            <w:r>
              <w:rPr>
                <w:noProof/>
                <w:color w:val="000000"/>
                <w:vertAlign w:val="superscript"/>
              </w:rPr>
              <w:t>os</w:t>
            </w:r>
            <w:r>
              <w:rPr>
                <w:noProof/>
                <w:color w:val="000000"/>
              </w:rPr>
              <w:t xml:space="preserve"> 1 e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23.º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21.°, n.º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24.°, n.º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22.°, n.º 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24.°, n.</w:t>
            </w:r>
            <w:r>
              <w:rPr>
                <w:noProof/>
                <w:color w:val="000000"/>
                <w:vertAlign w:val="superscript"/>
              </w:rPr>
              <w:t>os</w:t>
            </w:r>
            <w:r>
              <w:rPr>
                <w:noProof/>
                <w:color w:val="000000"/>
              </w:rPr>
              <w:t xml:space="preserve"> 2 e 3 </w:t>
            </w:r>
          </w:p>
        </w:tc>
      </w:tr>
      <w:tr>
        <w:trPr>
          <w:trHeight w:val="126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10.°, n.º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25.º, n.º 2, pontos (incluídos na definição geral dos níveis)</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8.º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25.°, n.</w:t>
            </w:r>
            <w:r>
              <w:rPr>
                <w:noProof/>
                <w:color w:val="000000"/>
                <w:vertAlign w:val="superscript"/>
              </w:rPr>
              <w:t>os</w:t>
            </w:r>
            <w:r>
              <w:rPr>
                <w:noProof/>
                <w:color w:val="000000"/>
              </w:rPr>
              <w:t xml:space="preserve"> 1 e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25.º, n.</w:t>
            </w:r>
            <w:r>
              <w:rPr>
                <w:noProof/>
                <w:color w:val="000000"/>
                <w:vertAlign w:val="superscript"/>
              </w:rPr>
              <w:t>os</w:t>
            </w:r>
            <w:r>
              <w:rPr>
                <w:noProof/>
                <w:color w:val="000000"/>
              </w:rPr>
              <w:t xml:space="preserve"> 3 a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9.°, n.º 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26.°, n.º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9.º, n.º 2, alíneas a) a 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26.º, n.º 2, alíneas a) a 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lang w:val="es-ES"/>
              </w:rPr>
            </w:pPr>
            <w:r>
              <w:rPr>
                <w:noProof/>
                <w:color w:val="000000"/>
                <w:lang w:val="es-ES"/>
              </w:rPr>
              <w:t>Artigo 26.º, n.º 2, alínea f)</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9.º, n.º 2, alíneas f) a k)</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26.º, n.º 2, alíneas g) a h)</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9.°, n.º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25.º, n.º 5, pontos no ato de execução</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9.°, n.º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26.º, n.º 3, primeira metade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9.º, n.º 5, alínea a), primeira metade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25.º, n.º 5, pontos no ato de execução</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26.º, n.º 3, segunda metade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9.º, n.º 5, alínea a), primeira metade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26.°, n.º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lang w:val="es-ES"/>
              </w:rPr>
            </w:pPr>
            <w:r>
              <w:rPr>
                <w:noProof/>
                <w:color w:val="000000"/>
                <w:lang w:val="es-ES"/>
              </w:rPr>
              <w:t>Artigo 9.º, n.º 5, alínea b)</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25.º, n.º 5, pontos no ato de execução</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9.°, n.</w:t>
            </w:r>
            <w:r>
              <w:rPr>
                <w:noProof/>
                <w:color w:val="000000"/>
                <w:vertAlign w:val="superscript"/>
              </w:rPr>
              <w:t>os</w:t>
            </w:r>
            <w:r>
              <w:rPr>
                <w:noProof/>
                <w:color w:val="000000"/>
              </w:rPr>
              <w:t xml:space="preserve"> 6,7, 8 e 10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25.º, n.º 5, pontos no ato de execução</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9.º, n.º 9, alíneas a) e b)</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25.º, n.º 5, pontos no ato de execução</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9.º, n.º 9, frase introdutória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26.°, n.º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10.º, n.º 2, alíneas a), b) e f)</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27.º, n.º 2, alíneas a), b) e f)</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lang w:val="es-ES"/>
              </w:rPr>
            </w:pPr>
            <w:r>
              <w:rPr>
                <w:noProof/>
                <w:color w:val="000000"/>
                <w:lang w:val="es-ES"/>
              </w:rPr>
              <w:t>Artigo 10.º, n.º 2, alínea c)</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25.º, n.º 5, pontos no ato de execução</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10.º, n.º 2, alíneas d) e f)</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lang w:val="es-ES"/>
              </w:rPr>
            </w:pPr>
            <w:r>
              <w:rPr>
                <w:noProof/>
                <w:color w:val="000000"/>
                <w:lang w:val="es-ES"/>
              </w:rPr>
              <w:t>Artigo 27.º, n.º 2, alínea c)</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27.º, n.º 2, alínea 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10.°, n.º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27.°, n.º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10.°, n.º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27.°, n.º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10.°, n.</w:t>
            </w:r>
            <w:r>
              <w:rPr>
                <w:noProof/>
                <w:color w:val="000000"/>
                <w:vertAlign w:val="superscript"/>
              </w:rPr>
              <w:t>os</w:t>
            </w:r>
            <w:r>
              <w:rPr>
                <w:noProof/>
                <w:color w:val="000000"/>
              </w:rPr>
              <w:t xml:space="preserve"> 1 e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27.°, n.</w:t>
            </w:r>
            <w:r>
              <w:rPr>
                <w:noProof/>
                <w:color w:val="000000"/>
                <w:vertAlign w:val="superscript"/>
              </w:rPr>
              <w:t>os</w:t>
            </w:r>
            <w:r>
              <w:rPr>
                <w:noProof/>
                <w:color w:val="000000"/>
              </w:rPr>
              <w:t xml:space="preserve"> 1 e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10.°, n.º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27.°, n.</w:t>
            </w:r>
            <w:r>
              <w:rPr>
                <w:noProof/>
                <w:color w:val="000000"/>
                <w:vertAlign w:val="superscript"/>
              </w:rPr>
              <w:t>os</w:t>
            </w:r>
            <w:r>
              <w:rPr>
                <w:noProof/>
                <w:color w:val="000000"/>
              </w:rPr>
              <w:t xml:space="preserve"> 4 e 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28.º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12.°, n.º 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29.°, n.º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12.°, n.º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29.º, n.º 2, alíneas a) a 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12.°, n.º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29.º, n.º 2, alíneas f) a h)</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12.°, n.</w:t>
            </w:r>
            <w:r>
              <w:rPr>
                <w:noProof/>
                <w:color w:val="000000"/>
                <w:vertAlign w:val="superscript"/>
              </w:rPr>
              <w:t>os</w:t>
            </w:r>
            <w:r>
              <w:rPr>
                <w:noProof/>
                <w:color w:val="000000"/>
              </w:rPr>
              <w:t xml:space="preserve"> 4 e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29.°, n.</w:t>
            </w:r>
            <w:r>
              <w:rPr>
                <w:noProof/>
                <w:color w:val="000000"/>
                <w:vertAlign w:val="superscript"/>
              </w:rPr>
              <w:t>os</w:t>
            </w:r>
            <w:r>
              <w:rPr>
                <w:noProof/>
                <w:color w:val="000000"/>
              </w:rPr>
              <w:t xml:space="preserve"> 3 e 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11.º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30.º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14.º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31.º, primeira parte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14.º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31.º, alíneas, primeira frase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31.º, segunda frase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31.º, segunda parte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lang w:val="es-ES"/>
              </w:rPr>
            </w:pPr>
            <w:r>
              <w:rPr>
                <w:noProof/>
                <w:color w:val="000000"/>
                <w:lang w:val="es-ES"/>
              </w:rPr>
              <w:t>Artigo 32.º, n.º 2, alínea j)</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12.º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32.º (exceto n.º 2, alínea j))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13.º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33.º, todos os parágrafos exceto o n.º 9</w:t>
            </w:r>
          </w:p>
        </w:tc>
      </w:tr>
      <w:tr>
        <w:trPr>
          <w:trHeight w:val="315"/>
          <w:tblHeader/>
        </w:trPr>
        <w:tc>
          <w:tcPr>
            <w:tcW w:w="2193" w:type="dxa"/>
            <w:shd w:val="clear" w:color="auto" w:fill="auto"/>
          </w:tcPr>
          <w:p>
            <w:pPr>
              <w:spacing w:before="0" w:after="0"/>
              <w:jc w:val="left"/>
              <w:rPr>
                <w:rFonts w:eastAsia="Times New Roman"/>
                <w:noProof/>
                <w:color w:val="000000"/>
                <w:szCs w:val="24"/>
              </w:rPr>
            </w:pPr>
          </w:p>
        </w:tc>
        <w:tc>
          <w:tcPr>
            <w:tcW w:w="2124" w:type="dxa"/>
            <w:shd w:val="clear" w:color="auto" w:fill="auto"/>
          </w:tcPr>
          <w:p>
            <w:pPr>
              <w:spacing w:before="0" w:after="0"/>
              <w:jc w:val="left"/>
              <w:rPr>
                <w:rFonts w:eastAsia="Times New Roman"/>
                <w:noProof/>
                <w:color w:val="000000"/>
                <w:szCs w:val="24"/>
              </w:rPr>
            </w:pPr>
          </w:p>
        </w:tc>
        <w:tc>
          <w:tcPr>
            <w:tcW w:w="2120" w:type="dxa"/>
            <w:shd w:val="clear" w:color="auto" w:fill="auto"/>
          </w:tcPr>
          <w:p>
            <w:pPr>
              <w:spacing w:before="0" w:after="0"/>
              <w:jc w:val="left"/>
              <w:rPr>
                <w:rFonts w:eastAsia="Times New Roman"/>
                <w:noProof/>
                <w:color w:val="000000"/>
                <w:szCs w:val="24"/>
              </w:rPr>
            </w:pPr>
          </w:p>
        </w:tc>
        <w:tc>
          <w:tcPr>
            <w:tcW w:w="2123" w:type="dxa"/>
            <w:shd w:val="clear" w:color="auto" w:fill="auto"/>
          </w:tcPr>
          <w:p>
            <w:pPr>
              <w:spacing w:before="0" w:after="0"/>
              <w:jc w:val="left"/>
              <w:rPr>
                <w:rFonts w:eastAsia="Times New Roman"/>
                <w:noProof/>
                <w:color w:val="000000"/>
                <w:szCs w:val="24"/>
              </w:rPr>
            </w:pPr>
            <w:r>
              <w:rPr>
                <w:noProof/>
                <w:color w:val="000000"/>
              </w:rPr>
              <w:t>Artigo 33.°, n.º 9</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34.º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lang w:val="es-ES"/>
              </w:rPr>
            </w:pPr>
            <w:r>
              <w:rPr>
                <w:noProof/>
                <w:color w:val="000000"/>
                <w:lang w:val="es-ES"/>
              </w:rPr>
              <w:t>Artigo 35.º, n.º 1, alínea d)</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15.º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35.º (exceto n.º 1, alínea 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lang w:val="es-ES"/>
              </w:rPr>
            </w:pPr>
            <w:r>
              <w:rPr>
                <w:noProof/>
                <w:color w:val="000000"/>
                <w:lang w:val="es-ES"/>
              </w:rPr>
              <w:t>Artigo 36.º, n.º 3, alínea 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16.°, n.º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36.°, n.º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16.°, n.</w:t>
            </w:r>
            <w:r>
              <w:rPr>
                <w:noProof/>
                <w:color w:val="000000"/>
                <w:vertAlign w:val="superscript"/>
              </w:rPr>
              <w:t>os</w:t>
            </w:r>
            <w:r>
              <w:rPr>
                <w:noProof/>
                <w:color w:val="000000"/>
              </w:rPr>
              <w:t xml:space="preserve"> 1, 2 e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36.°, n.</w:t>
            </w:r>
            <w:r>
              <w:rPr>
                <w:noProof/>
                <w:color w:val="000000"/>
                <w:vertAlign w:val="superscript"/>
              </w:rPr>
              <w:t>os</w:t>
            </w:r>
            <w:r>
              <w:rPr>
                <w:noProof/>
                <w:color w:val="000000"/>
              </w:rPr>
              <w:t xml:space="preserve"> 1, 2 e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14.º, n.º 2, alíneas a) a e)</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16.º, n.º 4, alíneas b) a d)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37.º, n.º 2, alíneas a) a 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lang w:val="es-ES"/>
              </w:rPr>
            </w:pPr>
            <w:r>
              <w:rPr>
                <w:noProof/>
                <w:color w:val="000000"/>
                <w:lang w:val="es-ES"/>
              </w:rPr>
              <w:t>Artigo 16.º, n.º 4, alínea a)</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lang w:val="es-ES"/>
              </w:rPr>
            </w:pPr>
            <w:r>
              <w:rPr>
                <w:noProof/>
                <w:color w:val="000000"/>
                <w:lang w:val="es-ES"/>
              </w:rPr>
              <w:t>Artigo 37.º, n.º 2, alínea f)</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16.°, n.º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14.°, n.</w:t>
            </w:r>
            <w:r>
              <w:rPr>
                <w:noProof/>
                <w:color w:val="000000"/>
                <w:vertAlign w:val="superscript"/>
              </w:rPr>
              <w:t>os</w:t>
            </w:r>
            <w:r>
              <w:rPr>
                <w:noProof/>
                <w:color w:val="000000"/>
              </w:rPr>
              <w:t xml:space="preserve"> 1, 3 e 4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37.º, n.</w:t>
            </w:r>
            <w:r>
              <w:rPr>
                <w:noProof/>
                <w:color w:val="000000"/>
                <w:vertAlign w:val="superscript"/>
              </w:rPr>
              <w:t>os</w:t>
            </w:r>
            <w:r>
              <w:rPr>
                <w:noProof/>
                <w:color w:val="000000"/>
              </w:rPr>
              <w:t xml:space="preserve"> 1, 3 e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15.°, n.º 5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38.°, n.º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15.°, n.</w:t>
            </w:r>
            <w:r>
              <w:rPr>
                <w:noProof/>
                <w:color w:val="000000"/>
                <w:vertAlign w:val="superscript"/>
              </w:rPr>
              <w:t>os</w:t>
            </w:r>
            <w:r>
              <w:rPr>
                <w:noProof/>
                <w:color w:val="000000"/>
              </w:rPr>
              <w:t xml:space="preserve"> 1, 2 e 3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38.º, n.</w:t>
            </w:r>
            <w:r>
              <w:rPr>
                <w:noProof/>
                <w:color w:val="000000"/>
                <w:vertAlign w:val="superscript"/>
              </w:rPr>
              <w:t>os</w:t>
            </w:r>
            <w:r>
              <w:rPr>
                <w:noProof/>
                <w:color w:val="000000"/>
              </w:rPr>
              <w:t xml:space="preserve"> 1, 2 e 3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16.º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39.º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17.º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40.º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18.°, n.º 3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41.°, n.º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lang w:val="es-ES"/>
              </w:rPr>
            </w:pPr>
            <w:r>
              <w:rPr>
                <w:noProof/>
                <w:color w:val="000000"/>
                <w:lang w:val="es-ES"/>
              </w:rPr>
              <w:t>Artigo 41.º, n.º 5, alínea 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18.°, n.º 4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41.°, n.º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41.°, n.º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18.°, n.º 5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41.°, n.º 7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18.º, n.</w:t>
            </w:r>
            <w:r>
              <w:rPr>
                <w:noProof/>
                <w:color w:val="000000"/>
                <w:vertAlign w:val="superscript"/>
              </w:rPr>
              <w:t>os</w:t>
            </w:r>
            <w:r>
              <w:rPr>
                <w:noProof/>
                <w:color w:val="000000"/>
              </w:rPr>
              <w:t xml:space="preserve"> 1 e 2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41.º, n.</w:t>
            </w:r>
            <w:r>
              <w:rPr>
                <w:noProof/>
                <w:color w:val="000000"/>
                <w:vertAlign w:val="superscript"/>
              </w:rPr>
              <w:t>os</w:t>
            </w:r>
            <w:r>
              <w:rPr>
                <w:noProof/>
                <w:color w:val="000000"/>
              </w:rPr>
              <w:t xml:space="preserve"> 1, 2 e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15.°, n.º 4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42.°, n.º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15.°, n.º 4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42.°, n.º 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19.º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43.º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21.º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44.º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22.º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45.º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24.º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46.º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25.º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47.º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26.º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48.º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lang w:val="es-ES"/>
              </w:rPr>
            </w:pPr>
            <w:r>
              <w:rPr>
                <w:noProof/>
                <w:color w:val="000000"/>
                <w:lang w:val="es-ES"/>
              </w:rPr>
              <w:t>Artigo 49.º, n.º 1, alínea c)</w:t>
            </w:r>
          </w:p>
        </w:tc>
      </w:tr>
      <w:tr>
        <w:trPr>
          <w:trHeight w:val="630"/>
          <w:tblHeader/>
        </w:trPr>
        <w:tc>
          <w:tcPr>
            <w:tcW w:w="2193" w:type="dxa"/>
            <w:shd w:val="clear" w:color="auto" w:fill="auto"/>
            <w:hideMark/>
          </w:tcPr>
          <w:p>
            <w:pPr>
              <w:spacing w:before="0" w:after="0"/>
              <w:jc w:val="left"/>
              <w:rPr>
                <w:rFonts w:eastAsia="Times New Roman"/>
                <w:noProof/>
                <w:color w:val="000000"/>
                <w:szCs w:val="24"/>
                <w:lang w:val="es-ES"/>
              </w:rPr>
            </w:pPr>
            <w:r>
              <w:rPr>
                <w:noProof/>
                <w:color w:val="000000"/>
                <w:lang w:val="es-ES"/>
              </w:rPr>
              <w:t>Artigo 27.º, n.º 1, alínea c)</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27.º, n.º 1, exceto alínea c)</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49.º, n.º 1, exceto alínea c)</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27.°, n.º 2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49.º, n.º 2, alíneas a) a 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49.º, n.º 2, alínea 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27.º, n.</w:t>
            </w:r>
            <w:r>
              <w:rPr>
                <w:noProof/>
                <w:color w:val="000000"/>
                <w:vertAlign w:val="superscript"/>
              </w:rPr>
              <w:t>os</w:t>
            </w:r>
            <w:r>
              <w:rPr>
                <w:noProof/>
                <w:color w:val="000000"/>
              </w:rPr>
              <w:t xml:space="preserve"> 3 e 4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49.°, n.</w:t>
            </w:r>
            <w:r>
              <w:rPr>
                <w:noProof/>
                <w:color w:val="000000"/>
                <w:vertAlign w:val="superscript"/>
              </w:rPr>
              <w:t>os</w:t>
            </w:r>
            <w:r>
              <w:rPr>
                <w:noProof/>
                <w:color w:val="000000"/>
              </w:rPr>
              <w:t> 3 e 4</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50.º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28.º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51.º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29.º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52.º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30.º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31.º</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32.º</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53.º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33.°, n.º 1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54.°, n.º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54.°, n.º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33.º, n.</w:t>
            </w:r>
            <w:r>
              <w:rPr>
                <w:noProof/>
                <w:color w:val="000000"/>
                <w:vertAlign w:val="superscript"/>
              </w:rPr>
              <w:t>os</w:t>
            </w:r>
            <w:r>
              <w:rPr>
                <w:noProof/>
                <w:color w:val="000000"/>
              </w:rPr>
              <w:t xml:space="preserve"> 2 a 5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54.º, n.</w:t>
            </w:r>
            <w:r>
              <w:rPr>
                <w:noProof/>
                <w:color w:val="000000"/>
                <w:vertAlign w:val="superscript"/>
              </w:rPr>
              <w:t>os</w:t>
            </w:r>
            <w:r>
              <w:rPr>
                <w:noProof/>
                <w:color w:val="000000"/>
              </w:rPr>
              <w:t xml:space="preserve"> 3 a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Artigos 20.º, 30.º e 31.º</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Artigos 55.º a 58.º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59.º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60.º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61.º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36.°, n.º 1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62.°, n.º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62.°, n.º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36.°, n.º 2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62.°, n.º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36.°, n.º 3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36.º, n.</w:t>
            </w:r>
            <w:r>
              <w:rPr>
                <w:noProof/>
                <w:color w:val="000000"/>
                <w:vertAlign w:val="superscript"/>
              </w:rPr>
              <w:t>os</w:t>
            </w:r>
            <w:r>
              <w:rPr>
                <w:noProof/>
                <w:color w:val="000000"/>
              </w:rPr>
              <w:t xml:space="preserve"> 4 a 8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62.º, n.</w:t>
            </w:r>
            <w:r>
              <w:rPr>
                <w:noProof/>
                <w:color w:val="000000"/>
                <w:vertAlign w:val="superscript"/>
              </w:rPr>
              <w:t>os</w:t>
            </w:r>
            <w:r>
              <w:rPr>
                <w:noProof/>
                <w:color w:val="000000"/>
              </w:rPr>
              <w:t xml:space="preserve"> 4 a 8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38.º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63.º, n.º 1 e n.</w:t>
            </w:r>
            <w:r>
              <w:rPr>
                <w:noProof/>
                <w:color w:val="000000"/>
                <w:vertAlign w:val="superscript"/>
              </w:rPr>
              <w:t>os</w:t>
            </w:r>
            <w:r>
              <w:rPr>
                <w:noProof/>
                <w:color w:val="000000"/>
              </w:rPr>
              <w:t> 3 a 6</w:t>
            </w:r>
          </w:p>
        </w:tc>
      </w:tr>
      <w:tr>
        <w:trPr>
          <w:trHeight w:val="630"/>
          <w:tblHeader/>
        </w:trPr>
        <w:tc>
          <w:tcPr>
            <w:tcW w:w="2193" w:type="dxa"/>
            <w:shd w:val="clear" w:color="auto" w:fill="auto"/>
          </w:tcPr>
          <w:p>
            <w:pPr>
              <w:rPr>
                <w:noProof/>
              </w:rPr>
            </w:pPr>
            <w:r>
              <w:rPr>
                <w:noProof/>
              </w:rPr>
              <w:t>--</w:t>
            </w:r>
          </w:p>
        </w:tc>
        <w:tc>
          <w:tcPr>
            <w:tcW w:w="2124" w:type="dxa"/>
            <w:shd w:val="clear" w:color="auto" w:fill="auto"/>
          </w:tcPr>
          <w:p>
            <w:pPr>
              <w:rPr>
                <w:noProof/>
              </w:rPr>
            </w:pPr>
            <w:r>
              <w:rPr>
                <w:noProof/>
              </w:rPr>
              <w:t>--</w:t>
            </w:r>
          </w:p>
        </w:tc>
        <w:tc>
          <w:tcPr>
            <w:tcW w:w="2120" w:type="dxa"/>
            <w:shd w:val="clear" w:color="auto" w:fill="auto"/>
          </w:tcPr>
          <w:p>
            <w:pPr>
              <w:rPr>
                <w:noProof/>
              </w:rPr>
            </w:pPr>
            <w:r>
              <w:rPr>
                <w:noProof/>
              </w:rPr>
              <w:t xml:space="preserve">-- </w:t>
            </w:r>
          </w:p>
        </w:tc>
        <w:tc>
          <w:tcPr>
            <w:tcW w:w="2123" w:type="dxa"/>
            <w:shd w:val="clear" w:color="auto" w:fill="auto"/>
          </w:tcPr>
          <w:p>
            <w:pPr>
              <w:spacing w:before="0" w:after="0"/>
              <w:jc w:val="left"/>
              <w:rPr>
                <w:rFonts w:eastAsia="Times New Roman"/>
                <w:noProof/>
                <w:color w:val="000000"/>
                <w:szCs w:val="24"/>
              </w:rPr>
            </w:pPr>
            <w:r>
              <w:rPr>
                <w:noProof/>
                <w:color w:val="000000"/>
              </w:rPr>
              <w:t xml:space="preserve">Artigo 63.º, n.º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39.°, todos os parágrafos exceto o n.º 13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64.º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20.°, n.º 12 </w:t>
            </w:r>
          </w:p>
          <w:p>
            <w:pPr>
              <w:spacing w:before="0" w:after="0"/>
              <w:jc w:val="left"/>
              <w:rPr>
                <w:rFonts w:eastAsia="Times New Roman"/>
                <w:noProof/>
                <w:color w:val="000000"/>
                <w:szCs w:val="24"/>
              </w:rPr>
            </w:pPr>
            <w:r>
              <w:rPr>
                <w:noProof/>
                <w:color w:val="000000"/>
              </w:rPr>
              <w:t xml:space="preserve">Artigo 39.°, n.º 13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65.º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37.º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66.º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67.º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68.º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52.°, n.º 1 </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18.º, n.º 1, primeira parte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69.°, n.º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18.°, n.</w:t>
            </w:r>
            <w:r>
              <w:rPr>
                <w:noProof/>
                <w:color w:val="000000"/>
                <w:vertAlign w:val="superscript"/>
              </w:rPr>
              <w:t>os</w:t>
            </w:r>
            <w:r>
              <w:rPr>
                <w:noProof/>
                <w:color w:val="000000"/>
              </w:rPr>
              <w:t xml:space="preserve"> 2 e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69.°, n.º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52.°, n.º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18.°, n.º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69.°, n.º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52.°, n.º 3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69.°, n.º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18.°, n.º 6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69.°, n.º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18.°, n.º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69.°, n.º 7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53.º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70.º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19.º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71.º, n.</w:t>
            </w:r>
            <w:r>
              <w:rPr>
                <w:noProof/>
                <w:color w:val="000000"/>
                <w:vertAlign w:val="superscript"/>
              </w:rPr>
              <w:t>os</w:t>
            </w:r>
            <w:r>
              <w:rPr>
                <w:noProof/>
                <w:color w:val="000000"/>
              </w:rPr>
              <w:t xml:space="preserve"> 2 a 6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51.º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71.º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54.°, n.º 1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72.°, n.º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54.°, n.º 1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lang w:val="es-ES"/>
              </w:rPr>
            </w:pPr>
            <w:r>
              <w:rPr>
                <w:noProof/>
                <w:color w:val="000000"/>
                <w:lang w:val="es-ES"/>
              </w:rPr>
              <w:t xml:space="preserve">Artigo 54.º, n.º 2, última frase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72.°, n.º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54.º</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72.º, n.</w:t>
            </w:r>
            <w:r>
              <w:rPr>
                <w:noProof/>
                <w:color w:val="000000"/>
                <w:vertAlign w:val="superscript"/>
              </w:rPr>
              <w:t>os</w:t>
            </w:r>
            <w:r>
              <w:rPr>
                <w:noProof/>
                <w:color w:val="000000"/>
              </w:rPr>
              <w:t xml:space="preserve"> 1, 2 e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20.°, n.º 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73.°, n.º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73.°, n.º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20.°, n.º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73.°, n.º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54.°, n.º 2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74.º, n.</w:t>
            </w:r>
            <w:r>
              <w:rPr>
                <w:noProof/>
                <w:color w:val="000000"/>
                <w:vertAlign w:val="superscript"/>
              </w:rPr>
              <w:t>os</w:t>
            </w:r>
            <w:r>
              <w:rPr>
                <w:noProof/>
                <w:color w:val="000000"/>
              </w:rPr>
              <w:t xml:space="preserve"> 1 a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54.º, n.</w:t>
            </w:r>
            <w:r>
              <w:rPr>
                <w:noProof/>
                <w:color w:val="000000"/>
                <w:vertAlign w:val="superscript"/>
              </w:rPr>
              <w:t>os</w:t>
            </w:r>
            <w:r>
              <w:rPr>
                <w:noProof/>
                <w:color w:val="000000"/>
              </w:rPr>
              <w:t xml:space="preserve"> 8 e 9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74.°, n.</w:t>
            </w:r>
            <w:r>
              <w:rPr>
                <w:noProof/>
                <w:color w:val="000000"/>
                <w:vertAlign w:val="superscript"/>
              </w:rPr>
              <w:t>os</w:t>
            </w:r>
            <w:r>
              <w:rPr>
                <w:noProof/>
                <w:color w:val="000000"/>
              </w:rPr>
              <w:t xml:space="preserve"> 3 e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54.°, n.º 11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74.°, n.</w:t>
            </w:r>
            <w:r>
              <w:rPr>
                <w:noProof/>
                <w:color w:val="000000"/>
                <w:vertAlign w:val="superscript"/>
              </w:rPr>
              <w:t>os</w:t>
            </w:r>
            <w:r>
              <w:rPr>
                <w:noProof/>
                <w:color w:val="000000"/>
              </w:rPr>
              <w:t xml:space="preserve"> 5 e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54.°, n.º 3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75.º, n.</w:t>
            </w:r>
            <w:r>
              <w:rPr>
                <w:noProof/>
                <w:color w:val="000000"/>
                <w:vertAlign w:val="superscript"/>
              </w:rPr>
              <w:t>os</w:t>
            </w:r>
            <w:r>
              <w:rPr>
                <w:noProof/>
                <w:color w:val="000000"/>
              </w:rPr>
              <w:t xml:space="preserve"> 1 a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54.°, n.º 4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75.°, n.º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75.°, n.º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lang w:val="es-ES"/>
              </w:rPr>
            </w:pPr>
            <w:r>
              <w:rPr>
                <w:noProof/>
                <w:color w:val="000000"/>
                <w:lang w:val="es-ES"/>
              </w:rPr>
              <w:t>Artigo 18.º, n.º 1, última frase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76.°, n.º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20.°, n.º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76.°, n.º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20.°, n.º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20.°, n.º 6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76.°, n.º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20.°, n.º 7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76.°, n.º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77.º, n.</w:t>
            </w:r>
            <w:r>
              <w:rPr>
                <w:noProof/>
                <w:color w:val="000000"/>
                <w:vertAlign w:val="superscript"/>
              </w:rPr>
              <w:t>os</w:t>
            </w:r>
            <w:r>
              <w:rPr>
                <w:noProof/>
                <w:color w:val="000000"/>
              </w:rPr>
              <w:t xml:space="preserve"> 3 a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55.º, n.</w:t>
            </w:r>
            <w:r>
              <w:rPr>
                <w:noProof/>
                <w:color w:val="000000"/>
                <w:vertAlign w:val="superscript"/>
              </w:rPr>
              <w:t>os</w:t>
            </w:r>
            <w:r>
              <w:rPr>
                <w:noProof/>
                <w:color w:val="000000"/>
              </w:rPr>
              <w:t xml:space="preserve"> 1 a 3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77.º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52.°, n.º 5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78.°, n.º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54.°, n.º 7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78.°, n.º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79.°, n.</w:t>
            </w:r>
            <w:r>
              <w:rPr>
                <w:noProof/>
                <w:color w:val="000000"/>
                <w:vertAlign w:val="superscript"/>
              </w:rPr>
              <w:t>os</w:t>
            </w:r>
            <w:r>
              <w:rPr>
                <w:noProof/>
                <w:color w:val="000000"/>
              </w:rPr>
              <w:t xml:space="preserve"> 1 e 3 a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54.°, n.º 5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79.°, n.º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55.°, n.º 4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79.°, n.º 7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Artigo 1.°, n.º 1</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80.°, n.</w:t>
            </w:r>
            <w:r>
              <w:rPr>
                <w:noProof/>
                <w:color w:val="000000"/>
                <w:vertAlign w:val="superscript"/>
              </w:rPr>
              <w:t>os</w:t>
            </w:r>
            <w:r>
              <w:rPr>
                <w:noProof/>
                <w:color w:val="000000"/>
              </w:rPr>
              <w:t xml:space="preserve"> 1 e 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Artigo 1.°, n.º 2</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Artigos 2.º, 3.º e 4.º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34.º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81.º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35.º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82.º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40.º</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83.º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41.º</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84.º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42.º</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85.º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43.º</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86.º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45.º</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87.º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46.º</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88.º</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47.º, nº 2, alíneas a) e b)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89.º, nº 2, alíneas a) e b)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lang w:val="es-ES"/>
              </w:rPr>
            </w:pPr>
            <w:r>
              <w:rPr>
                <w:noProof/>
                <w:color w:val="000000"/>
                <w:lang w:val="es-ES"/>
              </w:rPr>
              <w:t>Artigo 89.º, n.º 2, alínea c)</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48.º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lang w:val="es-ES"/>
              </w:rPr>
            </w:pPr>
            <w:r>
              <w:rPr>
                <w:noProof/>
                <w:color w:val="000000"/>
                <w:lang w:val="es-ES"/>
              </w:rPr>
              <w:t>Artigo 89.º, n.º 2, alínea c)</w:t>
            </w:r>
          </w:p>
        </w:tc>
      </w:tr>
      <w:tr>
        <w:trPr>
          <w:trHeight w:val="630"/>
          <w:tblHeader/>
        </w:trPr>
        <w:tc>
          <w:tcPr>
            <w:tcW w:w="2193" w:type="dxa"/>
            <w:shd w:val="clear" w:color="auto" w:fill="auto"/>
            <w:hideMark/>
          </w:tcPr>
          <w:p>
            <w:pPr>
              <w:spacing w:before="0" w:after="0"/>
              <w:jc w:val="left"/>
              <w:rPr>
                <w:rFonts w:eastAsia="Times New Roman"/>
                <w:noProof/>
                <w:color w:val="000000"/>
                <w:szCs w:val="24"/>
                <w:lang w:val="es-ES"/>
              </w:rPr>
            </w:pPr>
            <w:r>
              <w:rPr>
                <w:noProof/>
                <w:color w:val="000000"/>
                <w:lang w:val="es-ES"/>
              </w:rPr>
              <w:t>Artigo 47.º, n.º 2, alínea c)</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lang w:val="es-ES"/>
              </w:rPr>
            </w:pPr>
            <w:r>
              <w:rPr>
                <w:noProof/>
                <w:color w:val="000000"/>
                <w:lang w:val="es-ES"/>
              </w:rPr>
              <w:t>Artigo 89.º, n.º 2, alínea 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47.º, n.</w:t>
            </w:r>
            <w:r>
              <w:rPr>
                <w:noProof/>
                <w:color w:val="000000"/>
                <w:vertAlign w:val="superscript"/>
              </w:rPr>
              <w:t>os</w:t>
            </w:r>
            <w:r>
              <w:rPr>
                <w:noProof/>
                <w:color w:val="000000"/>
              </w:rPr>
              <w:t xml:space="preserve"> 1 e 3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89.º, todos os parágrafos exceto n.º 2, alínea c)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20.°, n.º 8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90.°, n.º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Artigo 20.°, n.º 9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13.º</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90.°, n.</w:t>
            </w:r>
            <w:r>
              <w:rPr>
                <w:noProof/>
                <w:color w:val="000000"/>
                <w:vertAlign w:val="superscript"/>
              </w:rPr>
              <w:t>os</w:t>
            </w:r>
            <w:r>
              <w:rPr>
                <w:noProof/>
                <w:color w:val="000000"/>
              </w:rPr>
              <w:t xml:space="preserve"> 1 e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20.°, n.</w:t>
            </w:r>
            <w:r>
              <w:rPr>
                <w:noProof/>
                <w:color w:val="000000"/>
                <w:vertAlign w:val="superscript"/>
              </w:rPr>
              <w:t>os</w:t>
            </w:r>
            <w:r>
              <w:rPr>
                <w:noProof/>
                <w:color w:val="000000"/>
              </w:rPr>
              <w:t xml:space="preserve"> 4 e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90.°, n.</w:t>
            </w:r>
            <w:r>
              <w:rPr>
                <w:noProof/>
                <w:color w:val="000000"/>
                <w:vertAlign w:val="superscript"/>
              </w:rPr>
              <w:t>os</w:t>
            </w:r>
            <w:r>
              <w:rPr>
                <w:noProof/>
                <w:color w:val="000000"/>
              </w:rPr>
              <w:t xml:space="preserve"> 3 e 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49.º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90.º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50.º, n.</w:t>
            </w:r>
            <w:r>
              <w:rPr>
                <w:noProof/>
                <w:color w:val="000000"/>
                <w:vertAlign w:val="superscript"/>
              </w:rPr>
              <w:t>os</w:t>
            </w:r>
            <w:r>
              <w:rPr>
                <w:noProof/>
                <w:color w:val="000000"/>
              </w:rPr>
              <w:t xml:space="preserve"> 1 e 2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91.°, n.</w:t>
            </w:r>
            <w:r>
              <w:rPr>
                <w:noProof/>
                <w:color w:val="000000"/>
                <w:vertAlign w:val="superscript"/>
              </w:rPr>
              <w:t>os</w:t>
            </w:r>
            <w:r>
              <w:rPr>
                <w:noProof/>
                <w:color w:val="000000"/>
              </w:rPr>
              <w:t xml:space="preserve"> 1 e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91.°, n.º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50.°, n.º 3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91.°, n.º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56.º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92.º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57.º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93.º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58.°, n.º 1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94.°, n.º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94.º, n.</w:t>
            </w:r>
            <w:r>
              <w:rPr>
                <w:noProof/>
                <w:color w:val="000000"/>
                <w:vertAlign w:val="superscript"/>
              </w:rPr>
              <w:t>os</w:t>
            </w:r>
            <w:r>
              <w:rPr>
                <w:noProof/>
                <w:color w:val="000000"/>
              </w:rPr>
              <w:t> 2 a 4</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58.º, n.</w:t>
            </w:r>
            <w:r>
              <w:rPr>
                <w:noProof/>
                <w:color w:val="000000"/>
                <w:vertAlign w:val="superscript"/>
              </w:rPr>
              <w:t>os</w:t>
            </w:r>
            <w:r>
              <w:rPr>
                <w:noProof/>
                <w:color w:val="000000"/>
              </w:rPr>
              <w:t xml:space="preserve"> 2 a 4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94.º, n.</w:t>
            </w:r>
            <w:r>
              <w:rPr>
                <w:noProof/>
                <w:color w:val="000000"/>
                <w:vertAlign w:val="superscript"/>
              </w:rPr>
              <w:t>os</w:t>
            </w:r>
            <w:r>
              <w:rPr>
                <w:noProof/>
                <w:color w:val="000000"/>
              </w:rPr>
              <w:t xml:space="preserve"> 5 a 7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59.º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95.º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60.º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96.º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61.º, alíneas a) e b)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97.º, alíneas a) e b)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97.°, alíneas c) e f)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61.º, alíneas c) e d)</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97.º, alíneas d) e 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62.º, n.º 2, alíneas a) a z)</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98.º, n.º 2, pontos 1, 2, 4 e 6 a 27</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98.º, n.º 2, pontos 3 e 5</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62.°, n.º 2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98.º, n.º 2, todos os pontos menos 3 e 5</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62.º, n.</w:t>
            </w:r>
            <w:r>
              <w:rPr>
                <w:noProof/>
                <w:color w:val="000000"/>
                <w:vertAlign w:val="superscript"/>
              </w:rPr>
              <w:t>os</w:t>
            </w:r>
            <w:r>
              <w:rPr>
                <w:noProof/>
                <w:color w:val="000000"/>
              </w:rPr>
              <w:t xml:space="preserve"> 1 e 3 a 8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98.°, n.</w:t>
            </w:r>
            <w:r>
              <w:rPr>
                <w:noProof/>
                <w:color w:val="000000"/>
                <w:vertAlign w:val="superscript"/>
              </w:rPr>
              <w:t>os</w:t>
            </w:r>
            <w:r>
              <w:rPr>
                <w:noProof/>
                <w:color w:val="000000"/>
              </w:rPr>
              <w:t xml:space="preserve"> 1 e 3 a 8 </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63.º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99.º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64.º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100.º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65.º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101.º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66.º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102.º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67.º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103.º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104.º, n.º 2, alíneas p) e q)</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68.º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104.º, n.º 2, exceto alíneas p) e q)</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69.º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105.º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70.º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106.º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71.º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107.º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72.º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108.º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73.º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109.º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74.º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110.º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75.º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111.º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76.º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112.º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77.º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113.º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78.º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114.º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79.º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115.º</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22.°, n.</w:t>
            </w:r>
            <w:r>
              <w:rPr>
                <w:noProof/>
                <w:color w:val="000000"/>
                <w:vertAlign w:val="superscript"/>
              </w:rPr>
              <w:t>os</w:t>
            </w:r>
            <w:r>
              <w:rPr>
                <w:noProof/>
                <w:color w:val="000000"/>
              </w:rPr>
              <w:t xml:space="preserve"> 2 e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116.°, n.º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22.°, n.</w:t>
            </w:r>
            <w:r>
              <w:rPr>
                <w:noProof/>
                <w:color w:val="000000"/>
                <w:vertAlign w:val="superscript"/>
              </w:rPr>
              <w:t>os</w:t>
            </w:r>
            <w:r>
              <w:rPr>
                <w:noProof/>
                <w:color w:val="000000"/>
              </w:rPr>
              <w:t xml:space="preserve"> 3 e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116.°, n.º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23.º</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80.º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81.º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Artigo 116.°, n.</w:t>
            </w:r>
            <w:r>
              <w:rPr>
                <w:noProof/>
                <w:color w:val="000000"/>
                <w:vertAlign w:val="superscript"/>
              </w:rPr>
              <w:t>os</w:t>
            </w:r>
            <w:r>
              <w:rPr>
                <w:noProof/>
                <w:color w:val="000000"/>
              </w:rPr>
              <w:t xml:space="preserve"> 1 e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Artigo 117.º </w:t>
            </w:r>
          </w:p>
        </w:tc>
      </w:tr>
      <w:tr>
        <w:trPr>
          <w:trHeight w:val="315"/>
          <w:tblHeader/>
        </w:trPr>
        <w:tc>
          <w:tcPr>
            <w:tcW w:w="2193" w:type="dxa"/>
            <w:shd w:val="clear" w:color="auto" w:fill="auto"/>
          </w:tcPr>
          <w:p>
            <w:pPr>
              <w:rPr>
                <w:noProof/>
              </w:rPr>
            </w:pPr>
            <w:r>
              <w:rPr>
                <w:noProof/>
              </w:rPr>
              <w:t>--</w:t>
            </w:r>
          </w:p>
        </w:tc>
        <w:tc>
          <w:tcPr>
            <w:tcW w:w="2124" w:type="dxa"/>
            <w:shd w:val="clear" w:color="auto" w:fill="auto"/>
          </w:tcPr>
          <w:p>
            <w:pPr>
              <w:rPr>
                <w:noProof/>
              </w:rPr>
            </w:pPr>
            <w:r>
              <w:rPr>
                <w:noProof/>
              </w:rPr>
              <w:t>--</w:t>
            </w:r>
          </w:p>
        </w:tc>
        <w:tc>
          <w:tcPr>
            <w:tcW w:w="2120" w:type="dxa"/>
            <w:shd w:val="clear" w:color="auto" w:fill="auto"/>
          </w:tcPr>
          <w:p>
            <w:pPr>
              <w:rPr>
                <w:noProof/>
              </w:rPr>
            </w:pPr>
            <w:r>
              <w:rPr>
                <w:noProof/>
              </w:rPr>
              <w:t xml:space="preserve">-- </w:t>
            </w:r>
          </w:p>
        </w:tc>
        <w:tc>
          <w:tcPr>
            <w:tcW w:w="2123" w:type="dxa"/>
            <w:shd w:val="clear" w:color="auto" w:fill="auto"/>
          </w:tcPr>
          <w:p>
            <w:pPr>
              <w:spacing w:before="0" w:after="0"/>
              <w:jc w:val="left"/>
              <w:rPr>
                <w:rFonts w:eastAsia="Times New Roman"/>
                <w:noProof/>
                <w:color w:val="000000"/>
                <w:szCs w:val="24"/>
              </w:rPr>
            </w:pPr>
            <w:r>
              <w:rPr>
                <w:noProof/>
                <w:color w:val="000000"/>
              </w:rPr>
              <w:t xml:space="preserve">Artigo 118.º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Artigo 82.º </w:t>
            </w:r>
          </w:p>
        </w:tc>
        <w:tc>
          <w:tcPr>
            <w:tcW w:w="2124" w:type="dxa"/>
            <w:shd w:val="clear" w:color="auto" w:fill="auto"/>
            <w:hideMark/>
          </w:tcPr>
          <w:p>
            <w:pPr>
              <w:spacing w:before="0" w:after="0"/>
              <w:jc w:val="left"/>
              <w:rPr>
                <w:rFonts w:eastAsia="Times New Roman"/>
                <w:noProof/>
                <w:color w:val="000000"/>
                <w:szCs w:val="24"/>
              </w:rPr>
            </w:pPr>
            <w:r>
              <w:rPr>
                <w:noProof/>
                <w:color w:val="000000"/>
              </w:rPr>
              <w: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tcPr>
          <w:p>
            <w:pPr>
              <w:spacing w:before="0" w:after="0"/>
              <w:jc w:val="left"/>
              <w:rPr>
                <w:rFonts w:eastAsia="Times New Roman"/>
                <w:noProof/>
                <w:color w:val="000000"/>
                <w:szCs w:val="24"/>
              </w:rPr>
            </w:pPr>
            <w:r>
              <w:rPr>
                <w:noProof/>
                <w:color w:val="000000"/>
              </w:rPr>
              <w:t xml:space="preserve">Artigo 119.º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Artigo 83.º</w:t>
            </w:r>
          </w:p>
        </w:tc>
        <w:tc>
          <w:tcPr>
            <w:tcW w:w="2124" w:type="dxa"/>
            <w:shd w:val="clear" w:color="auto" w:fill="auto"/>
            <w:hideMark/>
          </w:tcPr>
          <w:p>
            <w:pPr>
              <w:spacing w:before="0" w:after="0"/>
              <w:jc w:val="left"/>
              <w:rPr>
                <w:rFonts w:eastAsia="Times New Roman"/>
                <w:noProof/>
                <w:color w:val="000000"/>
                <w:szCs w:val="24"/>
              </w:rPr>
            </w:pPr>
            <w:r>
              <w:rPr>
                <w:noProof/>
                <w:color w:val="000000"/>
              </w:rPr>
              <w:t>Artigo 24.º</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tcPr>
          <w:p>
            <w:pPr>
              <w:spacing w:before="0" w:after="0"/>
              <w:jc w:val="left"/>
              <w:rPr>
                <w:rFonts w:eastAsia="Times New Roman"/>
                <w:noProof/>
                <w:color w:val="000000"/>
                <w:szCs w:val="24"/>
              </w:rPr>
            </w:pPr>
            <w:r>
              <w:rPr>
                <w:noProof/>
                <w:color w:val="000000"/>
              </w:rPr>
              <w:t>Artigo 120.º</w:t>
            </w:r>
          </w:p>
        </w:tc>
      </w:tr>
    </w:tbl>
    <w:p>
      <w:pPr>
        <w:jc w:val="cente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644E3E"/>
    <w:lvl w:ilvl="0">
      <w:start w:val="1"/>
      <w:numFmt w:val="decimal"/>
      <w:pStyle w:val="ListNumber4"/>
      <w:lvlText w:val="%1."/>
      <w:lvlJc w:val="left"/>
      <w:pPr>
        <w:tabs>
          <w:tab w:val="num" w:pos="1263"/>
        </w:tabs>
        <w:ind w:left="1263" w:hanging="360"/>
      </w:pPr>
    </w:lvl>
  </w:abstractNum>
  <w:abstractNum w:abstractNumId="1">
    <w:nsid w:val="FFFFFF7E"/>
    <w:multiLevelType w:val="singleLevel"/>
    <w:tmpl w:val="957E87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5C8A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B213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C24DC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AAE9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C70DED6"/>
    <w:lvl w:ilvl="0">
      <w:start w:val="1"/>
      <w:numFmt w:val="decimal"/>
      <w:pStyle w:val="ListNumber"/>
      <w:lvlText w:val="%1."/>
      <w:lvlJc w:val="left"/>
      <w:pPr>
        <w:tabs>
          <w:tab w:val="num" w:pos="360"/>
        </w:tabs>
        <w:ind w:left="360" w:hanging="360"/>
      </w:pPr>
    </w:lvl>
  </w:abstractNum>
  <w:abstractNum w:abstractNumId="7">
    <w:nsid w:val="FFFFFF89"/>
    <w:multiLevelType w:val="singleLevel"/>
    <w:tmpl w:val="7892DE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010633F"/>
    <w:multiLevelType w:val="hybridMultilevel"/>
    <w:tmpl w:val="433EEC0A"/>
    <w:lvl w:ilvl="0" w:tplc="80A0FFB4">
      <w:start w:val="1"/>
      <w:numFmt w:val="bullet"/>
      <w:pStyle w:val="Briefinglist1"/>
      <w:lvlText w:val=""/>
      <w:lvlJc w:val="left"/>
      <w:pPr>
        <w:ind w:left="360"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
  </w:num>
  <w:num w:numId="3">
    <w:abstractNumId w:val="1"/>
  </w:num>
  <w:num w:numId="4">
    <w:abstractNumId w:val="0"/>
  </w:num>
  <w:num w:numId="5">
    <w:abstractNumId w:val="7"/>
  </w:num>
  <w:num w:numId="6">
    <w:abstractNumId w:val="5"/>
  </w:num>
  <w:num w:numId="7">
    <w:abstractNumId w:val="4"/>
  </w:num>
  <w:num w:numId="8">
    <w:abstractNumId w:val="3"/>
  </w:num>
  <w:num w:numId="9">
    <w:abstractNumId w:val="14"/>
  </w:num>
  <w:num w:numId="10">
    <w:abstractNumId w:val="9"/>
  </w:num>
  <w:num w:numId="11">
    <w:abstractNumId w:val="8"/>
  </w:num>
  <w:num w:numId="12">
    <w:abstractNumId w:val="19"/>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num>
  <w:num w:numId="18">
    <w:abstractNumId w:val="23"/>
  </w:num>
  <w:num w:numId="19">
    <w:abstractNumId w:val="15"/>
  </w:num>
  <w:num w:numId="20">
    <w:abstractNumId w:val="25"/>
  </w:num>
  <w:num w:numId="21">
    <w:abstractNumId w:val="13"/>
  </w:num>
  <w:num w:numId="22">
    <w:abstractNumId w:val="16"/>
  </w:num>
  <w:num w:numId="23">
    <w:abstractNumId w:val="11"/>
  </w:num>
  <w:num w:numId="24">
    <w:abstractNumId w:val="24"/>
  </w:num>
  <w:num w:numId="25">
    <w:abstractNumId w:val="10"/>
  </w:num>
  <w:num w:numId="26">
    <w:abstractNumId w:val="17"/>
  </w:num>
  <w:num w:numId="27">
    <w:abstractNumId w:val="21"/>
  </w:num>
  <w:num w:numId="28">
    <w:abstractNumId w:val="22"/>
  </w:num>
  <w:num w:numId="29">
    <w:abstractNumId w:val="12"/>
  </w:num>
  <w:num w:numId="30">
    <w:abstractNumId w:val="20"/>
  </w:num>
  <w:num w:numId="31">
    <w:abstractNumId w:val="26"/>
  </w:num>
  <w:num w:numId="32">
    <w:abstractNumId w:val="23"/>
  </w:num>
  <w:num w:numId="33">
    <w:abstractNumId w:val="15"/>
  </w:num>
  <w:num w:numId="34">
    <w:abstractNumId w:val="25"/>
  </w:num>
  <w:num w:numId="35">
    <w:abstractNumId w:val="13"/>
  </w:num>
  <w:num w:numId="36">
    <w:abstractNumId w:val="16"/>
  </w:num>
  <w:num w:numId="37">
    <w:abstractNumId w:val="11"/>
  </w:num>
  <w:num w:numId="38">
    <w:abstractNumId w:val="24"/>
  </w:num>
  <w:num w:numId="39">
    <w:abstractNumId w:val="10"/>
  </w:num>
  <w:num w:numId="40">
    <w:abstractNumId w:val="17"/>
  </w:num>
  <w:num w:numId="41">
    <w:abstractNumId w:val="21"/>
  </w:num>
  <w:num w:numId="42">
    <w:abstractNumId w:val="22"/>
  </w:num>
  <w:num w:numId="43">
    <w:abstractNumId w:val="12"/>
  </w:num>
  <w:num w:numId="44">
    <w:abstractNumId w:val="20"/>
  </w:num>
  <w:num w:numId="4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01 09:00: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5"/>
    <w:docVar w:name="DQCStatus" w:val="Green"/>
    <w:docVar w:name="DQCVersion" w:val="3"/>
    <w:docVar w:name="DQCWithWarnings" w:val="0"/>
    <w:docVar w:name="LW_ACCOMPAGNANT" w:val="do"/>
    <w:docVar w:name="LW_ACCOMPAGNANT.CP" w:val="do"/>
    <w:docVar w:name="LW_ANNEX_NBR_FIRST" w:val="1"/>
    <w:docVar w:name="LW_ANNEX_NBR_LAST" w:val="6"/>
    <w:docVar w:name="LW_ANNEX_UNIQUE" w:val="0"/>
    <w:docVar w:name="LW_CORRIGENDUM" w:val="&lt;UNUSED&gt;"/>
    <w:docVar w:name="LW_COVERPAGE_EXISTS" w:val="True"/>
    <w:docVar w:name="LW_COVERPAGE_GUID" w:val="C63A91F2-FD82-4899-887F-2CF11B2142AB"/>
    <w:docVar w:name="LW_COVERPAGE_TYPE" w:val="1"/>
    <w:docVar w:name="LW_CROSSREFERENCE" w:val="&lt;UNUSED&gt;"/>
    <w:docVar w:name="LW_DocType" w:val="ANNEX"/>
    <w:docVar w:name="LW_EMISSION" w:val="12.9.2018"/>
    <w:docVar w:name="LW_EMISSION_ISODATE" w:val="2018-09-12"/>
    <w:docVar w:name="LW_EMISSION_LOCATION" w:val="BRX"/>
    <w:docVar w:name="LW_EMISSION_PREFIX" w:val="Bruxelas, "/>
    <w:docVar w:name="LW_EMISSION_SUFFIX" w:val=" "/>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relativo à Guarda Europeia de Fronteiras e Costeira,_x000b_que revoga a Ação Comum 98/700/JAI do Conselho, o Regulamento (UE) n.º 1052/2013 do Parlamento Europeu e do Conselho e o Regulamento (UE) 2016/1624 do Parlamento Europeu e do Conselho"/>
    <w:docVar w:name="LW_OBJETACTEPRINCIPAL.CP" w:val="relativo à Guarda Europeia de Fronteiras e Costeira,_x000b_que revoga a Ação Comum 98/700/JAI do Conselho, o Regulamento (UE) n.º 1052/2013 do Parlamento Europeu e do Conselho e o Regulamento (UE) 2016/1624 do Parlamento Europeu e do Conselho"/>
    <w:docVar w:name="LW_PART_NBR" w:val="&lt;UNUSED&gt;"/>
    <w:docVar w:name="LW_PART_NBR_TOTAL" w:val="&lt;UNUSED&gt;"/>
    <w:docVar w:name="LW_REF.INST.NEW" w:val="COM"/>
    <w:docVar w:name="LW_REF.INST.NEW_ADOPTED" w:val="final"/>
    <w:docVar w:name="LW_REF.INST.NEW_TEXT" w:val="(2018) 6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S"/>
    <w:docVar w:name="LW_TYPE.DOC.CP" w:val="ANEXOS"/>
    <w:docVar w:name="LW_TYPEACTEPRINCIPAL" w:val="REGULAMENTO DO PARLAMENTO EUROPEU E DO CONSELHO_x000b_"/>
    <w:docVar w:name="LW_TYPEACTEPRINCIPAL.CP" w:val="REGULAMENTO DO PARLAMENTO EUROPEU E DO CONSELHO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nhideWhenUsed/>
    <w:pPr>
      <w:numPr>
        <w:numId w:val="1"/>
      </w:numPr>
      <w:contextualSpacing/>
    </w:pPr>
  </w:style>
  <w:style w:type="paragraph" w:styleId="ListNumber2">
    <w:name w:val="List Number 2"/>
    <w:basedOn w:val="Normal"/>
    <w:uiPriority w:val="99"/>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paragraph" w:customStyle="1" w:styleId="LegalNumPar">
    <w:name w:val="LegalNumPar"/>
    <w:basedOn w:val="Normal"/>
    <w:pPr>
      <w:numPr>
        <w:numId w:val="9"/>
      </w:numPr>
      <w:spacing w:before="0" w:after="200"/>
      <w:jc w:val="left"/>
    </w:pPr>
    <w:rPr>
      <w:rFonts w:asciiTheme="minorHAnsi" w:hAnsiTheme="minorHAnsi" w:cstheme="minorBidi"/>
      <w:sz w:val="22"/>
    </w:r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NumPar1Char"/>
    <w:link w:val="CRSeparator"/>
    <w:rPr>
      <w:rFonts w:ascii="Times New Roman" w:hAnsi="Times New Roman" w:cs="Times New Roman"/>
      <w:sz w:val="24"/>
      <w:lang w:val="pt-PT"/>
    </w:rPr>
  </w:style>
  <w:style w:type="character" w:customStyle="1" w:styleId="NumPar1Char">
    <w:name w:val="NumPar 1 Char"/>
    <w:basedOn w:val="DefaultParagraphFont"/>
    <w:rPr>
      <w:rFonts w:ascii="Times New Roman" w:hAnsi="Times New Roman" w:cs="Times New Roman"/>
      <w:sz w:val="24"/>
      <w:lang w:val="pt-PT"/>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NumPar1Char"/>
    <w:link w:val="CRReference"/>
    <w:rPr>
      <w:rFonts w:ascii="Times New Roman" w:hAnsi="Times New Roman" w:cs="Times New Roman"/>
      <w:sz w:val="24"/>
      <w:lang w:val="pt-PT"/>
    </w:rPr>
  </w:style>
  <w:style w:type="character" w:customStyle="1" w:styleId="CRMarker">
    <w:name w:val="CR Marker"/>
    <w:basedOn w:val="DefaultParagraphFont"/>
    <w:rPr>
      <w:rFonts w:ascii="Wingdings" w:hAnsi="Wingdings"/>
      <w:lang w:eastAsia="pt-PT"/>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sz w:val="24"/>
      <w:lang w:val="pt-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Pr>
      <w:i/>
    </w:rPr>
  </w:style>
  <w:style w:type="paragraph" w:styleId="Quote">
    <w:name w:val="Quote"/>
    <w:basedOn w:val="Normal"/>
    <w:next w:val="Normal"/>
    <w:link w:val="QuoteChar"/>
    <w:uiPriority w:val="29"/>
    <w:qFormat/>
    <w:pPr>
      <w:spacing w:before="60" w:after="60"/>
    </w:pPr>
    <w:rPr>
      <w:rFonts w:eastAsia="Times New Roman"/>
      <w:i/>
      <w:iCs/>
      <w:color w:val="000000" w:themeColor="text1"/>
      <w:szCs w:val="24"/>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themeColor="text1"/>
      <w:sz w:val="24"/>
      <w:szCs w:val="24"/>
      <w:lang w:val="pt-PT" w:eastAsia="pt-PT"/>
    </w:rPr>
  </w:style>
  <w:style w:type="paragraph" w:customStyle="1" w:styleId="Briefinglist1">
    <w:name w:val="Briefing list 1"/>
    <w:basedOn w:val="ListParagraph"/>
    <w:link w:val="Briefinglist1Char"/>
    <w:qFormat/>
    <w:pPr>
      <w:numPr>
        <w:numId w:val="10"/>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color w:val="4F81BD" w:themeColor="accent1"/>
      <w:sz w:val="24"/>
      <w:lang w:val="pt-PT"/>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Deleted">
    <w:name w:val="CR Deleted"/>
    <w:basedOn w:val="DefaultParagraphFont"/>
    <w:rPr>
      <w:rFonts w:cs="Times New Roman"/>
      <w:dstrike/>
      <w:lang w:val="pt-PT" w:eastAsia="pt-PT"/>
    </w:rPr>
  </w:style>
  <w:style w:type="character" w:customStyle="1" w:styleId="CRMinorChangeAdded">
    <w:name w:val="CR Minor Change Added"/>
    <w:basedOn w:val="DefaultParagraphFont"/>
    <w:rPr>
      <w:rFonts w:cs="Times New Roman"/>
      <w:u w:val="double"/>
      <w:lang w:val="pt-PT" w:eastAsia="pt-PT"/>
    </w:rPr>
  </w:style>
  <w:style w:type="character" w:customStyle="1" w:styleId="CRMinorChangeDeleted">
    <w:name w:val="CR Minor Change Deleted"/>
    <w:basedOn w:val="DefaultParagraphFont"/>
    <w:rPr>
      <w:rFonts w:cs="Times New Roman"/>
      <w:dstrike/>
      <w:u w:val="double"/>
      <w:lang w:val="pt-PT" w:eastAsia="pt-PT"/>
    </w:rPr>
  </w:style>
  <w:style w:type="character" w:styleId="Strong">
    <w:name w:val="Strong"/>
    <w:basedOn w:val="DefaultParagraphFont"/>
    <w:uiPriority w:val="22"/>
    <w:qFormat/>
    <w:rPr>
      <w:rFonts w:cs="Times New Roman"/>
      <w:b/>
    </w:rPr>
  </w:style>
  <w:style w:type="paragraph" w:customStyle="1" w:styleId="ListBullet1">
    <w:name w:val="List Bullet 1"/>
    <w:basedOn w:val="Normal"/>
    <w:pPr>
      <w:numPr>
        <w:numId w:val="11"/>
      </w:numPr>
    </w:pPr>
    <w:rPr>
      <w:rFonts w:eastAsia="Times New Roman"/>
    </w:rPr>
  </w:style>
  <w:style w:type="paragraph" w:customStyle="1" w:styleId="ListDash1">
    <w:name w:val="List Dash 1"/>
    <w:basedOn w:val="Normal"/>
    <w:pPr>
      <w:numPr>
        <w:numId w:val="12"/>
      </w:numPr>
    </w:pPr>
    <w:rPr>
      <w:rFonts w:eastAsia="Times New Roman"/>
    </w:rPr>
  </w:style>
  <w:style w:type="paragraph" w:customStyle="1" w:styleId="ListDash2">
    <w:name w:val="List Dash 2"/>
    <w:basedOn w:val="Normal"/>
    <w:pPr>
      <w:numPr>
        <w:numId w:val="13"/>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customStyle="1" w:styleId="PlainTextChar">
    <w:name w:val="Plain Text Char"/>
    <w:basedOn w:val="DefaultParagraphFont"/>
    <w:link w:val="PlainText"/>
    <w:uiPriority w:val="99"/>
    <w:semiHidden/>
    <w:rPr>
      <w:rFonts w:ascii="Calibri" w:hAnsi="Calibri"/>
      <w:szCs w:val="21"/>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paragraph" w:customStyle="1" w:styleId="PointManual">
    <w:name w:val="Point Manual"/>
    <w:basedOn w:val="Normal"/>
    <w:pPr>
      <w:spacing w:line="360" w:lineRule="auto"/>
      <w:ind w:left="567" w:hanging="567"/>
      <w:jc w:val="left"/>
    </w:pPr>
  </w:style>
  <w:style w:type="character" w:customStyle="1" w:styleId="mw-headline">
    <w:name w:val="mw-headline"/>
    <w:basedOn w:val="DefaultParagraphFont"/>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paragraph" w:styleId="EndnoteText">
    <w:name w:val="endnote text"/>
    <w:basedOn w:val="Normal"/>
    <w:link w:val="EndnoteTextChar"/>
    <w:uiPriority w:val="99"/>
    <w:semiHidden/>
    <w:unhideWhenUsed/>
    <w:pPr>
      <w:spacing w:before="0" w:after="0"/>
    </w:pPr>
    <w:rPr>
      <w:sz w:val="20"/>
      <w:szCs w:val="20"/>
    </w:rPr>
  </w:style>
  <w:style w:type="paragraph" w:customStyle="1" w:styleId="msonormal0">
    <w:name w:val="msonormal"/>
    <w:basedOn w:val="Normal"/>
    <w:pPr>
      <w:spacing w:before="100" w:beforeAutospacing="1" w:after="100" w:afterAutospacing="1"/>
      <w:jc w:val="left"/>
    </w:pPr>
    <w:rPr>
      <w:rFonts w:eastAsia="Times New Roman"/>
      <w:szCs w:val="24"/>
    </w:rPr>
  </w:style>
  <w:style w:type="paragraph" w:customStyle="1" w:styleId="xl63">
    <w:name w:val="xl63"/>
    <w:basedOn w:val="Normal"/>
    <w:pPr>
      <w:spacing w:before="100" w:beforeAutospacing="1" w:after="100" w:afterAutospacing="1"/>
      <w:jc w:val="left"/>
      <w:textAlignment w:val="top"/>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nhideWhenUsed/>
    <w:pPr>
      <w:numPr>
        <w:numId w:val="1"/>
      </w:numPr>
      <w:contextualSpacing/>
    </w:pPr>
  </w:style>
  <w:style w:type="paragraph" w:styleId="ListNumber2">
    <w:name w:val="List Number 2"/>
    <w:basedOn w:val="Normal"/>
    <w:uiPriority w:val="99"/>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paragraph" w:customStyle="1" w:styleId="LegalNumPar">
    <w:name w:val="LegalNumPar"/>
    <w:basedOn w:val="Normal"/>
    <w:pPr>
      <w:numPr>
        <w:numId w:val="9"/>
      </w:numPr>
      <w:spacing w:before="0" w:after="200"/>
      <w:jc w:val="left"/>
    </w:pPr>
    <w:rPr>
      <w:rFonts w:asciiTheme="minorHAnsi" w:hAnsiTheme="minorHAnsi" w:cstheme="minorBidi"/>
      <w:sz w:val="22"/>
    </w:r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NumPar1Char"/>
    <w:link w:val="CRSeparator"/>
    <w:rPr>
      <w:rFonts w:ascii="Times New Roman" w:hAnsi="Times New Roman" w:cs="Times New Roman"/>
      <w:sz w:val="24"/>
      <w:lang w:val="pt-PT"/>
    </w:rPr>
  </w:style>
  <w:style w:type="character" w:customStyle="1" w:styleId="NumPar1Char">
    <w:name w:val="NumPar 1 Char"/>
    <w:basedOn w:val="DefaultParagraphFont"/>
    <w:rPr>
      <w:rFonts w:ascii="Times New Roman" w:hAnsi="Times New Roman" w:cs="Times New Roman"/>
      <w:sz w:val="24"/>
      <w:lang w:val="pt-PT"/>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NumPar1Char"/>
    <w:link w:val="CRReference"/>
    <w:rPr>
      <w:rFonts w:ascii="Times New Roman" w:hAnsi="Times New Roman" w:cs="Times New Roman"/>
      <w:sz w:val="24"/>
      <w:lang w:val="pt-PT"/>
    </w:rPr>
  </w:style>
  <w:style w:type="character" w:customStyle="1" w:styleId="CRMarker">
    <w:name w:val="CR Marker"/>
    <w:basedOn w:val="DefaultParagraphFont"/>
    <w:rPr>
      <w:rFonts w:ascii="Wingdings" w:hAnsi="Wingdings"/>
      <w:lang w:eastAsia="pt-PT"/>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sz w:val="24"/>
      <w:lang w:val="pt-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Pr>
      <w:i/>
    </w:rPr>
  </w:style>
  <w:style w:type="paragraph" w:styleId="Quote">
    <w:name w:val="Quote"/>
    <w:basedOn w:val="Normal"/>
    <w:next w:val="Normal"/>
    <w:link w:val="QuoteChar"/>
    <w:uiPriority w:val="29"/>
    <w:qFormat/>
    <w:pPr>
      <w:spacing w:before="60" w:after="60"/>
    </w:pPr>
    <w:rPr>
      <w:rFonts w:eastAsia="Times New Roman"/>
      <w:i/>
      <w:iCs/>
      <w:color w:val="000000" w:themeColor="text1"/>
      <w:szCs w:val="24"/>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themeColor="text1"/>
      <w:sz w:val="24"/>
      <w:szCs w:val="24"/>
      <w:lang w:val="pt-PT" w:eastAsia="pt-PT"/>
    </w:rPr>
  </w:style>
  <w:style w:type="paragraph" w:customStyle="1" w:styleId="Briefinglist1">
    <w:name w:val="Briefing list 1"/>
    <w:basedOn w:val="ListParagraph"/>
    <w:link w:val="Briefinglist1Char"/>
    <w:qFormat/>
    <w:pPr>
      <w:numPr>
        <w:numId w:val="10"/>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color w:val="4F81BD" w:themeColor="accent1"/>
      <w:sz w:val="24"/>
      <w:lang w:val="pt-PT"/>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Deleted">
    <w:name w:val="CR Deleted"/>
    <w:basedOn w:val="DefaultParagraphFont"/>
    <w:rPr>
      <w:rFonts w:cs="Times New Roman"/>
      <w:dstrike/>
      <w:lang w:val="pt-PT" w:eastAsia="pt-PT"/>
    </w:rPr>
  </w:style>
  <w:style w:type="character" w:customStyle="1" w:styleId="CRMinorChangeAdded">
    <w:name w:val="CR Minor Change Added"/>
    <w:basedOn w:val="DefaultParagraphFont"/>
    <w:rPr>
      <w:rFonts w:cs="Times New Roman"/>
      <w:u w:val="double"/>
      <w:lang w:val="pt-PT" w:eastAsia="pt-PT"/>
    </w:rPr>
  </w:style>
  <w:style w:type="character" w:customStyle="1" w:styleId="CRMinorChangeDeleted">
    <w:name w:val="CR Minor Change Deleted"/>
    <w:basedOn w:val="DefaultParagraphFont"/>
    <w:rPr>
      <w:rFonts w:cs="Times New Roman"/>
      <w:dstrike/>
      <w:u w:val="double"/>
      <w:lang w:val="pt-PT" w:eastAsia="pt-PT"/>
    </w:rPr>
  </w:style>
  <w:style w:type="character" w:styleId="Strong">
    <w:name w:val="Strong"/>
    <w:basedOn w:val="DefaultParagraphFont"/>
    <w:uiPriority w:val="22"/>
    <w:qFormat/>
    <w:rPr>
      <w:rFonts w:cs="Times New Roman"/>
      <w:b/>
    </w:rPr>
  </w:style>
  <w:style w:type="paragraph" w:customStyle="1" w:styleId="ListBullet1">
    <w:name w:val="List Bullet 1"/>
    <w:basedOn w:val="Normal"/>
    <w:pPr>
      <w:numPr>
        <w:numId w:val="11"/>
      </w:numPr>
    </w:pPr>
    <w:rPr>
      <w:rFonts w:eastAsia="Times New Roman"/>
    </w:rPr>
  </w:style>
  <w:style w:type="paragraph" w:customStyle="1" w:styleId="ListDash1">
    <w:name w:val="List Dash 1"/>
    <w:basedOn w:val="Normal"/>
    <w:pPr>
      <w:numPr>
        <w:numId w:val="12"/>
      </w:numPr>
    </w:pPr>
    <w:rPr>
      <w:rFonts w:eastAsia="Times New Roman"/>
    </w:rPr>
  </w:style>
  <w:style w:type="paragraph" w:customStyle="1" w:styleId="ListDash2">
    <w:name w:val="List Dash 2"/>
    <w:basedOn w:val="Normal"/>
    <w:pPr>
      <w:numPr>
        <w:numId w:val="13"/>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customStyle="1" w:styleId="PlainTextChar">
    <w:name w:val="Plain Text Char"/>
    <w:basedOn w:val="DefaultParagraphFont"/>
    <w:link w:val="PlainText"/>
    <w:uiPriority w:val="99"/>
    <w:semiHidden/>
    <w:rPr>
      <w:rFonts w:ascii="Calibri" w:hAnsi="Calibri"/>
      <w:szCs w:val="21"/>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paragraph" w:customStyle="1" w:styleId="PointManual">
    <w:name w:val="Point Manual"/>
    <w:basedOn w:val="Normal"/>
    <w:pPr>
      <w:spacing w:line="360" w:lineRule="auto"/>
      <w:ind w:left="567" w:hanging="567"/>
      <w:jc w:val="left"/>
    </w:pPr>
  </w:style>
  <w:style w:type="character" w:customStyle="1" w:styleId="mw-headline">
    <w:name w:val="mw-headline"/>
    <w:basedOn w:val="DefaultParagraphFont"/>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paragraph" w:styleId="EndnoteText">
    <w:name w:val="endnote text"/>
    <w:basedOn w:val="Normal"/>
    <w:link w:val="EndnoteTextChar"/>
    <w:uiPriority w:val="99"/>
    <w:semiHidden/>
    <w:unhideWhenUsed/>
    <w:pPr>
      <w:spacing w:before="0" w:after="0"/>
    </w:pPr>
    <w:rPr>
      <w:sz w:val="20"/>
      <w:szCs w:val="20"/>
    </w:rPr>
  </w:style>
  <w:style w:type="paragraph" w:customStyle="1" w:styleId="msonormal0">
    <w:name w:val="msonormal"/>
    <w:basedOn w:val="Normal"/>
    <w:pPr>
      <w:spacing w:before="100" w:beforeAutospacing="1" w:after="100" w:afterAutospacing="1"/>
      <w:jc w:val="left"/>
    </w:pPr>
    <w:rPr>
      <w:rFonts w:eastAsia="Times New Roman"/>
      <w:szCs w:val="24"/>
    </w:rPr>
  </w:style>
  <w:style w:type="paragraph" w:customStyle="1" w:styleId="xl63">
    <w:name w:val="xl63"/>
    <w:basedOn w:val="Normal"/>
    <w:pPr>
      <w:spacing w:before="100" w:beforeAutospacing="1" w:after="100" w:afterAutospacing="1"/>
      <w:jc w:val="left"/>
      <w:textAlignment w:val="top"/>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3ED14F005B334D9CC5250622DB5351" ma:contentTypeVersion="0" ma:contentTypeDescription="Create a new document in this library." ma:contentTypeScope="" ma:versionID="350f47358dbdf4c9115c32c9c9b53343">
  <xsd:schema xmlns:xsd="http://www.w3.org/2001/XMLSchema" xmlns:xs="http://www.w3.org/2001/XMLSchema" xmlns:p="http://schemas.microsoft.com/office/2006/metadata/properties" xmlns:ns2="http://schemas.microsoft.com/sharepoint/v3/fields" xmlns:ns3="ffce5f05-4aa1-4e4f-a6fe-a0da6e7cad59" targetNamespace="http://schemas.microsoft.com/office/2006/metadata/properties" ma:root="true" ma:fieldsID="d99e77464ccaed693ebb241d56278a91" ns2:_="" ns3:_="">
    <xsd:import namespace="http://schemas.microsoft.com/sharepoint/v3/fields"/>
    <xsd:import namespace="ffce5f05-4aa1-4e4f-a6fe-a0da6e7cad5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fce5f05-4aa1-4e4f-a6fe-a0da6e7cad5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ffce5f05-4aa1-4e4f-a6fe-a0da6e7cad59">EN</EC_Collab_DocumentLanguage>
    <_Status xmlns="http://schemas.microsoft.com/sharepoint/v3/fields">Not Started</_Status>
    <EC_Collab_Status xmlns="ffce5f05-4aa1-4e4f-a6fe-a0da6e7cad59">Not Started</EC_Collab_Status>
    <EC_Collab_Reference xmlns="ffce5f05-4aa1-4e4f-a6fe-a0da6e7cad59" xsi:nil="true"/>
  </documentManagement>
</p:properties>
</file>

<file path=customXml/itemProps1.xml><?xml version="1.0" encoding="utf-8"?>
<ds:datastoreItem xmlns:ds="http://schemas.openxmlformats.org/officeDocument/2006/customXml" ds:itemID="{5257E0D3-33A8-4C3D-9841-81C007FBF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fce5f05-4aa1-4e4f-a6fe-a0da6e7ca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C4C5A-C06E-40B9-88F8-0C8CA46D1F86}">
  <ds:schemaRefs>
    <ds:schemaRef ds:uri="http://schemas.microsoft.com/sharepoint/v3/contenttype/forms"/>
  </ds:schemaRefs>
</ds:datastoreItem>
</file>

<file path=customXml/itemProps3.xml><?xml version="1.0" encoding="utf-8"?>
<ds:datastoreItem xmlns:ds="http://schemas.openxmlformats.org/officeDocument/2006/customXml" ds:itemID="{16BFBFF9-3042-4413-A7D6-B60DFFBDBC28}">
  <ds:schemaRefs>
    <ds:schemaRef ds:uri="http://purl.org/dc/dcmitype/"/>
    <ds:schemaRef ds:uri="http://schemas.microsoft.com/sharepoint/v3/field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ffce5f05-4aa1-4e4f-a6fe-a0da6e7cad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9</Pages>
  <Words>6407</Words>
  <Characters>27298</Characters>
  <Application>Microsoft Office Word</Application>
  <DocSecurity>0</DocSecurity>
  <Lines>2481</Lines>
  <Paragraphs>2407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(EMPL)</dc:creator>
  <cp:lastModifiedBy>DIGIT/A3</cp:lastModifiedBy>
  <cp:revision>10</cp:revision>
  <dcterms:created xsi:type="dcterms:W3CDTF">2018-09-28T13:26:00Z</dcterms:created>
  <dcterms:modified xsi:type="dcterms:W3CDTF">2018-10-01T07:00:00Z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0x010100258AA79CEB83498886A3A0868112325000333ED14F005B334D9CC5250622DB5351</vt:lpwstr>
  </property>
  <property fmtid="{D5CDD505-2E9C-101B-9397-08002B2CF9AE}" pid="14" name="DQCStatus">
    <vt:lpwstr>Green (DQC version 03)</vt:lpwstr>
  </property>
</Properties>
</file>