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4A68C9C-AB27-47DF-A836-114DF374096E" style="width:450.8pt;height:379.4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pStyle w:val="ManualHeading1"/>
        <w:ind w:left="0" w:firstLine="0"/>
        <w:rPr>
          <w:noProof/>
        </w:rPr>
      </w:pPr>
      <w:r>
        <w:rPr>
          <w:noProof/>
        </w:rPr>
        <w:t>1.</w:t>
      </w:r>
      <w:r>
        <w:rPr>
          <w:noProof/>
        </w:rPr>
        <w:tab/>
        <w:t>BAKGRUND TILL FÖRSLAGET</w:t>
      </w:r>
    </w:p>
    <w:p>
      <w:pPr>
        <w:pStyle w:val="ManualHeading2"/>
        <w:ind w:left="0" w:firstLine="0"/>
        <w:rPr>
          <w:rFonts w:eastAsia="Arial Unicode MS"/>
          <w:noProof/>
        </w:rPr>
      </w:pPr>
      <w:r>
        <w:rPr>
          <w:noProof/>
          <w:color w:val="000000"/>
          <w:u w:color="000000"/>
          <w:bdr w:val="nil"/>
        </w:rPr>
        <w:t>•</w:t>
      </w:r>
      <w:r>
        <w:rPr>
          <w:noProof/>
        </w:rPr>
        <w:tab/>
        <w:t>Motiv och syfte med förslaget</w:t>
      </w:r>
    </w:p>
    <w:p>
      <w:pPr>
        <w:rPr>
          <w:noProof/>
        </w:rPr>
      </w:pPr>
      <w:r>
        <w:rPr>
          <w:noProof/>
        </w:rPr>
        <w:t>För att stödja genomförandet av rådets beslut om fastställande av provisoriska åtgärder på området internationellt skydd till förmån för Italien och Grekland</w:t>
      </w:r>
      <w:r>
        <w:rPr>
          <w:rStyle w:val="FootnoteReference"/>
          <w:noProof/>
        </w:rPr>
        <w:footnoteReference w:id="1"/>
      </w:r>
      <w:r>
        <w:rPr>
          <w:noProof/>
        </w:rPr>
        <w:t xml:space="preserve"> och rådets beslut om laglig inresa från Turkiet</w:t>
      </w:r>
      <w:r>
        <w:rPr>
          <w:rStyle w:val="FootnoteReference"/>
          <w:noProof/>
        </w:rPr>
        <w:footnoteReference w:id="2"/>
      </w:r>
      <w:r>
        <w:rPr>
          <w:noProof/>
        </w:rPr>
        <w:t xml:space="preserve"> anslogs medel till medlemsstaternas nationella program inom ramen för asyl-, migrations- och integrationsfonden (även förkortad </w:t>
      </w:r>
      <w:r>
        <w:rPr>
          <w:i/>
          <w:noProof/>
        </w:rPr>
        <w:t>Amif</w:t>
      </w:r>
      <w:r>
        <w:rPr>
          <w:noProof/>
        </w:rPr>
        <w:t>). De två rådsbesluten</w:t>
      </w:r>
      <w:r>
        <w:rPr>
          <w:rStyle w:val="FootnoteReference"/>
          <w:noProof/>
        </w:rPr>
        <w:footnoteReference w:id="3"/>
      </w:r>
      <w:r>
        <w:rPr>
          <w:noProof/>
        </w:rPr>
        <w:t xml:space="preserve"> har möjliggjort en faktisk omplacering från Grekland och Italien av 34 705 personer som söker internationellt skydd samt laglig inresa från Turkiet för 5 345 personer i behov av internationellt skydd. Giltighetstiden för dessa beslut har nu gått ut och därmed är de inte längre tillämpliga. </w:t>
      </w:r>
    </w:p>
    <w:p>
      <w:pPr>
        <w:pBdr>
          <w:top w:val="nil"/>
          <w:left w:val="nil"/>
          <w:bottom w:val="nil"/>
          <w:right w:val="nil"/>
          <w:between w:val="nil"/>
          <w:bar w:val="nil"/>
        </w:pBdr>
        <w:spacing w:before="0" w:after="240"/>
        <w:rPr>
          <w:noProof/>
        </w:rPr>
      </w:pPr>
      <w:r>
        <w:rPr>
          <w:noProof/>
        </w:rPr>
        <w:t>Av de 843 miljoner euro som under 2016 anslogs till medlemsstaternas nationella program inom ramen för Amif, är omkring 567 miljoner euro fortfarande tillgängliga. Enligt bestämmelsen om tillbakadragande av åtagande, vilken fastställs i förordningen om allmänna bestämmelser för asyl-, migrations- och integrationsfonden</w:t>
      </w:r>
      <w:r>
        <w:rPr>
          <w:rStyle w:val="FootnoteReference"/>
          <w:noProof/>
        </w:rPr>
        <w:footnoteReference w:id="4"/>
      </w:r>
      <w:r>
        <w:rPr>
          <w:noProof/>
        </w:rPr>
        <w:t xml:space="preserve">, bör betalningar på dessa åtaganden göras senast vid 2018 års utgång, varefter finansieringen inte längre kommer att vara tillgänglig för användning inom medlemsstaternas nationella program inom ramen för asyl-, migrations- och integrationsfonden. </w:t>
      </w:r>
    </w:p>
    <w:p>
      <w:pPr>
        <w:pBdr>
          <w:top w:val="nil"/>
          <w:left w:val="nil"/>
          <w:bottom w:val="nil"/>
          <w:right w:val="nil"/>
          <w:between w:val="nil"/>
          <w:bar w:val="nil"/>
        </w:pBdr>
        <w:spacing w:before="0" w:after="240"/>
        <w:rPr>
          <w:rFonts w:eastAsia="Arial Unicode MS"/>
          <w:noProof/>
        </w:rPr>
      </w:pPr>
      <w:r>
        <w:rPr>
          <w:noProof/>
        </w:rPr>
        <w:t>Mot bakgrund av diskussionerna med Europaparlamentet och rådet under 2018 föreslår kommissionen tekniska ändringar av artikel 18 i förordning (EU) nr 516/2014</w:t>
      </w:r>
      <w:r>
        <w:rPr>
          <w:rStyle w:val="FootnoteReference"/>
          <w:noProof/>
        </w:rPr>
        <w:footnoteReference w:id="5"/>
      </w:r>
      <w:r>
        <w:rPr>
          <w:noProof/>
        </w:rPr>
        <w:t xml:space="preserve"> för att göra det möjligt för medlemsstaterna att använda kvarstående anslagna medel för att hantera unionens prioriteringar på migrationsområdet, inbegripet omplacering när rådets beslut inte längre är giltiga. Förslaget skulle också utvidga den målgrupp som för närvarande är berättigad till omplacering inom ramen för Amif, det vill säga personer som beviljats internationellt skydd, för att också omfatta överföringen av personer som ansöker om internationellt skydd (vilket var fallet i de ovan nämnda rådsbesluten). </w:t>
      </w:r>
    </w:p>
    <w:p>
      <w:pPr>
        <w:pBdr>
          <w:top w:val="nil"/>
          <w:left w:val="nil"/>
          <w:bottom w:val="nil"/>
          <w:right w:val="nil"/>
          <w:between w:val="nil"/>
          <w:bar w:val="nil"/>
        </w:pBdr>
        <w:spacing w:before="0" w:after="240"/>
        <w:rPr>
          <w:noProof/>
        </w:rPr>
      </w:pPr>
      <w:r>
        <w:rPr>
          <w:noProof/>
        </w:rPr>
        <w:t>Med detta ändringsförslag kommer medlemsstaterna att kunna fortsätta att visa solidaritet vid genomförandet av överföringsbesluten. Förslaget skulle vidare ge medlemsstaterna möjlighet att, förutom till omplacering och vidarebosättning, använda denna finansiering till andra åtgärder som definieras i asyl-, migrations- och integrationsfonden, när så är vederbörligen motiverat i de nationella programmen, vilka kommer att behöva anpassas för detta ändamål</w:t>
      </w:r>
      <w:r>
        <w:rPr>
          <w:rStyle w:val="FootnoteReference"/>
          <w:noProof/>
        </w:rPr>
        <w:footnoteReference w:id="6"/>
      </w:r>
      <w:r>
        <w:rPr>
          <w:noProof/>
        </w:rPr>
        <w:t xml:space="preserve">. Halvtidsutvärderingen av asyl-, migrations- och integrationsfonden har bekräftat att medlemsstaterna har olikartade och betydande behov i fråga om asyl, integration och återvändande. </w:t>
      </w:r>
    </w:p>
    <w:p>
      <w:pPr>
        <w:pBdr>
          <w:top w:val="nil"/>
          <w:left w:val="nil"/>
          <w:bottom w:val="nil"/>
          <w:right w:val="nil"/>
          <w:between w:val="nil"/>
          <w:bar w:val="nil"/>
        </w:pBdr>
        <w:spacing w:before="0" w:after="240"/>
        <w:rPr>
          <w:noProof/>
        </w:rPr>
      </w:pPr>
      <w:r>
        <w:rPr>
          <w:noProof/>
        </w:rPr>
        <w:lastRenderedPageBreak/>
        <w:t>Förslaget skulle göra det möjligt för medlemsstaterna att förnya sina åtaganden eller överföra belopp inom de nationella programmen genom ändringar av det nationella programmet.  Genom förslaget förlängs också tidsfristen för tillbakadragande av de återstående belopp som anslagits till stöd för genomförandet av rådets beslut (EU) 2015/1523 och (EU) 2015/1601 med högst sex månader, för att säkerställa att medlemsstaterna får tillräckligt med tid på sig att se över de nationella programmen så att ändringar kan göras i samband med förnyade åtaganden eller överföring av medel. För detta ändamål föreslås ett undantag från artikel 50 i förordning (EU) nr 514/2014</w:t>
      </w:r>
      <w:r>
        <w:rPr>
          <w:rStyle w:val="FootnoteReference"/>
          <w:noProof/>
        </w:rPr>
        <w:footnoteReference w:id="7"/>
      </w:r>
      <w:r>
        <w:rPr>
          <w:noProof/>
        </w:rPr>
        <w:t xml:space="preserve">. Vidare innehåller förslaget även en bestämmelse om förlängning av tidsfristen för användningen av den berörda finansieringen med ytterligare två år efter kommissionens godkännande av ändringar av de nationella programmen, för att ge medlemsstaterna tillräckligt med tid att genomföra de åtgärder för vilka de förnyade finansieringsåtagandena eller överföringarna görs.  </w:t>
      </w:r>
    </w:p>
    <w:p>
      <w:pPr>
        <w:pBdr>
          <w:top w:val="nil"/>
          <w:left w:val="nil"/>
          <w:bottom w:val="nil"/>
          <w:right w:val="nil"/>
          <w:between w:val="nil"/>
          <w:bar w:val="nil"/>
        </w:pBdr>
        <w:spacing w:before="0" w:after="240"/>
        <w:rPr>
          <w:noProof/>
        </w:rPr>
      </w:pPr>
      <w:r>
        <w:rPr>
          <w:noProof/>
        </w:rPr>
        <w:t xml:space="preserve">För att de belopp som anslagits till stöd för genomförandet av rådets beslut (EU) 2015/1523 och (EU) 2015/1601 ska förbli tillgängliga i medlemsstaternas nationella program för stöd till omplacering och andra unionsprioriteringar på området migration och asyl, och för att dessa inte ska dras tillbaka, är det av största vikt att de föreslagna tekniska ändringarna av artikel 18 i förordning (EU) nr 516/2014 antas och träder i kraft före slutet av 2018. </w:t>
      </w:r>
    </w:p>
    <w:p>
      <w:pPr>
        <w:pStyle w:val="ManualHeading2"/>
        <w:ind w:left="0" w:firstLine="0"/>
        <w:rPr>
          <w:rFonts w:eastAsia="Arial Unicode MS"/>
          <w:noProof/>
          <w:color w:val="000000"/>
          <w:u w:color="000000"/>
          <w:bdr w:val="nil"/>
        </w:rPr>
      </w:pPr>
      <w:r>
        <w:rPr>
          <w:noProof/>
          <w:color w:val="000000"/>
          <w:u w:color="000000"/>
          <w:bdr w:val="nil"/>
        </w:rPr>
        <w:t>•</w:t>
      </w:r>
      <w:r>
        <w:rPr>
          <w:noProof/>
        </w:rPr>
        <w:tab/>
        <w:t>Förenlighet med befintliga bestämmelser inom området</w:t>
      </w:r>
    </w:p>
    <w:p>
      <w:pPr>
        <w:pBdr>
          <w:top w:val="nil"/>
          <w:left w:val="nil"/>
          <w:bottom w:val="nil"/>
          <w:right w:val="nil"/>
          <w:between w:val="nil"/>
          <w:bar w:val="nil"/>
        </w:pBdr>
        <w:spacing w:before="0" w:after="240"/>
        <w:rPr>
          <w:noProof/>
        </w:rPr>
      </w:pPr>
      <w:r>
        <w:rPr>
          <w:noProof/>
        </w:rPr>
        <w:t>Detta förslag är förenligt med Europeiska unionens politiska prioriteringar på området migration och asyl genom att det ger medlemsstaterna möjlighet att, genom sina nationella program, fortsatt använda de återstående belopp som anslagits till stöd för genomförandet av rådets beslut (EU) 2015/1523 och (EU) 2015/1601 till unionsprioriteringar på området migration och asyl.</w:t>
      </w:r>
    </w:p>
    <w:p>
      <w:pPr>
        <w:pStyle w:val="ManualHeading2"/>
        <w:ind w:left="0" w:firstLine="0"/>
        <w:rPr>
          <w:rFonts w:eastAsia="Arial Unicode MS"/>
          <w:noProof/>
        </w:rPr>
      </w:pPr>
      <w:r>
        <w:rPr>
          <w:noProof/>
          <w:color w:val="000000"/>
          <w:u w:color="000000"/>
          <w:bdr w:val="nil"/>
        </w:rPr>
        <w:t>•</w:t>
      </w:r>
      <w:r>
        <w:rPr>
          <w:noProof/>
        </w:rPr>
        <w:tab/>
        <w:t>Förenlighet med unionens politik inom andra områden</w:t>
      </w:r>
    </w:p>
    <w:p>
      <w:pPr>
        <w:pBdr>
          <w:top w:val="nil"/>
          <w:left w:val="nil"/>
          <w:bottom w:val="nil"/>
          <w:right w:val="nil"/>
          <w:between w:val="nil"/>
          <w:bar w:val="nil"/>
        </w:pBdr>
        <w:spacing w:before="0" w:after="240"/>
        <w:rPr>
          <w:rFonts w:eastAsia="Arial Unicode MS"/>
          <w:noProof/>
        </w:rPr>
      </w:pPr>
      <w:r>
        <w:rPr>
          <w:noProof/>
        </w:rPr>
        <w:t xml:space="preserve">Den föreslagna tekniska ändringen är förenlig med andra förslag och initiativ som antagits av Europeiska kommissionen. Asyl-, migrations- och integrationsfonden har varit ett viktigt verktyg för att komplettera EU:s åtgärder på området gränser och säkerhet, i synnerhet genom att tillhandahålla stöd till inrättandet och driften av mottagningscentrum. I synnerhet har samordnat stöd från såväl asyl-, migrations- och integrationsfonden som fonden för inre säkerhet visat sig vara avgörande för att säkerställa en smidig hantering av ärenden i mottagningscentrumen, också för att se till att de handläggs genom lämpliga förfaranden. Jämsides och i samordning med Europeiska socialfonden har Amif också bidragit med stöd till integrationen av tredjelandsmedborgare och kompletterat arbetet inom EU:s externa finansieringsinstrument vid genomförandet av EU:s externa politik på migrationsområdet. Genom den föreslagna ändringen av asyl-, migrations- och integrationsfonden kommer åtgärder på dessa områden att kunna få ytterligare stöd.  </w:t>
      </w:r>
    </w:p>
    <w:p>
      <w:pPr>
        <w:pStyle w:val="ManualHeading1"/>
        <w:ind w:left="0" w:firstLine="0"/>
        <w:rPr>
          <w:noProof/>
        </w:rPr>
      </w:pPr>
      <w:r>
        <w:rPr>
          <w:noProof/>
        </w:rPr>
        <w:t>2.</w:t>
      </w:r>
      <w:r>
        <w:rPr>
          <w:noProof/>
        </w:rPr>
        <w:tab/>
        <w:t>RÄTTSLIG GRUND, SUBSIDIARITETSPRINCIPEN OCH PROPORTIONALITETSPRINCIPEN</w:t>
      </w:r>
    </w:p>
    <w:p>
      <w:pPr>
        <w:pStyle w:val="ManualHeading2"/>
        <w:ind w:left="0" w:firstLine="0"/>
        <w:rPr>
          <w:rFonts w:eastAsia="Arial Unicode MS"/>
          <w:noProof/>
          <w:u w:color="000000"/>
          <w:bdr w:val="nil"/>
        </w:rPr>
      </w:pPr>
      <w:r>
        <w:rPr>
          <w:noProof/>
        </w:rPr>
        <w:t>•</w:t>
      </w:r>
      <w:r>
        <w:rPr>
          <w:noProof/>
        </w:rPr>
        <w:tab/>
        <w:t>Rättslig grund</w:t>
      </w:r>
    </w:p>
    <w:p>
      <w:pPr>
        <w:rPr>
          <w:rFonts w:eastAsia="Times New Roman"/>
          <w:noProof/>
          <w:szCs w:val="24"/>
        </w:rPr>
      </w:pPr>
      <w:r>
        <w:rPr>
          <w:noProof/>
        </w:rPr>
        <w:t xml:space="preserve">Detta förslag ändrar förordning (EU) nr 516/2014 och bygger på artiklarna 78.2, 79.2 och 79.4 i fördraget om Europeiska unionens funktionssätt, enligt vilket unionen har befogenhet </w:t>
      </w:r>
      <w:r>
        <w:rPr>
          <w:noProof/>
        </w:rPr>
        <w:lastRenderedPageBreak/>
        <w:t xml:space="preserve">att vidta åtgärder på området asyl, invandring, förvaltning av migrationsströmmarna, en rättvis behandling av tredjelandsmedborgare som vistas lagligen i medlemsstaterna samt bekämpning av olaglig invandring och människohandel, också genom samarbete med tredjeländer. </w:t>
      </w:r>
    </w:p>
    <w:p>
      <w:pPr>
        <w:rPr>
          <w:rFonts w:eastAsia="Times New Roman"/>
          <w:noProof/>
          <w:szCs w:val="24"/>
        </w:rPr>
      </w:pPr>
      <w:r>
        <w:rPr>
          <w:noProof/>
        </w:rPr>
        <w:t>Dessa artiklar utgör en förenlig rättslig grund mot bakgrund av Förenade kungarikets, Irlands och Danmarks ställning med avseende på de områden som artiklarna täcker, vilket ger överensstämmande omröstningsbestämmelser i rådet. Varje rättslig grund omfattas av det ordinarie lagstiftningsförfarandet.</w:t>
      </w:r>
      <w:r>
        <w:rPr>
          <w:rFonts w:ascii="Arial" w:hAnsi="Arial"/>
          <w:noProof/>
          <w:sz w:val="20"/>
        </w:rPr>
        <w:t xml:space="preserve"> </w:t>
      </w:r>
    </w:p>
    <w:p>
      <w:pPr>
        <w:pStyle w:val="ManualHeading2"/>
        <w:ind w:left="0" w:firstLine="0"/>
        <w:rPr>
          <w:rFonts w:eastAsia="Arial Unicode MS"/>
          <w:noProof/>
          <w:u w:color="000000"/>
          <w:bdr w:val="nil"/>
        </w:rPr>
      </w:pPr>
      <w:r>
        <w:rPr>
          <w:noProof/>
        </w:rPr>
        <w:t>•</w:t>
      </w:r>
      <w:r>
        <w:rPr>
          <w:noProof/>
        </w:rPr>
        <w:tab/>
        <w:t xml:space="preserve">Subsidiaritetsprincipen </w:t>
      </w:r>
    </w:p>
    <w:p>
      <w:pPr>
        <w:pBdr>
          <w:top w:val="nil"/>
          <w:left w:val="nil"/>
          <w:bottom w:val="nil"/>
          <w:right w:val="nil"/>
          <w:between w:val="nil"/>
          <w:bar w:val="nil"/>
        </w:pBdr>
        <w:spacing w:before="0" w:after="240"/>
        <w:rPr>
          <w:rFonts w:eastAsia="Arial Unicode MS"/>
          <w:noProof/>
        </w:rPr>
      </w:pPr>
      <w:r>
        <w:rPr>
          <w:noProof/>
        </w:rPr>
        <w:t>Förslaget är förenligt med subsidiaritetsprincipen. Om medlemsstaterna ges möjlighet att fortsätta användningen av de återstående belopp som anslagits till stöd för genomförandet av rådets beslut (EU) 2015/1523 och (EU) 2015/1601 till omplacering, samt, i vederbörligen motiverade fall, till andra åtgärder inom ramen för nationella program, ger detta ett högre mervärde på EU-nivå än om medlemsstaterna agerar på egen hand.</w:t>
      </w:r>
    </w:p>
    <w:p>
      <w:pPr>
        <w:pStyle w:val="ManualHeading2"/>
        <w:ind w:left="0" w:firstLine="0"/>
        <w:rPr>
          <w:rFonts w:eastAsia="Arial Unicode MS"/>
          <w:noProof/>
          <w:u w:color="000000"/>
          <w:bdr w:val="nil"/>
        </w:rPr>
      </w:pPr>
      <w:r>
        <w:rPr>
          <w:noProof/>
        </w:rPr>
        <w:t>•</w:t>
      </w:r>
      <w:r>
        <w:rPr>
          <w:noProof/>
        </w:rPr>
        <w:tab/>
        <w:t>Proportionalitetsprincipen</w:t>
      </w:r>
    </w:p>
    <w:p>
      <w:pPr>
        <w:pBdr>
          <w:top w:val="nil"/>
          <w:left w:val="nil"/>
          <w:bottom w:val="nil"/>
          <w:right w:val="nil"/>
          <w:between w:val="nil"/>
          <w:bar w:val="nil"/>
        </w:pBdr>
        <w:spacing w:before="0" w:after="240"/>
        <w:rPr>
          <w:noProof/>
        </w:rPr>
      </w:pPr>
      <w:r>
        <w:rPr>
          <w:noProof/>
        </w:rPr>
        <w:t xml:space="preserve">Förslaget är begränsat till de nödvändiga tekniska justeringarna. </w:t>
      </w:r>
    </w:p>
    <w:p>
      <w:pPr>
        <w:pStyle w:val="ManualHeading2"/>
        <w:ind w:left="0" w:firstLine="0"/>
        <w:rPr>
          <w:rFonts w:eastAsia="Arial Unicode MS"/>
          <w:noProof/>
          <w:u w:color="000000"/>
          <w:bdr w:val="nil"/>
        </w:rPr>
      </w:pPr>
      <w:r>
        <w:rPr>
          <w:noProof/>
        </w:rPr>
        <w:t>•</w:t>
      </w:r>
      <w:r>
        <w:rPr>
          <w:noProof/>
        </w:rPr>
        <w:tab/>
        <w:t>Val av instrument</w:t>
      </w:r>
    </w:p>
    <w:p>
      <w:pPr>
        <w:pBdr>
          <w:top w:val="nil"/>
          <w:left w:val="nil"/>
          <w:bottom w:val="nil"/>
          <w:right w:val="nil"/>
          <w:between w:val="nil"/>
          <w:bar w:val="nil"/>
        </w:pBdr>
        <w:spacing w:before="0" w:after="240"/>
        <w:rPr>
          <w:noProof/>
        </w:rPr>
      </w:pPr>
      <w:r>
        <w:rPr>
          <w:noProof/>
        </w:rPr>
        <w:t xml:space="preserve">Föreslaget instrument: ändring av den nuvarande förordningen. </w:t>
      </w:r>
    </w:p>
    <w:p>
      <w:pPr>
        <w:pBdr>
          <w:top w:val="nil"/>
          <w:left w:val="nil"/>
          <w:bottom w:val="nil"/>
          <w:right w:val="nil"/>
          <w:between w:val="nil"/>
          <w:bar w:val="nil"/>
        </w:pBdr>
        <w:spacing w:before="0" w:after="240"/>
        <w:rPr>
          <w:noProof/>
        </w:rPr>
      </w:pPr>
      <w:r>
        <w:rPr>
          <w:noProof/>
        </w:rPr>
        <w:t>Med hänsyn till den rättsliga ramen är det nödvändigt att föreslå ändringar av förordning (EU) nr 516/2014 och att göra undantag från förordning (EU) nr 514/2014.</w:t>
      </w:r>
    </w:p>
    <w:p>
      <w:pPr>
        <w:pStyle w:val="ManualHeading1"/>
        <w:ind w:left="0" w:firstLine="0"/>
        <w:rPr>
          <w:noProof/>
        </w:rPr>
      </w:pPr>
      <w:r>
        <w:rPr>
          <w:noProof/>
        </w:rPr>
        <w:t>3.</w:t>
      </w:r>
      <w:r>
        <w:rPr>
          <w:noProof/>
        </w:rPr>
        <w:tab/>
        <w:t>RESULTAT AV EFTERHANDSUTVÄRDERINGAR, SAMRÅD MED BERÖRDA PARTER OCH KONSEKVENSBEDÖMNINGAR</w:t>
      </w:r>
    </w:p>
    <w:p>
      <w:pPr>
        <w:pStyle w:val="ManualHeading2"/>
        <w:ind w:left="0" w:firstLine="0"/>
        <w:rPr>
          <w:rFonts w:eastAsia="Arial Unicode MS"/>
          <w:noProof/>
          <w:u w:color="000000"/>
          <w:bdr w:val="nil"/>
        </w:rPr>
      </w:pPr>
      <w:r>
        <w:rPr>
          <w:noProof/>
        </w:rPr>
        <w:t>•</w:t>
      </w:r>
      <w:r>
        <w:rPr>
          <w:noProof/>
        </w:rPr>
        <w:tab/>
        <w:t>Samråd med berörda parter</w:t>
      </w:r>
    </w:p>
    <w:p>
      <w:pPr>
        <w:pBdr>
          <w:top w:val="nil"/>
          <w:left w:val="nil"/>
          <w:bottom w:val="nil"/>
          <w:right w:val="nil"/>
          <w:between w:val="nil"/>
          <w:bar w:val="nil"/>
        </w:pBdr>
        <w:spacing w:before="0" w:after="240"/>
        <w:rPr>
          <w:rFonts w:eastAsia="Arial Unicode MS"/>
          <w:noProof/>
        </w:rPr>
      </w:pPr>
      <w:r>
        <w:rPr>
          <w:noProof/>
        </w:rPr>
        <w:t>Informella samråd har hållits med det berörda utskottet i Europaparlamentet och med den berörda arbetsgruppen i rådet. Samråden har visat att det råder enighet om behovet av de tekniska anpassningar som anges i detta förslag.</w:t>
      </w:r>
    </w:p>
    <w:p>
      <w:pPr>
        <w:pStyle w:val="ManualHeading1"/>
        <w:ind w:left="0" w:firstLine="0"/>
        <w:rPr>
          <w:noProof/>
        </w:rPr>
      </w:pPr>
      <w:r>
        <w:rPr>
          <w:noProof/>
        </w:rPr>
        <w:t>4.</w:t>
      </w:r>
      <w:r>
        <w:rPr>
          <w:noProof/>
        </w:rPr>
        <w:tab/>
        <w:t>BUDGETKONSEKVENSER</w:t>
      </w:r>
    </w:p>
    <w:p>
      <w:pPr>
        <w:pBdr>
          <w:top w:val="nil"/>
          <w:left w:val="nil"/>
          <w:bottom w:val="nil"/>
          <w:right w:val="nil"/>
          <w:between w:val="nil"/>
          <w:bar w:val="nil"/>
        </w:pBdr>
        <w:spacing w:before="0" w:after="240"/>
        <w:rPr>
          <w:noProof/>
        </w:rPr>
      </w:pPr>
      <w:r>
        <w:rPr>
          <w:noProof/>
        </w:rPr>
        <w:t>Syftet med den föreslagna tekniska ändringen är att säkerställa att de belopp som anslogs 2016 till stöd för genomförandet av rådets beslut (EU) 2015/1523 och (EU) 2015/1601 förblir tillgängliga för medlemsstaterna i deras nationella program för finansiering av omplacering och övriga insatser på området migration och asyl, om så är vederbörligen motiverat inom ramen för en översyn av det nationella programmet. Därför krävs inga ytterligare medel från unionsbudgeten för genomförandet av de föreslagna ändringarna av förordning (EU) nr 516/2014.</w:t>
      </w:r>
    </w:p>
    <w:p>
      <w:pPr>
        <w:pStyle w:val="ManualHeading1"/>
        <w:ind w:left="0" w:firstLine="0"/>
        <w:rPr>
          <w:noProof/>
        </w:rPr>
      </w:pPr>
      <w:r>
        <w:rPr>
          <w:noProof/>
        </w:rPr>
        <w:t>5.</w:t>
      </w:r>
      <w:r>
        <w:rPr>
          <w:noProof/>
        </w:rPr>
        <w:tab/>
        <w:t>ÖVRIGA INSLAG</w:t>
      </w:r>
    </w:p>
    <w:p>
      <w:pPr>
        <w:pStyle w:val="ManualHeading2"/>
        <w:ind w:left="0" w:firstLine="0"/>
        <w:rPr>
          <w:rFonts w:eastAsia="Arial Unicode MS"/>
          <w:noProof/>
          <w:u w:color="000000"/>
          <w:bdr w:val="nil"/>
        </w:rPr>
      </w:pPr>
      <w:r>
        <w:rPr>
          <w:noProof/>
        </w:rPr>
        <w:t>•</w:t>
      </w:r>
      <w:r>
        <w:rPr>
          <w:noProof/>
        </w:rPr>
        <w:tab/>
        <w:t>Genomförandeplaner samt åtgärder för övervakning, utvärdering och rapportering</w:t>
      </w:r>
    </w:p>
    <w:p>
      <w:pPr>
        <w:pBdr>
          <w:top w:val="nil"/>
          <w:left w:val="nil"/>
          <w:bottom w:val="nil"/>
          <w:right w:val="nil"/>
          <w:between w:val="nil"/>
          <w:bar w:val="nil"/>
        </w:pBdr>
        <w:spacing w:before="0" w:after="240"/>
        <w:rPr>
          <w:noProof/>
        </w:rPr>
      </w:pPr>
      <w:r>
        <w:rPr>
          <w:noProof/>
        </w:rPr>
        <w:t>Detta förslag har inga konsekvenser för de befintliga formerna för övervakning, utvärdering och rapportering i förordningen om asyl-, migrations- och integrationsfonden, vilka fortsatt kommer att gälla.</w:t>
      </w:r>
    </w:p>
    <w:p>
      <w:pPr>
        <w:pStyle w:val="ManualHeading2"/>
        <w:ind w:left="0" w:firstLine="0"/>
        <w:rPr>
          <w:rFonts w:eastAsia="Arial Unicode MS"/>
          <w:noProof/>
          <w:u w:color="000000"/>
          <w:bdr w:val="nil"/>
        </w:rPr>
      </w:pPr>
      <w:r>
        <w:rPr>
          <w:noProof/>
        </w:rPr>
        <w:lastRenderedPageBreak/>
        <w:t>•</w:t>
      </w:r>
      <w:r>
        <w:rPr>
          <w:noProof/>
        </w:rPr>
        <w:tab/>
        <w:t>Ingående redogörelse för de specifika bestämmelserna i förslaget</w:t>
      </w:r>
    </w:p>
    <w:p>
      <w:pPr>
        <w:pBdr>
          <w:top w:val="nil"/>
          <w:left w:val="nil"/>
          <w:bottom w:val="nil"/>
          <w:right w:val="nil"/>
          <w:between w:val="nil"/>
          <w:bar w:val="nil"/>
        </w:pBdr>
        <w:spacing w:before="0" w:after="240"/>
        <w:rPr>
          <w:noProof/>
        </w:rPr>
      </w:pPr>
      <w:r>
        <w:rPr>
          <w:noProof/>
        </w:rPr>
        <w:t>Målet med förslaget är, för det första, att möjliggöra användningen av de återstående belopp som anslagits inom ramen för asyl-, migrations- och integrationsfonden till stöd för genomförandet av rådets beslut (EU) 2015/1523 och (EU) 2015/1601 i syfte att främja EU:s prioriteringar på området migration och asyl, inbegripet omplacering. Detta skulle vara möjligt för en förlängd period om två år efter kommissionens översyn av de nationella programmen och skulle, genom ändringar i medlemsstaternas nationella program, också medge att dessa medel användes till andra ändamål än omplacering. Samtidigt skulle också målgruppen med personer som är berättigade till omplacering utvidgas för att ge medlemsstaterna mer flexibilitet i genomförandet av solidaritetsåtgärder.</w:t>
      </w:r>
    </w:p>
    <w:p>
      <w:pPr>
        <w:pBdr>
          <w:top w:val="nil"/>
          <w:left w:val="nil"/>
          <w:bottom w:val="nil"/>
          <w:right w:val="nil"/>
          <w:between w:val="nil"/>
          <w:bar w:val="nil"/>
        </w:pBdr>
        <w:spacing w:before="0" w:after="240"/>
        <w:rPr>
          <w:rFonts w:eastAsia="Arial Unicode MS"/>
          <w:noProof/>
        </w:rPr>
      </w:pPr>
      <w:r>
        <w:rPr>
          <w:noProof/>
        </w:rPr>
        <w:t xml:space="preserve">Därför innebär förslaget en ändring av artikel 18 i förordning (EU) nr 516/2014 genom införandet av orden ”ansöker om eller” före orden ”åtnjuter internationellt skydd”. </w:t>
      </w:r>
    </w:p>
    <w:p>
      <w:pPr>
        <w:pBdr>
          <w:top w:val="nil"/>
          <w:left w:val="nil"/>
          <w:bottom w:val="nil"/>
          <w:right w:val="nil"/>
          <w:between w:val="nil"/>
          <w:bar w:val="nil"/>
        </w:pBdr>
        <w:spacing w:before="0" w:after="240"/>
        <w:rPr>
          <w:noProof/>
        </w:rPr>
      </w:pPr>
      <w:r>
        <w:rPr>
          <w:noProof/>
        </w:rPr>
        <w:t>För det andra innebär förslaget en ändring av artikel 18 i förordning (EU) nr 516/2014 genom att det blir möjligt att förnya åtagandena om de belopp som anslagits till stöd för genomförandet av rådets beslut (EU) 2015/1523 och (EU) 2015/1601 för att omplacera eller överföra dem till andra åtgärder som definieras i förordningen om asyl-, migrations- och integrationsfonden och på grundval av medlemsstaternas behov. Detta bör vederbörligen motiveras i en översyn av det nationella programmet, vilken ska godkännas av kommissionen. Sådana överföringar eller förnyade åtaganden bör göras endast en gång, i enlighet med principen om sund ekonomisk förvaltning och respekt för bestämmelsen om tillbakadragande enligt artikel 50 i förordning (EU) nr 514/2014.</w:t>
      </w:r>
    </w:p>
    <w:p>
      <w:pPr>
        <w:pBdr>
          <w:top w:val="nil"/>
          <w:left w:val="nil"/>
          <w:bottom w:val="nil"/>
          <w:right w:val="nil"/>
          <w:between w:val="nil"/>
          <w:bar w:val="nil"/>
        </w:pBdr>
        <w:spacing w:before="0" w:after="240"/>
        <w:rPr>
          <w:noProof/>
        </w:rPr>
      </w:pPr>
      <w:r>
        <w:rPr>
          <w:noProof/>
        </w:rPr>
        <w:t>För det tredje är målet med förslaget att införa en bestämmelse i artikel 18 i förordning (EU) nr 516/2014 vilken innebär en ändring av återkravsregeln enligt artikel 50 i förordning (EU) nr 514/2014 så att de återstående belopp för vilka åtaganden gjorts till stöd för genomförandet av rådets beslut (EU) 2015/1523 och (EU) 2015/1601 kan användas under en period av ytterligare två år. För detta ändamål fastslås följande i den föreslagna bestämmelsen: De berörda beloppen kommer att anses ha anslagits samma år som översynen av det nationella programmet, varigenom det förnyade åtagandet för eller överföringen av dessa belopp till andra åtgärder inom det nationella programmet godkänns.</w:t>
      </w:r>
    </w:p>
    <w:p>
      <w:pPr>
        <w:rPr>
          <w:noProof/>
        </w:rPr>
      </w:pPr>
      <w:r>
        <w:rPr>
          <w:noProof/>
        </w:rPr>
        <w:t>Slutligen innebär förslaget en sexmånaders förlängning av tidsfristen för automatiskt tillbakadragande av belopp. Bestämmelsen utgör ett undantag från artikel 50 första stycket i förordning (EU) nr 514/2014 och är nödvändig för att medlemsstaterna och kommissionen ska kunna slutföra den översyn av de nationella programmen som avses i artikel 14 i förordning (EU) nr 514/2014.</w:t>
      </w:r>
    </w:p>
    <w:p>
      <w:pPr>
        <w:ind w:left="720" w:hanging="720"/>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2018/0371 (COD)</w:t>
      </w:r>
    </w:p>
    <w:p>
      <w:pPr>
        <w:pStyle w:val="Statut"/>
        <w:rPr>
          <w:noProof/>
        </w:rPr>
      </w:pPr>
      <w:r>
        <w:rPr>
          <w:noProof/>
        </w:rPr>
        <w:t>Förslag till</w:t>
      </w:r>
    </w:p>
    <w:p>
      <w:pPr>
        <w:pStyle w:val="Typedudocument"/>
        <w:rPr>
          <w:noProof/>
        </w:rPr>
      </w:pPr>
      <w:r>
        <w:rPr>
          <w:noProof/>
        </w:rPr>
        <w:t>EUROPAPARLAMENTETS OCH RÅDETS FÖRORDNING</w:t>
      </w:r>
    </w:p>
    <w:p>
      <w:pPr>
        <w:pStyle w:val="Titreobjet"/>
        <w:rPr>
          <w:noProof/>
        </w:rPr>
      </w:pPr>
      <w:r>
        <w:rPr>
          <w:noProof/>
        </w:rPr>
        <w:t>om ändring av Europaparlamentets och rådets förordning (EU) nr 516/2014 vad gäller förnyade åtaganden för de återstående belopp som anslagits till stöd för genomförandet av rådets beslut (EU) 2015/1523 och (EU) 2015/1601 eller omfördelning av dessa till andra åtgärder inom ramen för de nationella programmen</w:t>
      </w:r>
    </w:p>
    <w:p>
      <w:pPr>
        <w:pStyle w:val="Institutionquiagit"/>
        <w:rPr>
          <w:noProof/>
        </w:rPr>
      </w:pPr>
      <w:r>
        <w:rPr>
          <w:noProof/>
        </w:rPr>
        <w:t>EUROPAPARLAMENTET OCH EUROPEISKA UNIONENS RÅD HAR ANTAGIT DENNA FÖRORDNING</w:t>
      </w:r>
    </w:p>
    <w:p>
      <w:pPr>
        <w:rPr>
          <w:noProof/>
        </w:rPr>
      </w:pPr>
      <w:r>
        <w:rPr>
          <w:noProof/>
        </w:rPr>
        <w:t>med beaktande av fördraget om Europeiska unionens funktionssätt, särskilt artiklarna 78.2, 79.2 och 79.4,</w:t>
      </w:r>
    </w:p>
    <w:p>
      <w:pPr>
        <w:rPr>
          <w:noProof/>
        </w:rPr>
      </w:pPr>
      <w:r>
        <w:rPr>
          <w:noProof/>
        </w:rPr>
        <w:t>med beaktande av Europeiska kommissionens förslag,</w:t>
      </w:r>
    </w:p>
    <w:p>
      <w:pPr>
        <w:rPr>
          <w:noProof/>
        </w:rPr>
      </w:pPr>
      <w:r>
        <w:rPr>
          <w:noProof/>
        </w:rPr>
        <w:t>efter översändande av utkastet till lagstiftningsakt till de nationella parlamenten,</w:t>
      </w:r>
    </w:p>
    <w:p>
      <w:pPr>
        <w:rPr>
          <w:noProof/>
        </w:rPr>
      </w:pPr>
      <w:r>
        <w:rPr>
          <w:noProof/>
        </w:rPr>
        <w:t>i enlighet med det ordinarie lagstiftningsförfarandet, och</w:t>
      </w:r>
    </w:p>
    <w:p>
      <w:pPr>
        <w:rPr>
          <w:noProof/>
        </w:rPr>
      </w:pPr>
      <w:r>
        <w:rPr>
          <w:noProof/>
        </w:rPr>
        <w:t>av följande skäl:</w:t>
      </w:r>
    </w:p>
    <w:p>
      <w:pPr>
        <w:pStyle w:val="ManualConsidrant"/>
        <w:rPr>
          <w:rFonts w:eastAsia="Arial Unicode MS"/>
          <w:noProof/>
        </w:rPr>
      </w:pPr>
      <w:r>
        <w:t>(1)</w:t>
      </w:r>
      <w:r>
        <w:tab/>
      </w:r>
      <w:r>
        <w:rPr>
          <w:noProof/>
        </w:rPr>
        <w:t>Syftet med denna förordning är att möjliggöra förnyade åtaganden för de återstående belopp som anslagits till stöd för genomförandet av rådets beslut (EU) 2015/1523 och (EU) 2015/1601, vilka föreskrivs enligt Europaparlamentets och rådets förordning (EU) nr 516/2014</w:t>
      </w:r>
      <w:r>
        <w:rPr>
          <w:rStyle w:val="FootnoteReference"/>
          <w:noProof/>
        </w:rPr>
        <w:footnoteReference w:id="8"/>
      </w:r>
      <w:r>
        <w:rPr>
          <w:noProof/>
        </w:rPr>
        <w:t>, eller omfördelning av dessa till andra åtgärder inom de nationella programmen i enlighet med unionens prioriteringar och medlemsstaternas behov på området migration och asyl.</w:t>
      </w:r>
    </w:p>
    <w:p>
      <w:pPr>
        <w:pStyle w:val="ManualConsidrant"/>
        <w:rPr>
          <w:rFonts w:eastAsia="Arial Unicode MS"/>
          <w:noProof/>
        </w:rPr>
      </w:pPr>
      <w:r>
        <w:t>(2)</w:t>
      </w:r>
      <w:r>
        <w:tab/>
      </w:r>
      <w:r>
        <w:rPr>
          <w:noProof/>
        </w:rPr>
        <w:t>Kommissionen anslog medel till medlemsstaternas nationella program inom ramen för asyl-, migrations- och integrationsfonden till stöd för genomförandet av rådets beslut (EU) 2015/1523</w:t>
      </w:r>
      <w:r>
        <w:rPr>
          <w:rStyle w:val="FootnoteReference"/>
          <w:noProof/>
        </w:rPr>
        <w:footnoteReference w:id="9"/>
      </w:r>
      <w:r>
        <w:rPr>
          <w:noProof/>
        </w:rPr>
        <w:t xml:space="preserve"> och (EU) 2015/1601</w:t>
      </w:r>
      <w:r>
        <w:rPr>
          <w:rStyle w:val="FootnoteReference"/>
          <w:noProof/>
        </w:rPr>
        <w:footnoteReference w:id="10"/>
      </w:r>
      <w:r>
        <w:rPr>
          <w:noProof/>
        </w:rPr>
        <w:t>. Beslut (EU) 2015/1601 ändrades genom rådets beslut (EU) 2016/1754</w:t>
      </w:r>
      <w:r>
        <w:rPr>
          <w:rStyle w:val="FootnoteReference"/>
          <w:noProof/>
        </w:rPr>
        <w:footnoteReference w:id="11"/>
      </w:r>
      <w:r>
        <w:rPr>
          <w:noProof/>
        </w:rPr>
        <w:t>. Dessa beslut har nu upphört att gälla.</w:t>
      </w:r>
    </w:p>
    <w:p>
      <w:pPr>
        <w:pStyle w:val="ManualConsidrant"/>
        <w:rPr>
          <w:rFonts w:eastAsia="Arial Unicode MS"/>
          <w:noProof/>
        </w:rPr>
      </w:pPr>
      <w:r>
        <w:t>(3)</w:t>
      </w:r>
      <w:r>
        <w:tab/>
      </w:r>
      <w:r>
        <w:rPr>
          <w:noProof/>
        </w:rPr>
        <w:t>Vissa medel som tilldelas genom besluten (EU) 2015/1523 och (EU) 2015/1601 under 2016 förblir tillgängliga i medlemsstaternas nationella program.</w:t>
      </w:r>
    </w:p>
    <w:p>
      <w:pPr>
        <w:pStyle w:val="ManualConsidrant"/>
        <w:rPr>
          <w:noProof/>
        </w:rPr>
      </w:pPr>
      <w:r>
        <w:t>(4)</w:t>
      </w:r>
      <w:r>
        <w:tab/>
      </w:r>
      <w:r>
        <w:rPr>
          <w:noProof/>
        </w:rPr>
        <w:t xml:space="preserve">Medlemsstaterna bör ha möjlighet att använda ovannämnda belopp till att fortsatt genomföra omplaceringar genom förnyade åtaganden av beloppen till samma åtgärd inom de nationella programmen. Dessutom bör det vara möjligt att, om vederbörligen </w:t>
      </w:r>
      <w:r>
        <w:rPr>
          <w:noProof/>
        </w:rPr>
        <w:lastRenderedPageBreak/>
        <w:t xml:space="preserve">motiverat i översynen av medlemsstaternas nationella program, använda dessa medel även för att hantera andra utmaningar inom området migration och asyl i enlighet med förordningen om asyl-, migrations- och integrationsfonden. Medlemsstaterna har fortfarande betydande behov på dessa områden. Förnyade åtaganden för ovannämnda belopp inom samma åtgärd, eller överföring av dem till andra åtgärder inom det nationella programmet bör vara möjligt endast en gång och med kommissionens godkännande. </w:t>
      </w:r>
    </w:p>
    <w:p>
      <w:pPr>
        <w:pStyle w:val="ManualConsidrant"/>
        <w:rPr>
          <w:noProof/>
        </w:rPr>
      </w:pPr>
      <w:r>
        <w:t>(5)</w:t>
      </w:r>
      <w:r>
        <w:tab/>
      </w:r>
      <w:r>
        <w:rPr>
          <w:noProof/>
        </w:rPr>
        <w:t xml:space="preserve">Den målgrupp som är berättigad till omplacering bör utvidgas för att ge medlemsstaterna större handlingsutrymme vid fullgörandet av omplaceringar. </w:t>
      </w:r>
    </w:p>
    <w:p>
      <w:pPr>
        <w:pStyle w:val="ManualConsidrant"/>
        <w:rPr>
          <w:noProof/>
        </w:rPr>
      </w:pPr>
      <w:r>
        <w:t>(6)</w:t>
      </w:r>
      <w:r>
        <w:tab/>
      </w:r>
      <w:r>
        <w:rPr>
          <w:noProof/>
        </w:rPr>
        <w:t>Medlemsstaterna och kommissionen bör få tillräckligt med tid på sig att se över de nationella programmen för att ta hänsyn till relevanta förändringar enligt denna ändringsförordning. Därför bör ett undantag från artikel 50.1 i Europaparlamentets och rådets förordning (EU) nr 514/2014</w:t>
      </w:r>
      <w:r>
        <w:rPr>
          <w:rStyle w:val="FootnoteReference"/>
          <w:noProof/>
        </w:rPr>
        <w:footnoteReference w:id="12"/>
      </w:r>
      <w:r>
        <w:rPr>
          <w:noProof/>
        </w:rPr>
        <w:t xml:space="preserve"> tillämpas på de återstående belopp som anslagits till stöd för genomförandet av rådets beslut (EU) 2015/1523 och (EU) 2015/1601 om en sexmånaders förlängning av tidsfristen för tillbakadragande med avseende på att slutföra förfarandet för översyn av de nationella programmen i enlighet med artikel 14 i förordning (EU) nr 514/2014.</w:t>
      </w:r>
    </w:p>
    <w:p>
      <w:pPr>
        <w:pStyle w:val="ManualConsidrant"/>
        <w:rPr>
          <w:noProof/>
        </w:rPr>
      </w:pPr>
      <w:r>
        <w:t>(7)</w:t>
      </w:r>
      <w:r>
        <w:tab/>
      </w:r>
      <w:r>
        <w:rPr>
          <w:noProof/>
        </w:rPr>
        <w:t xml:space="preserve">Medlemsstaterna bör också ha tillräckligt med tid på sig för att använda de belopp som anslagits på nytt till samma åtgärd eller överförts till andra åtgärder före tillbakadragandet av dessa belopp. När sådana förnyade åtaganden eller överföringar av belopp enligt det nationella programmet godkänns av kommissionen, bör de berörda beloppen anses ha anslagits samma år som översynen av det nationella programmet, varigenom det förnyade åtagandet för eller överföringen av dessa belopp godkänns. </w:t>
      </w:r>
    </w:p>
    <w:p>
      <w:pPr>
        <w:pStyle w:val="ManualConsidrant"/>
        <w:rPr>
          <w:noProof/>
        </w:rPr>
      </w:pPr>
      <w:r>
        <w:t>(8)</w:t>
      </w:r>
      <w:r>
        <w:tab/>
      </w:r>
      <w:r>
        <w:rPr>
          <w:noProof/>
        </w:rPr>
        <w:t>Denna förordning påverkar inte de medel som finns tillgängliga i enlighet med artikel 17 i förordning (EU) nr 516/2014.</w:t>
      </w:r>
    </w:p>
    <w:p>
      <w:pPr>
        <w:pStyle w:val="ManualConsidrant"/>
        <w:rPr>
          <w:noProof/>
        </w:rPr>
      </w:pPr>
      <w:r>
        <w:t>(9)</w:t>
      </w:r>
      <w:r>
        <w:tab/>
      </w:r>
      <w:r>
        <w:rPr>
          <w:noProof/>
        </w:rPr>
        <w:t>[I enlighet med artikel 3 i protokoll nr 21 om Förenade kungarikets och Irlands ställning med avseende på området med frihet, säkerhet och rättvisa, fogat till fördraget om Europeiska unionen och fördraget om Europeiska unionens funktionssätt, har dessa medlemsstater meddelat att de önskar delta i antagandet och tillämpningen av denna förordning.]</w:t>
      </w:r>
    </w:p>
    <w:p>
      <w:pPr>
        <w:pStyle w:val="Text1"/>
        <w:rPr>
          <w:noProof/>
        </w:rPr>
      </w:pPr>
      <w:r>
        <w:rPr>
          <w:i/>
          <w:noProof/>
        </w:rPr>
        <w:t>ELLER</w:t>
      </w:r>
    </w:p>
    <w:p>
      <w:pPr>
        <w:pStyle w:val="ManualConsidrant"/>
        <w:rPr>
          <w:noProof/>
        </w:rPr>
      </w:pPr>
      <w:r>
        <w:t>(10)</w:t>
      </w:r>
      <w:r>
        <w:tab/>
      </w:r>
      <w:r>
        <w:rPr>
          <w:noProof/>
        </w:rPr>
        <w:t>[I enlighet med artiklarna 1 och 2 i protokoll nr 21 om Förenade kungarikets och Irlands ställning med avseende på området med frihet, säkerhet och rättvisa, fogat till fördraget om Europeiska unionen och fördraget om Europeiska unionens funktionssätt, och utan att det påverkar tillämpningen av artikel 4 i det protokollet, deltar dessa medlemsstater inte i antagandet av denna förordning, som inte är bindande för eller tillämplig på dem.]</w:t>
      </w:r>
    </w:p>
    <w:p>
      <w:pPr>
        <w:pStyle w:val="Text1"/>
        <w:rPr>
          <w:i/>
          <w:noProof/>
        </w:rPr>
      </w:pPr>
      <w:r>
        <w:rPr>
          <w:i/>
          <w:noProof/>
        </w:rPr>
        <w:t>ELLER</w:t>
      </w:r>
    </w:p>
    <w:p>
      <w:pPr>
        <w:pStyle w:val="ManualConsidrant"/>
        <w:rPr>
          <w:noProof/>
        </w:rPr>
      </w:pPr>
      <w:r>
        <w:t>(10)</w:t>
      </w:r>
      <w:r>
        <w:tab/>
      </w:r>
      <w:r>
        <w:rPr>
          <w:noProof/>
        </w:rPr>
        <w:t xml:space="preserve">[I enlighet med artiklarna 1 och 2 i protokoll nr 21 om Förenade kungarikets och Irlands ställning med avseende på området med frihet, säkerhet och rättvisa, fogat till fördraget om Europeiska unionen och fördraget om Europeiska unionens funktionssätt, och utan att det påverkar tillämpningen av artikel 4 i det protokollet, deltar Förenade </w:t>
      </w:r>
      <w:r>
        <w:rPr>
          <w:noProof/>
        </w:rPr>
        <w:lastRenderedPageBreak/>
        <w:t>kungariket inte i antagandet av denna förordning, som inte är bindande för eller tillämplig på Förenade kungariket.</w:t>
      </w:r>
    </w:p>
    <w:p>
      <w:pPr>
        <w:pStyle w:val="ManualConsidrant"/>
        <w:rPr>
          <w:noProof/>
        </w:rPr>
      </w:pPr>
      <w:r>
        <w:rPr>
          <w:noProof/>
        </w:rPr>
        <w:t>(10a)</w:t>
      </w:r>
      <w:r>
        <w:rPr>
          <w:noProof/>
        </w:rPr>
        <w:tab/>
        <w:t>I enlighet med artikel 3 i protokoll nr 21 om Förenade kungarikets och Irlands ställning med avseende på området med frihet, säkerhet och rättvisa, fogat till fördraget om Europeiska unionen och fördraget om Europeiska unionens funktionssätt, har Irland (genom en skrivelse av den ...) meddelat att det önskar delta i antagandet och tillämpningen av denna förordning.]</w:t>
      </w:r>
    </w:p>
    <w:p>
      <w:pPr>
        <w:pStyle w:val="Text1"/>
        <w:rPr>
          <w:i/>
          <w:noProof/>
        </w:rPr>
      </w:pPr>
      <w:r>
        <w:rPr>
          <w:i/>
          <w:noProof/>
        </w:rPr>
        <w:t xml:space="preserve">ELLER </w:t>
      </w:r>
    </w:p>
    <w:p>
      <w:pPr>
        <w:pStyle w:val="ManualConsidrant"/>
        <w:rPr>
          <w:noProof/>
        </w:rPr>
      </w:pPr>
      <w:r>
        <w:rPr>
          <w:noProof/>
        </w:rPr>
        <w:t>(10)</w:t>
      </w:r>
      <w:r>
        <w:rPr>
          <w:noProof/>
        </w:rPr>
        <w:tab/>
        <w:t>[I enlighet med artikel 3 i protokoll nr 21 om Förenade kungarikets och Irlands ställning med avseende på området med frihet, säkerhet och rättvisa, fogat till fördraget om Europeiska unionen och fördraget om Europeiska unionens funktionssätt, har Förenade kungariket (, genom en skrivelse av den ...,) meddelat att det önskar delta i antagandet och tillämpningen av detta direktiv.</w:t>
      </w:r>
    </w:p>
    <w:p>
      <w:pPr>
        <w:pStyle w:val="ManualConsidrant"/>
        <w:rPr>
          <w:noProof/>
        </w:rPr>
      </w:pPr>
      <w:r>
        <w:rPr>
          <w:noProof/>
        </w:rPr>
        <w:t>(10a)</w:t>
      </w:r>
      <w:r>
        <w:rPr>
          <w:noProof/>
        </w:rPr>
        <w:tab/>
        <w:t>I enlighet med artiklarna 1 och 2 i protokoll nr 21 om Förenade kungarikets och Irlands ställning med avseende på området med frihet, säkerhet och rättvisa, fogat till fördraget om Europeiska unionen och fördraget om Europeiska unionens funktionssätt, och utan att det påverkar tillämpningen av artikel 4 i det protokollet, deltar Irland inte i antagandet av denna förordning, som inte är bindande för eller tillämplig på Irland.]</w:t>
      </w:r>
    </w:p>
    <w:p>
      <w:pPr>
        <w:pStyle w:val="ManualConsidrant"/>
        <w:rPr>
          <w:noProof/>
        </w:rPr>
      </w:pPr>
      <w:r>
        <w:t>(11)</w:t>
      </w:r>
      <w:r>
        <w:tab/>
      </w:r>
      <w:r>
        <w:rPr>
          <w:noProof/>
        </w:rPr>
        <w:t>I enlighet med artiklarna 1 och 2 i protokoll nr 22 om Danmarks ställning, fogat till fördraget om Europeiska unionen och fördraget om Europeiska unionens funktionssätt, deltar Danmark inte i antagandet av denna förordning, som inte är bindande för eller tillämplig på Danmark.</w:t>
      </w:r>
    </w:p>
    <w:p>
      <w:pPr>
        <w:pStyle w:val="ManualConsidrant"/>
        <w:rPr>
          <w:noProof/>
        </w:rPr>
      </w:pPr>
      <w:r>
        <w:t>(12)</w:t>
      </w:r>
      <w:r>
        <w:tab/>
      </w:r>
      <w:r>
        <w:rPr>
          <w:noProof/>
        </w:rPr>
        <w:t xml:space="preserve">Med avseende på behovet av att undvika tillbakadragande av återstående medel som anslagits till stöd för genomförandet av rådets beslut (EU) 2015/1523 och (EU) 2015/1601 bör denna förordning träda i kraft samma dag som den offentliggörs i </w:t>
      </w:r>
      <w:r>
        <w:rPr>
          <w:i/>
          <w:noProof/>
        </w:rPr>
        <w:t>Europeiska unionens officiella tidning</w:t>
      </w:r>
      <w:r>
        <w:rPr>
          <w:noProof/>
        </w:rPr>
        <w:t>.</w:t>
      </w:r>
    </w:p>
    <w:p>
      <w:pPr>
        <w:pStyle w:val="ManualConsidrant"/>
        <w:rPr>
          <w:noProof/>
        </w:rPr>
      </w:pPr>
      <w:r>
        <w:t>(13)</w:t>
      </w:r>
      <w:r>
        <w:tab/>
      </w:r>
      <w:r>
        <w:rPr>
          <w:noProof/>
        </w:rPr>
        <w:t>Förordning (EU) nr 516/2014 bör därför ändras.</w:t>
      </w:r>
    </w:p>
    <w:p>
      <w:pPr>
        <w:pStyle w:val="Formuledadoption"/>
        <w:ind w:left="720" w:hanging="720"/>
        <w:rPr>
          <w:noProof/>
        </w:rPr>
      </w:pPr>
      <w:r>
        <w:rPr>
          <w:noProof/>
        </w:rPr>
        <w:t>HÄRIGENOM FÖRESKRIVS FÖLJANDE.</w:t>
      </w:r>
    </w:p>
    <w:p>
      <w:pPr>
        <w:pStyle w:val="Titrearticle"/>
        <w:rPr>
          <w:noProof/>
        </w:rPr>
      </w:pPr>
      <w:r>
        <w:rPr>
          <w:noProof/>
        </w:rPr>
        <w:t>Artikel 1</w:t>
      </w:r>
    </w:p>
    <w:p>
      <w:pPr>
        <w:pStyle w:val="Sous-titreobjet"/>
        <w:rPr>
          <w:noProof/>
        </w:rPr>
      </w:pPr>
      <w:r>
        <w:rPr>
          <w:noProof/>
        </w:rPr>
        <w:t>Ändringar av artikel 18 i förordning (EU) nr 516/2014</w:t>
      </w:r>
    </w:p>
    <w:p>
      <w:pPr>
        <w:rPr>
          <w:noProof/>
        </w:rPr>
      </w:pPr>
    </w:p>
    <w:p>
      <w:pPr>
        <w:pStyle w:val="Point0"/>
        <w:spacing w:before="0" w:after="0"/>
        <w:ind w:left="0" w:firstLine="0"/>
        <w:rPr>
          <w:noProof/>
        </w:rPr>
      </w:pPr>
      <w:r>
        <w:rPr>
          <w:noProof/>
        </w:rPr>
        <w:t>Artikel 18 ska ändras på följande sätt:</w:t>
      </w:r>
    </w:p>
    <w:p>
      <w:pPr>
        <w:pStyle w:val="Point0"/>
        <w:spacing w:before="0" w:after="0"/>
        <w:ind w:left="0" w:firstLine="0"/>
        <w:rPr>
          <w:noProof/>
        </w:rPr>
      </w:pPr>
    </w:p>
    <w:p>
      <w:pPr>
        <w:pStyle w:val="Text1"/>
        <w:spacing w:before="0" w:after="0"/>
        <w:ind w:left="0" w:firstLine="720"/>
        <w:outlineLvl w:val="0"/>
        <w:rPr>
          <w:noProof/>
        </w:rPr>
      </w:pPr>
      <w:r>
        <w:rPr>
          <w:noProof/>
        </w:rPr>
        <w:t>’Artikel 18</w:t>
      </w:r>
    </w:p>
    <w:p>
      <w:pPr>
        <w:pStyle w:val="Text1"/>
        <w:spacing w:before="0" w:after="0"/>
        <w:ind w:left="0"/>
        <w:outlineLvl w:val="0"/>
        <w:rPr>
          <w:noProof/>
        </w:rPr>
      </w:pPr>
    </w:p>
    <w:p>
      <w:pPr>
        <w:pStyle w:val="Point1number"/>
        <w:numPr>
          <w:ilvl w:val="2"/>
          <w:numId w:val="19"/>
        </w:numPr>
        <w:rPr>
          <w:noProof/>
        </w:rPr>
      </w:pPr>
      <w:r>
        <w:rPr>
          <w:noProof/>
        </w:rPr>
        <w:t>I punkt 1 ska orden ”person som åtnjuter internationellt skydd” ersättas med ”person som ansöker om eller åtnjuter internationellt skydd”.</w:t>
      </w:r>
    </w:p>
    <w:p>
      <w:pPr>
        <w:pStyle w:val="Point1number"/>
        <w:rPr>
          <w:noProof/>
        </w:rPr>
      </w:pPr>
      <w:r>
        <w:rPr>
          <w:noProof/>
        </w:rPr>
        <w:t xml:space="preserve">Punkt 3 ska ersättas med följande: </w:t>
      </w:r>
    </w:p>
    <w:p>
      <w:pPr>
        <w:pStyle w:val="Point2"/>
        <w:ind w:left="1440" w:hanging="23"/>
        <w:rPr>
          <w:noProof/>
        </w:rPr>
      </w:pPr>
      <w:r>
        <w:rPr>
          <w:noProof/>
        </w:rPr>
        <w:t xml:space="preserve">”3. De ytterligare belopp som avses i punkt 1 i den här artikeln ska tilldelas medlemsstaterna, första gången genom individuella finansieringsbeslut om godkännande av deras nationella program i enlighet med det förfarande som anges i artikel 14 i förordning (EU) nr 514/2014 och senare genom ett finansieringsbeslut som bifogas beslutet om godkännande av deras nationella </w:t>
      </w:r>
      <w:r>
        <w:rPr>
          <w:noProof/>
        </w:rPr>
        <w:lastRenderedPageBreak/>
        <w:t>program. Förnyade åtaganden för dessa belopp inom samma åtgärd inom ramen för det nationella programmet, eller överföringar av dem till andra åtgärder inom ramen för det nationella programmet, ska vara möjligt om detta vederbörligen motiveras i översynen av respektive nationella program. Ett förnyat åtagande eller en överföring av ett belopp får endast göras en gång. Kommissionen ska godkänna det förnyade åtagandet eller överföringen genom en översyn av det nationella programmet.”</w:t>
      </w:r>
    </w:p>
    <w:p>
      <w:pPr>
        <w:pStyle w:val="PointManual1"/>
        <w:spacing w:before="0" w:after="0" w:line="240" w:lineRule="auto"/>
        <w:ind w:left="0" w:firstLine="0"/>
        <w:jc w:val="both"/>
        <w:rPr>
          <w:noProof/>
        </w:rPr>
      </w:pPr>
    </w:p>
    <w:p>
      <w:pPr>
        <w:pStyle w:val="Point1number"/>
        <w:rPr>
          <w:noProof/>
        </w:rPr>
      </w:pPr>
      <w:r>
        <w:rPr>
          <w:noProof/>
        </w:rPr>
        <w:t xml:space="preserve">Följande punkter ska införas: </w:t>
      </w:r>
    </w:p>
    <w:p>
      <w:pPr>
        <w:pStyle w:val="PointManual1"/>
        <w:spacing w:before="0" w:after="0" w:line="240" w:lineRule="auto"/>
        <w:ind w:left="0" w:firstLine="0"/>
        <w:jc w:val="both"/>
        <w:rPr>
          <w:noProof/>
        </w:rPr>
      </w:pPr>
    </w:p>
    <w:p>
      <w:pPr>
        <w:pStyle w:val="Point2"/>
        <w:rPr>
          <w:noProof/>
        </w:rPr>
      </w:pPr>
      <w:r>
        <w:rPr>
          <w:noProof/>
        </w:rPr>
        <w:t>”3a.</w:t>
      </w:r>
      <w:r>
        <w:rPr>
          <w:noProof/>
        </w:rPr>
        <w:tab/>
        <w:t>För att genomföra artikel 50.1 i förordning (EU) nr 514/2014, när belopp från provisoriska åtgärder som införs genom besluten (EU) 2015/1523 och (EU) 2015/1601 anslås på nytt för samma åtgärd inom ramen för det nationella programmet eller överförs till andra åtgärder inom ramen för det nationella programmet i enlighet med punkt 3, ska de berörda beloppen anses ha avsatts samma år som översynen av det nationella programmet, varigenom åtagandet eller överföringen i fråga godkänns.</w:t>
      </w:r>
    </w:p>
    <w:p>
      <w:pPr>
        <w:pStyle w:val="Point2"/>
        <w:rPr>
          <w:noProof/>
        </w:rPr>
      </w:pPr>
      <w:r>
        <w:rPr>
          <w:noProof/>
        </w:rPr>
        <w:t>3b.</w:t>
      </w:r>
      <w:r>
        <w:rPr>
          <w:noProof/>
        </w:rPr>
        <w:tab/>
        <w:t>Genom ett undantag från artikel 50.1 i förordning (EU) nr 514/2014 ska tidsfristen för återtagande av de belopp som avses i punkt 3a förlängas med en sexmånadersperiod.”</w:t>
      </w:r>
    </w:p>
    <w:p>
      <w:pPr>
        <w:pStyle w:val="Point1number"/>
        <w:rPr>
          <w:noProof/>
        </w:rPr>
      </w:pPr>
      <w:r>
        <w:rPr>
          <w:noProof/>
        </w:rPr>
        <w:t xml:space="preserve">I punkt 4 ska ”personer som åtnjuter internationellt skydd” ersättas med orden ”person som ansöker om eller åtnjuter internationellt skydd”. </w:t>
      </w:r>
    </w:p>
    <w:p>
      <w:pPr>
        <w:ind w:left="720" w:hanging="720"/>
        <w:rPr>
          <w:noProof/>
        </w:rPr>
      </w:pPr>
    </w:p>
    <w:p>
      <w:pPr>
        <w:pStyle w:val="Titrearticle"/>
        <w:ind w:left="720" w:hanging="720"/>
        <w:rPr>
          <w:noProof/>
        </w:rPr>
      </w:pPr>
      <w:r>
        <w:rPr>
          <w:noProof/>
        </w:rPr>
        <w:t>Artikel 2</w:t>
      </w:r>
    </w:p>
    <w:p>
      <w:pPr>
        <w:pStyle w:val="Sous-titreobjet"/>
        <w:ind w:left="720" w:hanging="720"/>
        <w:rPr>
          <w:i/>
          <w:noProof/>
        </w:rPr>
      </w:pPr>
      <w:r>
        <w:rPr>
          <w:noProof/>
        </w:rPr>
        <w:t>Ikraftträdande</w:t>
      </w:r>
      <w:r>
        <w:rPr>
          <w:i/>
          <w:noProof/>
        </w:rPr>
        <w:br/>
      </w:r>
    </w:p>
    <w:p>
      <w:pPr>
        <w:rPr>
          <w:noProof/>
        </w:rPr>
      </w:pPr>
      <w:r>
        <w:rPr>
          <w:noProof/>
        </w:rPr>
        <w:t xml:space="preserve">Denna förordning träder i kraft samma dag som den offentliggörs i </w:t>
      </w:r>
      <w:r>
        <w:rPr>
          <w:i/>
          <w:noProof/>
        </w:rPr>
        <w:t>Europeiska unionens officiella tidning</w:t>
      </w:r>
      <w:r>
        <w:rPr>
          <w:noProof/>
        </w:rPr>
        <w:t>.</w:t>
      </w:r>
    </w:p>
    <w:p>
      <w:pPr>
        <w:pStyle w:val="Applicationdirecte"/>
        <w:rPr>
          <w:noProof/>
        </w:rPr>
      </w:pPr>
      <w:r>
        <w:rPr>
          <w:noProof/>
        </w:rPr>
        <w:t>Denna förordning är till alla delar bindande och direkt tillämplig i medlemsstaterna i enlighet med fördragen.</w:t>
      </w:r>
    </w:p>
    <w:p>
      <w:pPr>
        <w:pStyle w:val="Fait"/>
        <w:rPr>
          <w:noProof/>
        </w:rPr>
      </w:pPr>
      <w:r>
        <w:t>Utfärdad i Bryssel den</w:t>
      </w:r>
    </w:p>
    <w:p>
      <w:pPr>
        <w:pStyle w:val="Institutionquisigne"/>
        <w:rPr>
          <w:noProof/>
        </w:rPr>
      </w:pPr>
      <w:r>
        <w:rPr>
          <w:noProof/>
        </w:rPr>
        <w:t>På Europaparlamentets vägnar</w:t>
      </w:r>
      <w:r>
        <w:rPr>
          <w:noProof/>
        </w:rPr>
        <w:tab/>
        <w:t>På rådets vägnar</w:t>
      </w:r>
    </w:p>
    <w:p>
      <w:pPr>
        <w:pStyle w:val="Personnequisigne"/>
        <w:rPr>
          <w:noProof/>
        </w:rPr>
      </w:pPr>
      <w:r>
        <w:rPr>
          <w:noProof/>
        </w:rPr>
        <w:t>Ordförande</w:t>
      </w:r>
      <w:r>
        <w:rPr>
          <w:noProof/>
        </w:rPr>
        <w:tab/>
        <w:t>Ordförande</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Rådets beslut (EU) 2015/1523 och 2015/1601.  </w:t>
      </w:r>
    </w:p>
  </w:footnote>
  <w:footnote w:id="2">
    <w:p>
      <w:pPr>
        <w:pStyle w:val="FootnoteText"/>
      </w:pPr>
      <w:r>
        <w:rPr>
          <w:rStyle w:val="FootnoteReference"/>
        </w:rPr>
        <w:footnoteRef/>
      </w:r>
      <w:r>
        <w:tab/>
        <w:t>Rådets beslut (EU) 2016/1754 om ändring av rådets beslut (EU) 2015/1601.</w:t>
      </w:r>
    </w:p>
  </w:footnote>
  <w:footnote w:id="3">
    <w:p>
      <w:pPr>
        <w:pStyle w:val="FootnoteText"/>
      </w:pPr>
      <w:r>
        <w:rPr>
          <w:rStyle w:val="FootnoteReference"/>
        </w:rPr>
        <w:footnoteRef/>
      </w:r>
      <w:r>
        <w:tab/>
        <w:t xml:space="preserve">Rådets beslut (EU) 2015/1523 och 2015/1601.  </w:t>
      </w:r>
    </w:p>
  </w:footnote>
  <w:footnote w:id="4">
    <w:p>
      <w:pPr>
        <w:pStyle w:val="FootnoteText"/>
      </w:pPr>
      <w:r>
        <w:rPr>
          <w:rStyle w:val="FootnoteReference"/>
        </w:rPr>
        <w:footnoteRef/>
      </w:r>
      <w:r>
        <w:tab/>
        <w:t>Artikel 50 i förordning (EU) nr 514/2014.</w:t>
      </w:r>
    </w:p>
  </w:footnote>
  <w:footnote w:id="5">
    <w:p>
      <w:pPr>
        <w:pStyle w:val="FootnoteText"/>
        <w:tabs>
          <w:tab w:val="left" w:pos="0"/>
        </w:tabs>
      </w:pPr>
      <w:r>
        <w:rPr>
          <w:rStyle w:val="FootnoteReference"/>
        </w:rPr>
        <w:footnoteRef/>
      </w:r>
      <w:r>
        <w:tab/>
        <w:t>Europaparlamentets och rådets förordning (EU) nr 516/2014 av den 16 april 2014 om inrättande av asyl-, migrations- och integrationsfonden, om ändring av rådets beslut 2008/381/EG och om upphävande av Europaparlamentets och rådets beslut nr 573/2007/EG och nr 575/2007/EG och rådets beslut 2007/435/EG (EUT L 150, s. 168).</w:t>
      </w:r>
    </w:p>
  </w:footnote>
  <w:footnote w:id="6">
    <w:p>
      <w:pPr>
        <w:pStyle w:val="FootnoteText"/>
      </w:pPr>
      <w:r>
        <w:rPr>
          <w:rStyle w:val="FootnoteReference"/>
        </w:rPr>
        <w:footnoteRef/>
      </w:r>
      <w:r>
        <w:tab/>
        <w:t xml:space="preserve">Andra relevanta åtgärder skulle kunna vara unionens nyckelprioriteringar på asyl- och migrationsområdet, t.ex. att stärka medlemsstaternas asylsystem, fördjupa integrationen, öka antalet återvändanden, stärka de lagliga vägarna till unionen för att ersätta farliga och irreguljära sådana och öka samarbetet med tredjeländer asyl- och migrationsområdet. </w:t>
      </w:r>
    </w:p>
  </w:footnote>
  <w:footnote w:id="7">
    <w:p>
      <w:pPr>
        <w:pStyle w:val="FootnoteText"/>
        <w:ind w:left="142" w:hanging="142"/>
      </w:pPr>
      <w:r>
        <w:rPr>
          <w:rStyle w:val="FootnoteReference"/>
        </w:rPr>
        <w:footnoteRef/>
      </w:r>
      <w:r>
        <w:tab/>
        <w:t>Europaparlamentets och rådets förordning (EU) nr 514/2014 av den 16 april 2014 om allmänna bestämmelser för asyl-, migrations- och integrationsfonden och om ett instrument för ekonomiskt stöd till polissamarbete, förebyggande och bekämpande av brottslighet samt krishantering (EUT L 150, s. 112).</w:t>
      </w:r>
    </w:p>
  </w:footnote>
  <w:footnote w:id="8">
    <w:p>
      <w:pPr>
        <w:pStyle w:val="FootnoteText"/>
      </w:pPr>
      <w:r>
        <w:rPr>
          <w:rStyle w:val="FootnoteReference"/>
        </w:rPr>
        <w:footnoteRef/>
      </w:r>
      <w:r>
        <w:tab/>
        <w:t>Europaparlamentets och rådets förordning (EU) nr 516/2014 av den 16 april 2014 om inrättande av asyl-, migrations- och integrationsfonden, om ändring av rådets beslut 2008/381/EG och om upphävande av Europaparlamentets och rådets beslut nr 573/2007/EG och nr 575/2007/EG och rådets beslut 2007/435/EG (EUT L 150, 20.5.2014, s. 168).</w:t>
      </w:r>
    </w:p>
  </w:footnote>
  <w:footnote w:id="9">
    <w:p>
      <w:pPr>
        <w:pStyle w:val="FootnoteText"/>
      </w:pPr>
      <w:r>
        <w:rPr>
          <w:rStyle w:val="FootnoteReference"/>
        </w:rPr>
        <w:footnoteRef/>
      </w:r>
      <w:r>
        <w:tab/>
        <w:t>Rådets beslut (EU) 2015/1523 av den 14 september 2015 om fastställande av provisoriska åtgärder på området internationellt skydd till förmån för Italien och Grekland (EUT L 239, 15.9.2015, s. 146).</w:t>
      </w:r>
    </w:p>
  </w:footnote>
  <w:footnote w:id="10">
    <w:p>
      <w:pPr>
        <w:pStyle w:val="FootnoteText"/>
      </w:pPr>
      <w:r>
        <w:rPr>
          <w:rStyle w:val="FootnoteReference"/>
        </w:rPr>
        <w:footnoteRef/>
      </w:r>
      <w:r>
        <w:tab/>
        <w:t xml:space="preserve">Rådets beslut (EU) 2015/1601 av den 22 september 2015 om fastställande av provisoriska åtgärder på området internationellt skydd till förmån för Italien och Grekland (EUT L 248, 24.9.2015, s. 80). </w:t>
      </w:r>
    </w:p>
  </w:footnote>
  <w:footnote w:id="11">
    <w:p>
      <w:pPr>
        <w:pStyle w:val="FootnoteText"/>
      </w:pPr>
      <w:r>
        <w:rPr>
          <w:rStyle w:val="FootnoteReference"/>
        </w:rPr>
        <w:footnoteRef/>
      </w:r>
      <w:r>
        <w:tab/>
        <w:t>Rådets beslut (EU) 2016/1754 av den 29 september 2016 om ändring av beslut (EU) 2015/1601 om fastställande av provisoriska åtgärder på området internationellt skydd till förmån för Italien och Grekland (EUT L 268, 1.10.2016, s. 82).</w:t>
      </w:r>
    </w:p>
  </w:footnote>
  <w:footnote w:id="12">
    <w:p>
      <w:pPr>
        <w:pStyle w:val="FootnoteText"/>
      </w:pPr>
      <w:r>
        <w:rPr>
          <w:rStyle w:val="FootnoteReference"/>
        </w:rPr>
        <w:footnoteRef/>
      </w:r>
      <w:r>
        <w:tab/>
        <w:t>Europaparlamentets och rådets förordning (EU) nr 514/2014 av den 16 april 2014 om allmänna bestämmelser för asyl-, migrations- och integrationsfonden och om ett instrument för ekonomiskt stöd till polissamarbete, förebyggande och bekämpande av brottslighet samt krishantering (EUT L 150, 20.5.2014, s. 112).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8"/>
    <w:lvlOverride w:ilvl="0">
      <w:startOverride w:val="1"/>
    </w:lvlOverride>
  </w:num>
  <w:num w:numId="17">
    <w:abstractNumId w:val="28"/>
    <w:lvlOverride w:ilvl="0">
      <w:startOverride w:val="10"/>
    </w:lvlOverride>
  </w:num>
  <w:num w:numId="18">
    <w:abstractNumId w:val="28"/>
    <w:lvlOverride w:ilvl="0">
      <w:startOverride w:val="10"/>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1"/>
  </w:num>
  <w:num w:numId="22">
    <w:abstractNumId w:val="24"/>
  </w:num>
  <w:num w:numId="23">
    <w:abstractNumId w:val="6"/>
  </w:num>
  <w:num w:numId="24">
    <w:abstractNumId w:val="12"/>
  </w:num>
  <w:num w:numId="25">
    <w:abstractNumId w:val="4"/>
  </w:num>
  <w:num w:numId="26">
    <w:abstractNumId w:val="23"/>
  </w:num>
  <w:num w:numId="27">
    <w:abstractNumId w:val="3"/>
  </w:num>
  <w:num w:numId="28">
    <w:abstractNumId w:val="13"/>
  </w:num>
  <w:num w:numId="29">
    <w:abstractNumId w:val="19"/>
  </w:num>
  <w:num w:numId="30">
    <w:abstractNumId w:val="20"/>
  </w:num>
  <w:num w:numId="31">
    <w:abstractNumId w:val="5"/>
  </w:num>
  <w:num w:numId="32">
    <w:abstractNumId w:val="17"/>
  </w:num>
  <w:num w:numId="33">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0-23 11:24:4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0"/>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4"/>
    <w:docVar w:name="DQCStatus" w:val="Green"/>
    <w:docVar w:name="DQCVersion" w:val="3"/>
    <w:docVar w:name="DQCWithWarnings" w:val="0"/>
    <w:docVar w:name="LW_CORRIGENDUM" w:val="&lt;UNUSED&gt;"/>
    <w:docVar w:name="LW_COVERPAGE_EXISTS" w:val="True"/>
    <w:docVar w:name="LW_COVERPAGE_GUID" w:val="14A68C9C-AB27-47DF-A836-114DF374096E"/>
    <w:docVar w:name="LW_COVERPAGE_TYPE" w:val="1"/>
    <w:docVar w:name="LW_CROSSREFERENCE" w:val="&lt;UNUSED&gt;"/>
    <w:docVar w:name="LW_DocType" w:val="COM"/>
    <w:docVar w:name="LW_EMISSION" w:val="22.10.2018"/>
    <w:docVar w:name="LW_EMISSION_ISODATE" w:val="2018-10-22"/>
    <w:docVar w:name="LW_EMISSION_LOCATION" w:val="BRX"/>
    <w:docVar w:name="LW_EMISSION_PREFIX" w:val="Bryssel den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COD"/>
    <w:docVar w:name="LW_REF.II.NEW.CP_NUMBER" w:val="0371"/>
    <w:docVar w:name="LW_REF.II.NEW.CP_YEAR" w:val="2018"/>
    <w:docVar w:name="LW_REF.INST.NEW" w:val="COM"/>
    <w:docVar w:name="LW_REF.INST.NEW_ADOPTED" w:val="final"/>
    <w:docVar w:name="LW_REF.INST.NEW_TEXT" w:val="(2018) 71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örslag till"/>
    <w:docVar w:name="LW_SUPERTITRE" w:val="&lt;UNUSED&gt;"/>
    <w:docVar w:name="LW_TITRE.OBJ.CP" w:val="om ändring av Europaparlamentets och rådets förordning (EU) nr 516/2014 vad gäller förnyade åtaganden för de återstående belopp som anslagits till stöd för genomförandet av rådets beslut (EU) 2015/1523 och (EU) 2015/1601 eller omfördelning av dessa till andra åtgärder inom ramen för de nationella programmen"/>
    <w:docVar w:name="LW_TYPE.DOC.CP" w:val="EUROPAPARLAMENTETS OCH RÅDETS FÖ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rPr>
  </w:style>
  <w:style w:type="paragraph" w:styleId="ListNumber">
    <w:name w:val="List Number"/>
    <w:basedOn w:val="Normal"/>
    <w:pPr>
      <w:numPr>
        <w:numId w:val="6"/>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
    <w:name w:val="List Dash"/>
    <w:basedOn w:val="Normal"/>
    <w:pPr>
      <w:numPr>
        <w:numId w:val="3"/>
      </w:numPr>
    </w:pPr>
    <w:rPr>
      <w:rFonts w:eastAsia="Times New Roman"/>
    </w:rPr>
  </w:style>
  <w:style w:type="paragraph" w:customStyle="1" w:styleId="ListDash1">
    <w:name w:val="List Dash 1"/>
    <w:basedOn w:val="Normal"/>
    <w:pPr>
      <w:numPr>
        <w:numId w:val="4"/>
      </w:numPr>
    </w:pPr>
    <w:rPr>
      <w:rFonts w:eastAsia="Times New Roman"/>
    </w:rPr>
  </w:style>
  <w:style w:type="paragraph" w:customStyle="1" w:styleId="ListDash2">
    <w:name w:val="List Dash 2"/>
    <w:basedOn w:val="Normal"/>
    <w:pPr>
      <w:numPr>
        <w:numId w:val="5"/>
      </w:numPr>
    </w:pPr>
    <w:rPr>
      <w:rFonts w:eastAsia="Times New Roman"/>
    </w:rPr>
  </w:style>
  <w:style w:type="paragraph" w:customStyle="1" w:styleId="ListNumberLevel2">
    <w:name w:val="List Number (Level 2)"/>
    <w:basedOn w:val="Normal"/>
    <w:pPr>
      <w:numPr>
        <w:ilvl w:val="1"/>
        <w:numId w:val="6"/>
      </w:numPr>
    </w:pPr>
    <w:rPr>
      <w:rFonts w:eastAsia="Times New Roman"/>
    </w:rPr>
  </w:style>
  <w:style w:type="paragraph" w:customStyle="1" w:styleId="ListNumberLevel3">
    <w:name w:val="List Number (Level 3)"/>
    <w:basedOn w:val="Normal"/>
    <w:pPr>
      <w:numPr>
        <w:ilvl w:val="2"/>
        <w:numId w:val="6"/>
      </w:numPr>
    </w:pPr>
    <w:rPr>
      <w:rFonts w:eastAsia="Times New Roman"/>
    </w:rPr>
  </w:style>
  <w:style w:type="paragraph" w:customStyle="1" w:styleId="ListNumberLevel4">
    <w:name w:val="List Number (Level 4)"/>
    <w:basedOn w:val="Normal"/>
    <w:pPr>
      <w:numPr>
        <w:ilvl w:val="3"/>
        <w:numId w:val="6"/>
      </w:numPr>
    </w:pPr>
    <w:rPr>
      <w:rFonts w:eastAsia="Times New Roman"/>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rPr>
  </w:style>
  <w:style w:type="paragraph" w:styleId="ListBullet2">
    <w:name w:val="List Bullet 2"/>
    <w:basedOn w:val="Normal"/>
    <w:pPr>
      <w:numPr>
        <w:numId w:val="8"/>
      </w:numPr>
    </w:pPr>
    <w:rPr>
      <w:rFonts w:eastAsia="Times New Roman"/>
    </w:rPr>
  </w:style>
  <w:style w:type="paragraph" w:styleId="ListBullet3">
    <w:name w:val="List Bullet 3"/>
    <w:basedOn w:val="Normal"/>
    <w:pPr>
      <w:numPr>
        <w:numId w:val="9"/>
      </w:numPr>
    </w:pPr>
    <w:rPr>
      <w:rFonts w:eastAsia="Times New Roman"/>
    </w:rPr>
  </w:style>
  <w:style w:type="paragraph" w:styleId="ListNumber2">
    <w:name w:val="List Number 2"/>
    <w:basedOn w:val="Normal"/>
    <w:pPr>
      <w:numPr>
        <w:numId w:val="13"/>
      </w:numPr>
    </w:pPr>
    <w:rPr>
      <w:rFonts w:eastAsia="Times New Roman"/>
    </w:rPr>
  </w:style>
  <w:style w:type="paragraph" w:styleId="ListNumber3">
    <w:name w:val="List Number 3"/>
    <w:basedOn w:val="Normal"/>
    <w:pPr>
      <w:numPr>
        <w:numId w:val="14"/>
      </w:numPr>
    </w:pPr>
    <w:rPr>
      <w:rFonts w:eastAsia="Times New Roman"/>
    </w:rPr>
  </w:style>
  <w:style w:type="paragraph" w:styleId="ListNumber4">
    <w:name w:val="List Number 4"/>
    <w:basedOn w:val="Normal"/>
    <w:pPr>
      <w:numPr>
        <w:numId w:val="15"/>
      </w:numPr>
    </w:pPr>
    <w:rPr>
      <w:rFonts w:eastAsia="Times New Roman"/>
    </w:rPr>
  </w:style>
  <w:style w:type="paragraph" w:customStyle="1" w:styleId="ListDash3">
    <w:name w:val="List Dash 3"/>
    <w:basedOn w:val="Normal"/>
    <w:pPr>
      <w:numPr>
        <w:numId w:val="10"/>
      </w:numPr>
    </w:pPr>
    <w:rPr>
      <w:rFonts w:eastAsia="Times New Roman"/>
    </w:rPr>
  </w:style>
  <w:style w:type="paragraph" w:customStyle="1" w:styleId="ListDash4">
    <w:name w:val="List Dash 4"/>
    <w:basedOn w:val="Normal"/>
    <w:pPr>
      <w:numPr>
        <w:numId w:val="11"/>
      </w:numPr>
    </w:pPr>
    <w:rPr>
      <w:rFonts w:eastAsia="Times New Roman"/>
    </w:rPr>
  </w:style>
  <w:style w:type="paragraph" w:customStyle="1" w:styleId="ListNumber1">
    <w:name w:val="List Number 1"/>
    <w:basedOn w:val="Text1"/>
    <w:pPr>
      <w:numPr>
        <w:numId w:val="12"/>
      </w:numPr>
    </w:pPr>
    <w:rPr>
      <w:rFonts w:eastAsia="Times New Roman"/>
    </w:rPr>
  </w:style>
  <w:style w:type="paragraph" w:customStyle="1" w:styleId="ListNumber1Level2">
    <w:name w:val="List Number 1 (Level 2)"/>
    <w:basedOn w:val="Text1"/>
    <w:pPr>
      <w:numPr>
        <w:ilvl w:val="1"/>
        <w:numId w:val="12"/>
      </w:numPr>
    </w:pPr>
    <w:rPr>
      <w:rFonts w:eastAsia="Times New Roman"/>
    </w:rPr>
  </w:style>
  <w:style w:type="paragraph" w:customStyle="1" w:styleId="ListNumber2Level2">
    <w:name w:val="List Number 2 (Level 2)"/>
    <w:basedOn w:val="Text2"/>
    <w:pPr>
      <w:numPr>
        <w:ilvl w:val="1"/>
        <w:numId w:val="13"/>
      </w:numPr>
    </w:pPr>
    <w:rPr>
      <w:rFonts w:eastAsia="Times New Roman"/>
    </w:rPr>
  </w:style>
  <w:style w:type="paragraph" w:customStyle="1" w:styleId="ListNumber3Level2">
    <w:name w:val="List Number 3 (Level 2)"/>
    <w:basedOn w:val="Text3"/>
    <w:pPr>
      <w:numPr>
        <w:ilvl w:val="1"/>
        <w:numId w:val="14"/>
      </w:numPr>
    </w:pPr>
    <w:rPr>
      <w:rFonts w:eastAsia="Times New Roman"/>
    </w:rPr>
  </w:style>
  <w:style w:type="paragraph" w:customStyle="1" w:styleId="ListNumber4Level2">
    <w:name w:val="List Number 4 (Level 2)"/>
    <w:basedOn w:val="Text4"/>
    <w:pPr>
      <w:numPr>
        <w:ilvl w:val="1"/>
        <w:numId w:val="15"/>
      </w:numPr>
    </w:pPr>
    <w:rPr>
      <w:rFonts w:eastAsia="Times New Roman"/>
    </w:rPr>
  </w:style>
  <w:style w:type="paragraph" w:customStyle="1" w:styleId="ListNumber1Level3">
    <w:name w:val="List Number 1 (Level 3)"/>
    <w:basedOn w:val="Text1"/>
    <w:pPr>
      <w:numPr>
        <w:ilvl w:val="2"/>
        <w:numId w:val="12"/>
      </w:numPr>
    </w:pPr>
    <w:rPr>
      <w:rFonts w:eastAsia="Times New Roman"/>
    </w:rPr>
  </w:style>
  <w:style w:type="paragraph" w:customStyle="1" w:styleId="ListNumber2Level3">
    <w:name w:val="List Number 2 (Level 3)"/>
    <w:basedOn w:val="Text2"/>
    <w:pPr>
      <w:numPr>
        <w:ilvl w:val="2"/>
        <w:numId w:val="13"/>
      </w:numPr>
    </w:pPr>
    <w:rPr>
      <w:rFonts w:eastAsia="Times New Roman"/>
    </w:rPr>
  </w:style>
  <w:style w:type="paragraph" w:customStyle="1" w:styleId="ListNumber3Level3">
    <w:name w:val="List Number 3 (Level 3)"/>
    <w:basedOn w:val="Text3"/>
    <w:pPr>
      <w:numPr>
        <w:ilvl w:val="2"/>
        <w:numId w:val="14"/>
      </w:numPr>
    </w:pPr>
    <w:rPr>
      <w:rFonts w:eastAsia="Times New Roman"/>
    </w:rPr>
  </w:style>
  <w:style w:type="paragraph" w:customStyle="1" w:styleId="ListNumber4Level3">
    <w:name w:val="List Number 4 (Level 3)"/>
    <w:basedOn w:val="Text4"/>
    <w:pPr>
      <w:numPr>
        <w:ilvl w:val="2"/>
        <w:numId w:val="15"/>
      </w:numPr>
    </w:pPr>
    <w:rPr>
      <w:rFonts w:eastAsia="Times New Roman"/>
    </w:rPr>
  </w:style>
  <w:style w:type="paragraph" w:customStyle="1" w:styleId="ListNumber1Level4">
    <w:name w:val="List Number 1 (Level 4)"/>
    <w:basedOn w:val="Text1"/>
    <w:pPr>
      <w:numPr>
        <w:ilvl w:val="3"/>
        <w:numId w:val="12"/>
      </w:numPr>
    </w:pPr>
    <w:rPr>
      <w:rFonts w:eastAsia="Times New Roman"/>
    </w:rPr>
  </w:style>
  <w:style w:type="paragraph" w:customStyle="1" w:styleId="ListNumber2Level4">
    <w:name w:val="List Number 2 (Level 4)"/>
    <w:basedOn w:val="Text2"/>
    <w:pPr>
      <w:numPr>
        <w:ilvl w:val="3"/>
        <w:numId w:val="13"/>
      </w:numPr>
    </w:pPr>
    <w:rPr>
      <w:rFonts w:eastAsia="Times New Roman"/>
    </w:rPr>
  </w:style>
  <w:style w:type="paragraph" w:customStyle="1" w:styleId="ListNumber3Level4">
    <w:name w:val="List Number 3 (Level 4)"/>
    <w:basedOn w:val="Text3"/>
    <w:pPr>
      <w:numPr>
        <w:ilvl w:val="3"/>
        <w:numId w:val="14"/>
      </w:numPr>
    </w:pPr>
    <w:rPr>
      <w:rFonts w:eastAsia="Times New Roman"/>
    </w:rPr>
  </w:style>
  <w:style w:type="paragraph" w:customStyle="1" w:styleId="ListNumber4Level4">
    <w:name w:val="List Number 4 (Level 4)"/>
    <w:basedOn w:val="Text4"/>
    <w:pPr>
      <w:numPr>
        <w:ilvl w:val="3"/>
        <w:numId w:val="15"/>
      </w:numPr>
    </w:pPr>
    <w:rPr>
      <w:rFonts w:eastAsia="Times New Roman"/>
    </w:rPr>
  </w:style>
  <w:style w:type="paragraph" w:customStyle="1" w:styleId="Annexetitreacte">
    <w:name w:val="Annexe titre (acte)"/>
    <w:basedOn w:val="Normal"/>
    <w:next w:val="Normal"/>
    <w:pPr>
      <w:jc w:val="center"/>
    </w:pPr>
    <w:rPr>
      <w:rFonts w:eastAsia="Times New Roman"/>
      <w:b/>
      <w:u w:val="single"/>
    </w:rPr>
  </w:style>
  <w:style w:type="paragraph" w:customStyle="1" w:styleId="Annexetitreexposglobal">
    <w:name w:val="Annexe titre (exposé global)"/>
    <w:basedOn w:val="Normal"/>
    <w:next w:val="Normal"/>
    <w:pPr>
      <w:jc w:val="center"/>
    </w:pPr>
    <w:rPr>
      <w:rFonts w:eastAsia="Times New Roman"/>
      <w:b/>
      <w:u w:val="single"/>
    </w:rPr>
  </w:style>
  <w:style w:type="paragraph" w:customStyle="1" w:styleId="Annexetitrefichefinacte">
    <w:name w:val="Annexe titre (fiche fin. acte)"/>
    <w:basedOn w:val="Normal"/>
    <w:next w:val="Normal"/>
    <w:pPr>
      <w:jc w:val="center"/>
    </w:pPr>
    <w:rPr>
      <w:rFonts w:eastAsia="Times New Roman"/>
      <w:b/>
      <w:u w:val="single"/>
    </w:rPr>
  </w:style>
  <w:style w:type="paragraph" w:customStyle="1" w:styleId="Annexetitrefichefinglobale">
    <w:name w:val="Annexe titre (fiche fin. globale)"/>
    <w:basedOn w:val="Normal"/>
    <w:next w:val="Normal"/>
    <w:pPr>
      <w:jc w:val="center"/>
    </w:pPr>
    <w:rPr>
      <w:rFonts w:eastAsia="Times New Roman"/>
      <w:b/>
      <w:u w:val="single"/>
    </w:rPr>
  </w:style>
  <w:style w:type="paragraph" w:customStyle="1" w:styleId="Annexetitreglobale">
    <w:name w:val="Annexe titre (globale)"/>
    <w:basedOn w:val="Normal"/>
    <w:next w:val="Normal"/>
    <w:pPr>
      <w:jc w:val="center"/>
    </w:pPr>
    <w:rPr>
      <w:rFonts w:eastAsia="Times New Roman"/>
      <w:b/>
      <w:u w:val="single"/>
    </w:rPr>
  </w:style>
  <w:style w:type="paragraph" w:customStyle="1" w:styleId="Exposdesmotifstitreglobal">
    <w:name w:val="Exposé des motifs titre (global)"/>
    <w:basedOn w:val="Normal"/>
    <w:next w:val="Normal"/>
    <w:pPr>
      <w:jc w:val="center"/>
    </w:pPr>
    <w:rPr>
      <w:rFonts w:eastAsia="Times New Roman"/>
      <w:b/>
      <w:u w:val="single"/>
    </w:rPr>
  </w:style>
  <w:style w:type="paragraph" w:customStyle="1" w:styleId="Langueoriginale">
    <w:name w:val="Langue originale"/>
    <w:basedOn w:val="Normal"/>
    <w:pPr>
      <w:spacing w:before="360"/>
      <w:jc w:val="center"/>
    </w:pPr>
    <w:rPr>
      <w:rFonts w:eastAsia="Times New Roman"/>
      <w:caps/>
    </w:rPr>
  </w:style>
  <w:style w:type="paragraph" w:customStyle="1" w:styleId="Phrasefinale">
    <w:name w:val="Phrase finale"/>
    <w:basedOn w:val="Normal"/>
    <w:next w:val="Normal"/>
    <w:pPr>
      <w:spacing w:before="360" w:after="0"/>
      <w:jc w:val="center"/>
    </w:pPr>
    <w:rPr>
      <w:rFonts w:eastAsia="Times New Roman"/>
    </w:rPr>
  </w:style>
  <w:style w:type="paragraph" w:customStyle="1" w:styleId="Prliminairetitre">
    <w:name w:val="Préliminaire titre"/>
    <w:basedOn w:val="Normal"/>
    <w:next w:val="Normal"/>
    <w:pPr>
      <w:spacing w:before="360" w:after="360"/>
      <w:jc w:val="center"/>
    </w:pPr>
    <w:rPr>
      <w:rFonts w:eastAsia="Times New Roman"/>
      <w:b/>
    </w:rPr>
  </w:style>
  <w:style w:type="paragraph" w:customStyle="1" w:styleId="Prliminairetype">
    <w:name w:val="Préliminaire type"/>
    <w:basedOn w:val="Normal"/>
    <w:next w:val="Normal"/>
    <w:pPr>
      <w:spacing w:before="360" w:after="0"/>
      <w:jc w:val="center"/>
    </w:pPr>
    <w:rPr>
      <w:rFonts w:eastAsia="Times New Roman"/>
      <w:b/>
    </w:rPr>
  </w:style>
  <w:style w:type="paragraph" w:customStyle="1" w:styleId="Rfrenceinstitutionelle">
    <w:name w:val="Référence institutionelle"/>
    <w:basedOn w:val="Normal"/>
    <w:next w:val="Statut"/>
    <w:pPr>
      <w:spacing w:before="0" w:after="240"/>
      <w:ind w:left="5103"/>
      <w:jc w:val="left"/>
    </w:pPr>
    <w:rPr>
      <w:rFonts w:eastAsia="Times New Roman"/>
    </w:rPr>
  </w:style>
  <w:style w:type="paragraph" w:customStyle="1" w:styleId="Rfrenceinterinstitutionelle">
    <w:name w:val="Référence interinstitutionelle"/>
    <w:basedOn w:val="Normal"/>
    <w:next w:val="Statut"/>
    <w:pPr>
      <w:spacing w:before="0" w:after="0"/>
      <w:ind w:left="5103"/>
      <w:jc w:val="left"/>
    </w:pPr>
    <w:rPr>
      <w:rFonts w:eastAsia="Times New Roman"/>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rPr>
  </w:style>
  <w:style w:type="paragraph" w:customStyle="1" w:styleId="Sous-titreobjetprliminaire">
    <w:name w:val="Sous-titre objet (préliminaire)"/>
    <w:basedOn w:val="Normal"/>
    <w:pPr>
      <w:spacing w:before="0" w:after="0"/>
      <w:jc w:val="center"/>
    </w:pPr>
    <w:rPr>
      <w:rFonts w:eastAsia="Times New Roman"/>
      <w:b/>
    </w:rPr>
  </w:style>
  <w:style w:type="paragraph" w:customStyle="1" w:styleId="Statutprliminaire">
    <w:name w:val="Statut (préliminaire)"/>
    <w:basedOn w:val="Normal"/>
    <w:next w:val="Normal"/>
    <w:pPr>
      <w:spacing w:before="360" w:after="0"/>
      <w:jc w:val="center"/>
    </w:pPr>
    <w:rPr>
      <w:rFonts w:eastAsia="Times New Roman"/>
    </w:rPr>
  </w:style>
  <w:style w:type="paragraph" w:customStyle="1" w:styleId="Titreobjetprliminaire">
    <w:name w:val="Titre objet (préliminaire)"/>
    <w:basedOn w:val="Normal"/>
    <w:next w:val="Normal"/>
    <w:pPr>
      <w:spacing w:before="360" w:after="360"/>
      <w:jc w:val="center"/>
    </w:pPr>
    <w:rPr>
      <w:rFonts w:eastAsia="Times New Roman"/>
      <w:b/>
    </w:rPr>
  </w:style>
  <w:style w:type="paragraph" w:customStyle="1" w:styleId="Typedudocumentprliminaire">
    <w:name w:val="Type du document (préliminaire)"/>
    <w:basedOn w:val="Normal"/>
    <w:next w:val="Normal"/>
    <w:pPr>
      <w:spacing w:before="360" w:after="0"/>
      <w:jc w:val="center"/>
    </w:pPr>
    <w:rPr>
      <w:rFonts w:eastAsia="Times New Roman"/>
      <w:b/>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Fichefinancirestandardtitreacte">
    <w:name w:val="Fiche financière (standard) titre (acte)"/>
    <w:basedOn w:val="Normal"/>
    <w:next w:val="Normal"/>
    <w:pPr>
      <w:jc w:val="center"/>
    </w:pPr>
    <w:rPr>
      <w:rFonts w:eastAsia="Times New Roman"/>
      <w:b/>
      <w:u w:val="single"/>
    </w:rPr>
  </w:style>
  <w:style w:type="paragraph" w:customStyle="1" w:styleId="Fichefinanciretravailtitre">
    <w:name w:val="Fiche financière (travail) titre"/>
    <w:basedOn w:val="Normal"/>
    <w:next w:val="Normal"/>
    <w:pPr>
      <w:jc w:val="center"/>
    </w:pPr>
    <w:rPr>
      <w:rFonts w:eastAsia="Times New Roman"/>
      <w:b/>
      <w:u w:val="single"/>
    </w:rPr>
  </w:style>
  <w:style w:type="paragraph" w:customStyle="1" w:styleId="Fichefinanciretravailtitreacte">
    <w:name w:val="Fiche financière (travail) titre (acte)"/>
    <w:basedOn w:val="Normal"/>
    <w:next w:val="Normal"/>
    <w:pPr>
      <w:jc w:val="center"/>
    </w:pPr>
    <w:rPr>
      <w:rFonts w:eastAsia="Times New Roman"/>
      <w:b/>
      <w:u w:val="single"/>
    </w:rPr>
  </w:style>
  <w:style w:type="paragraph" w:customStyle="1" w:styleId="Fichefinancireattributiontitre">
    <w:name w:val="Fiche financière (attribution) titre"/>
    <w:basedOn w:val="Normal"/>
    <w:next w:val="Normal"/>
    <w:pPr>
      <w:jc w:val="center"/>
    </w:pPr>
    <w:rPr>
      <w:rFonts w:eastAsia="Times New Roman"/>
      <w:b/>
      <w:u w:val="single"/>
    </w:rPr>
  </w:style>
  <w:style w:type="paragraph" w:customStyle="1" w:styleId="Fichefinancireattributiontitreacte">
    <w:name w:val="Fiche financière (attribution) titre (acte)"/>
    <w:basedOn w:val="Normal"/>
    <w:next w:val="Normal"/>
    <w:pPr>
      <w:jc w:val="center"/>
    </w:pPr>
    <w:rPr>
      <w:rFonts w:eastAsia="Times New Roman"/>
      <w:b/>
      <w:u w:val="single"/>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sv-SE" w:eastAsia="sv-S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sv-SE" w:eastAsia="sv-SE"/>
    </w:rPr>
  </w:style>
  <w:style w:type="paragraph" w:styleId="BalloonText">
    <w:name w:val="Balloon Text"/>
    <w:basedOn w:val="Normal"/>
    <w:link w:val="BalloonTextCha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sv-SE" w:eastAsia="sv-SE"/>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rPr>
      <w:rFonts w:eastAsia="Times New Roman"/>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sv-S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sv-SE"/>
    </w:rPr>
  </w:style>
  <w:style w:type="paragraph" w:customStyle="1" w:styleId="HeaderCoverPage">
    <w:name w:val="Header Cover Page"/>
    <w:basedOn w:val="Normal"/>
    <w:link w:val="HeaderCoverPageChar"/>
    <w:pPr>
      <w:tabs>
        <w:tab w:val="center" w:pos="4535"/>
        <w:tab w:val="right" w:pos="9071"/>
      </w:tabs>
      <w:spacing w:before="0"/>
    </w:pPr>
    <w:rPr>
      <w:rFonts w:eastAsia="Calibri"/>
    </w:rPr>
  </w:style>
  <w:style w:type="character" w:customStyle="1" w:styleId="HeaderCoverPageChar">
    <w:name w:val="Header Cover Page Char"/>
    <w:link w:val="HeaderCoverPage"/>
    <w:rPr>
      <w:rFonts w:ascii="Times New Roman" w:eastAsia="Calibri" w:hAnsi="Times New Roman" w:cs="Times New Roman"/>
      <w:sz w:val="24"/>
      <w:lang w:val="sv-SE" w:eastAsia="sv-SE"/>
    </w:rPr>
  </w:style>
  <w:style w:type="paragraph" w:customStyle="1" w:styleId="PointManual">
    <w:name w:val="Point Manual"/>
    <w:basedOn w:val="Normal"/>
    <w:pPr>
      <w:spacing w:line="360" w:lineRule="auto"/>
      <w:ind w:left="567" w:hanging="567"/>
      <w:jc w:val="left"/>
    </w:pPr>
  </w:style>
  <w:style w:type="paragraph" w:customStyle="1" w:styleId="PointManual1">
    <w:name w:val="Point Manual (1)"/>
    <w:basedOn w:val="Normal"/>
    <w:pPr>
      <w:spacing w:line="360" w:lineRule="auto"/>
      <w:ind w:left="1134" w:hanging="567"/>
      <w:jc w:val="left"/>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rPr>
  </w:style>
  <w:style w:type="paragraph" w:styleId="ListNumber">
    <w:name w:val="List Number"/>
    <w:basedOn w:val="Normal"/>
    <w:pPr>
      <w:numPr>
        <w:numId w:val="6"/>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
    <w:name w:val="List Dash"/>
    <w:basedOn w:val="Normal"/>
    <w:pPr>
      <w:numPr>
        <w:numId w:val="3"/>
      </w:numPr>
    </w:pPr>
    <w:rPr>
      <w:rFonts w:eastAsia="Times New Roman"/>
    </w:rPr>
  </w:style>
  <w:style w:type="paragraph" w:customStyle="1" w:styleId="ListDash1">
    <w:name w:val="List Dash 1"/>
    <w:basedOn w:val="Normal"/>
    <w:pPr>
      <w:numPr>
        <w:numId w:val="4"/>
      </w:numPr>
    </w:pPr>
    <w:rPr>
      <w:rFonts w:eastAsia="Times New Roman"/>
    </w:rPr>
  </w:style>
  <w:style w:type="paragraph" w:customStyle="1" w:styleId="ListDash2">
    <w:name w:val="List Dash 2"/>
    <w:basedOn w:val="Normal"/>
    <w:pPr>
      <w:numPr>
        <w:numId w:val="5"/>
      </w:numPr>
    </w:pPr>
    <w:rPr>
      <w:rFonts w:eastAsia="Times New Roman"/>
    </w:rPr>
  </w:style>
  <w:style w:type="paragraph" w:customStyle="1" w:styleId="ListNumberLevel2">
    <w:name w:val="List Number (Level 2)"/>
    <w:basedOn w:val="Normal"/>
    <w:pPr>
      <w:numPr>
        <w:ilvl w:val="1"/>
        <w:numId w:val="6"/>
      </w:numPr>
    </w:pPr>
    <w:rPr>
      <w:rFonts w:eastAsia="Times New Roman"/>
    </w:rPr>
  </w:style>
  <w:style w:type="paragraph" w:customStyle="1" w:styleId="ListNumberLevel3">
    <w:name w:val="List Number (Level 3)"/>
    <w:basedOn w:val="Normal"/>
    <w:pPr>
      <w:numPr>
        <w:ilvl w:val="2"/>
        <w:numId w:val="6"/>
      </w:numPr>
    </w:pPr>
    <w:rPr>
      <w:rFonts w:eastAsia="Times New Roman"/>
    </w:rPr>
  </w:style>
  <w:style w:type="paragraph" w:customStyle="1" w:styleId="ListNumberLevel4">
    <w:name w:val="List Number (Level 4)"/>
    <w:basedOn w:val="Normal"/>
    <w:pPr>
      <w:numPr>
        <w:ilvl w:val="3"/>
        <w:numId w:val="6"/>
      </w:numPr>
    </w:pPr>
    <w:rPr>
      <w:rFonts w:eastAsia="Times New Roman"/>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rPr>
  </w:style>
  <w:style w:type="paragraph" w:styleId="ListBullet2">
    <w:name w:val="List Bullet 2"/>
    <w:basedOn w:val="Normal"/>
    <w:pPr>
      <w:numPr>
        <w:numId w:val="8"/>
      </w:numPr>
    </w:pPr>
    <w:rPr>
      <w:rFonts w:eastAsia="Times New Roman"/>
    </w:rPr>
  </w:style>
  <w:style w:type="paragraph" w:styleId="ListBullet3">
    <w:name w:val="List Bullet 3"/>
    <w:basedOn w:val="Normal"/>
    <w:pPr>
      <w:numPr>
        <w:numId w:val="9"/>
      </w:numPr>
    </w:pPr>
    <w:rPr>
      <w:rFonts w:eastAsia="Times New Roman"/>
    </w:rPr>
  </w:style>
  <w:style w:type="paragraph" w:styleId="ListNumber2">
    <w:name w:val="List Number 2"/>
    <w:basedOn w:val="Normal"/>
    <w:pPr>
      <w:numPr>
        <w:numId w:val="13"/>
      </w:numPr>
    </w:pPr>
    <w:rPr>
      <w:rFonts w:eastAsia="Times New Roman"/>
    </w:rPr>
  </w:style>
  <w:style w:type="paragraph" w:styleId="ListNumber3">
    <w:name w:val="List Number 3"/>
    <w:basedOn w:val="Normal"/>
    <w:pPr>
      <w:numPr>
        <w:numId w:val="14"/>
      </w:numPr>
    </w:pPr>
    <w:rPr>
      <w:rFonts w:eastAsia="Times New Roman"/>
    </w:rPr>
  </w:style>
  <w:style w:type="paragraph" w:styleId="ListNumber4">
    <w:name w:val="List Number 4"/>
    <w:basedOn w:val="Normal"/>
    <w:pPr>
      <w:numPr>
        <w:numId w:val="15"/>
      </w:numPr>
    </w:pPr>
    <w:rPr>
      <w:rFonts w:eastAsia="Times New Roman"/>
    </w:rPr>
  </w:style>
  <w:style w:type="paragraph" w:customStyle="1" w:styleId="ListDash3">
    <w:name w:val="List Dash 3"/>
    <w:basedOn w:val="Normal"/>
    <w:pPr>
      <w:numPr>
        <w:numId w:val="10"/>
      </w:numPr>
    </w:pPr>
    <w:rPr>
      <w:rFonts w:eastAsia="Times New Roman"/>
    </w:rPr>
  </w:style>
  <w:style w:type="paragraph" w:customStyle="1" w:styleId="ListDash4">
    <w:name w:val="List Dash 4"/>
    <w:basedOn w:val="Normal"/>
    <w:pPr>
      <w:numPr>
        <w:numId w:val="11"/>
      </w:numPr>
    </w:pPr>
    <w:rPr>
      <w:rFonts w:eastAsia="Times New Roman"/>
    </w:rPr>
  </w:style>
  <w:style w:type="paragraph" w:customStyle="1" w:styleId="ListNumber1">
    <w:name w:val="List Number 1"/>
    <w:basedOn w:val="Text1"/>
    <w:pPr>
      <w:numPr>
        <w:numId w:val="12"/>
      </w:numPr>
    </w:pPr>
    <w:rPr>
      <w:rFonts w:eastAsia="Times New Roman"/>
    </w:rPr>
  </w:style>
  <w:style w:type="paragraph" w:customStyle="1" w:styleId="ListNumber1Level2">
    <w:name w:val="List Number 1 (Level 2)"/>
    <w:basedOn w:val="Text1"/>
    <w:pPr>
      <w:numPr>
        <w:ilvl w:val="1"/>
        <w:numId w:val="12"/>
      </w:numPr>
    </w:pPr>
    <w:rPr>
      <w:rFonts w:eastAsia="Times New Roman"/>
    </w:rPr>
  </w:style>
  <w:style w:type="paragraph" w:customStyle="1" w:styleId="ListNumber2Level2">
    <w:name w:val="List Number 2 (Level 2)"/>
    <w:basedOn w:val="Text2"/>
    <w:pPr>
      <w:numPr>
        <w:ilvl w:val="1"/>
        <w:numId w:val="13"/>
      </w:numPr>
    </w:pPr>
    <w:rPr>
      <w:rFonts w:eastAsia="Times New Roman"/>
    </w:rPr>
  </w:style>
  <w:style w:type="paragraph" w:customStyle="1" w:styleId="ListNumber3Level2">
    <w:name w:val="List Number 3 (Level 2)"/>
    <w:basedOn w:val="Text3"/>
    <w:pPr>
      <w:numPr>
        <w:ilvl w:val="1"/>
        <w:numId w:val="14"/>
      </w:numPr>
    </w:pPr>
    <w:rPr>
      <w:rFonts w:eastAsia="Times New Roman"/>
    </w:rPr>
  </w:style>
  <w:style w:type="paragraph" w:customStyle="1" w:styleId="ListNumber4Level2">
    <w:name w:val="List Number 4 (Level 2)"/>
    <w:basedOn w:val="Text4"/>
    <w:pPr>
      <w:numPr>
        <w:ilvl w:val="1"/>
        <w:numId w:val="15"/>
      </w:numPr>
    </w:pPr>
    <w:rPr>
      <w:rFonts w:eastAsia="Times New Roman"/>
    </w:rPr>
  </w:style>
  <w:style w:type="paragraph" w:customStyle="1" w:styleId="ListNumber1Level3">
    <w:name w:val="List Number 1 (Level 3)"/>
    <w:basedOn w:val="Text1"/>
    <w:pPr>
      <w:numPr>
        <w:ilvl w:val="2"/>
        <w:numId w:val="12"/>
      </w:numPr>
    </w:pPr>
    <w:rPr>
      <w:rFonts w:eastAsia="Times New Roman"/>
    </w:rPr>
  </w:style>
  <w:style w:type="paragraph" w:customStyle="1" w:styleId="ListNumber2Level3">
    <w:name w:val="List Number 2 (Level 3)"/>
    <w:basedOn w:val="Text2"/>
    <w:pPr>
      <w:numPr>
        <w:ilvl w:val="2"/>
        <w:numId w:val="13"/>
      </w:numPr>
    </w:pPr>
    <w:rPr>
      <w:rFonts w:eastAsia="Times New Roman"/>
    </w:rPr>
  </w:style>
  <w:style w:type="paragraph" w:customStyle="1" w:styleId="ListNumber3Level3">
    <w:name w:val="List Number 3 (Level 3)"/>
    <w:basedOn w:val="Text3"/>
    <w:pPr>
      <w:numPr>
        <w:ilvl w:val="2"/>
        <w:numId w:val="14"/>
      </w:numPr>
    </w:pPr>
    <w:rPr>
      <w:rFonts w:eastAsia="Times New Roman"/>
    </w:rPr>
  </w:style>
  <w:style w:type="paragraph" w:customStyle="1" w:styleId="ListNumber4Level3">
    <w:name w:val="List Number 4 (Level 3)"/>
    <w:basedOn w:val="Text4"/>
    <w:pPr>
      <w:numPr>
        <w:ilvl w:val="2"/>
        <w:numId w:val="15"/>
      </w:numPr>
    </w:pPr>
    <w:rPr>
      <w:rFonts w:eastAsia="Times New Roman"/>
    </w:rPr>
  </w:style>
  <w:style w:type="paragraph" w:customStyle="1" w:styleId="ListNumber1Level4">
    <w:name w:val="List Number 1 (Level 4)"/>
    <w:basedOn w:val="Text1"/>
    <w:pPr>
      <w:numPr>
        <w:ilvl w:val="3"/>
        <w:numId w:val="12"/>
      </w:numPr>
    </w:pPr>
    <w:rPr>
      <w:rFonts w:eastAsia="Times New Roman"/>
    </w:rPr>
  </w:style>
  <w:style w:type="paragraph" w:customStyle="1" w:styleId="ListNumber2Level4">
    <w:name w:val="List Number 2 (Level 4)"/>
    <w:basedOn w:val="Text2"/>
    <w:pPr>
      <w:numPr>
        <w:ilvl w:val="3"/>
        <w:numId w:val="13"/>
      </w:numPr>
    </w:pPr>
    <w:rPr>
      <w:rFonts w:eastAsia="Times New Roman"/>
    </w:rPr>
  </w:style>
  <w:style w:type="paragraph" w:customStyle="1" w:styleId="ListNumber3Level4">
    <w:name w:val="List Number 3 (Level 4)"/>
    <w:basedOn w:val="Text3"/>
    <w:pPr>
      <w:numPr>
        <w:ilvl w:val="3"/>
        <w:numId w:val="14"/>
      </w:numPr>
    </w:pPr>
    <w:rPr>
      <w:rFonts w:eastAsia="Times New Roman"/>
    </w:rPr>
  </w:style>
  <w:style w:type="paragraph" w:customStyle="1" w:styleId="ListNumber4Level4">
    <w:name w:val="List Number 4 (Level 4)"/>
    <w:basedOn w:val="Text4"/>
    <w:pPr>
      <w:numPr>
        <w:ilvl w:val="3"/>
        <w:numId w:val="15"/>
      </w:numPr>
    </w:pPr>
    <w:rPr>
      <w:rFonts w:eastAsia="Times New Roman"/>
    </w:rPr>
  </w:style>
  <w:style w:type="paragraph" w:customStyle="1" w:styleId="Annexetitreacte">
    <w:name w:val="Annexe titre (acte)"/>
    <w:basedOn w:val="Normal"/>
    <w:next w:val="Normal"/>
    <w:pPr>
      <w:jc w:val="center"/>
    </w:pPr>
    <w:rPr>
      <w:rFonts w:eastAsia="Times New Roman"/>
      <w:b/>
      <w:u w:val="single"/>
    </w:rPr>
  </w:style>
  <w:style w:type="paragraph" w:customStyle="1" w:styleId="Annexetitreexposglobal">
    <w:name w:val="Annexe titre (exposé global)"/>
    <w:basedOn w:val="Normal"/>
    <w:next w:val="Normal"/>
    <w:pPr>
      <w:jc w:val="center"/>
    </w:pPr>
    <w:rPr>
      <w:rFonts w:eastAsia="Times New Roman"/>
      <w:b/>
      <w:u w:val="single"/>
    </w:rPr>
  </w:style>
  <w:style w:type="paragraph" w:customStyle="1" w:styleId="Annexetitrefichefinacte">
    <w:name w:val="Annexe titre (fiche fin. acte)"/>
    <w:basedOn w:val="Normal"/>
    <w:next w:val="Normal"/>
    <w:pPr>
      <w:jc w:val="center"/>
    </w:pPr>
    <w:rPr>
      <w:rFonts w:eastAsia="Times New Roman"/>
      <w:b/>
      <w:u w:val="single"/>
    </w:rPr>
  </w:style>
  <w:style w:type="paragraph" w:customStyle="1" w:styleId="Annexetitrefichefinglobale">
    <w:name w:val="Annexe titre (fiche fin. globale)"/>
    <w:basedOn w:val="Normal"/>
    <w:next w:val="Normal"/>
    <w:pPr>
      <w:jc w:val="center"/>
    </w:pPr>
    <w:rPr>
      <w:rFonts w:eastAsia="Times New Roman"/>
      <w:b/>
      <w:u w:val="single"/>
    </w:rPr>
  </w:style>
  <w:style w:type="paragraph" w:customStyle="1" w:styleId="Annexetitreglobale">
    <w:name w:val="Annexe titre (globale)"/>
    <w:basedOn w:val="Normal"/>
    <w:next w:val="Normal"/>
    <w:pPr>
      <w:jc w:val="center"/>
    </w:pPr>
    <w:rPr>
      <w:rFonts w:eastAsia="Times New Roman"/>
      <w:b/>
      <w:u w:val="single"/>
    </w:rPr>
  </w:style>
  <w:style w:type="paragraph" w:customStyle="1" w:styleId="Exposdesmotifstitreglobal">
    <w:name w:val="Exposé des motifs titre (global)"/>
    <w:basedOn w:val="Normal"/>
    <w:next w:val="Normal"/>
    <w:pPr>
      <w:jc w:val="center"/>
    </w:pPr>
    <w:rPr>
      <w:rFonts w:eastAsia="Times New Roman"/>
      <w:b/>
      <w:u w:val="single"/>
    </w:rPr>
  </w:style>
  <w:style w:type="paragraph" w:customStyle="1" w:styleId="Langueoriginale">
    <w:name w:val="Langue originale"/>
    <w:basedOn w:val="Normal"/>
    <w:pPr>
      <w:spacing w:before="360"/>
      <w:jc w:val="center"/>
    </w:pPr>
    <w:rPr>
      <w:rFonts w:eastAsia="Times New Roman"/>
      <w:caps/>
    </w:rPr>
  </w:style>
  <w:style w:type="paragraph" w:customStyle="1" w:styleId="Phrasefinale">
    <w:name w:val="Phrase finale"/>
    <w:basedOn w:val="Normal"/>
    <w:next w:val="Normal"/>
    <w:pPr>
      <w:spacing w:before="360" w:after="0"/>
      <w:jc w:val="center"/>
    </w:pPr>
    <w:rPr>
      <w:rFonts w:eastAsia="Times New Roman"/>
    </w:rPr>
  </w:style>
  <w:style w:type="paragraph" w:customStyle="1" w:styleId="Prliminairetitre">
    <w:name w:val="Préliminaire titre"/>
    <w:basedOn w:val="Normal"/>
    <w:next w:val="Normal"/>
    <w:pPr>
      <w:spacing w:before="360" w:after="360"/>
      <w:jc w:val="center"/>
    </w:pPr>
    <w:rPr>
      <w:rFonts w:eastAsia="Times New Roman"/>
      <w:b/>
    </w:rPr>
  </w:style>
  <w:style w:type="paragraph" w:customStyle="1" w:styleId="Prliminairetype">
    <w:name w:val="Préliminaire type"/>
    <w:basedOn w:val="Normal"/>
    <w:next w:val="Normal"/>
    <w:pPr>
      <w:spacing w:before="360" w:after="0"/>
      <w:jc w:val="center"/>
    </w:pPr>
    <w:rPr>
      <w:rFonts w:eastAsia="Times New Roman"/>
      <w:b/>
    </w:rPr>
  </w:style>
  <w:style w:type="paragraph" w:customStyle="1" w:styleId="Rfrenceinstitutionelle">
    <w:name w:val="Référence institutionelle"/>
    <w:basedOn w:val="Normal"/>
    <w:next w:val="Statut"/>
    <w:pPr>
      <w:spacing w:before="0" w:after="240"/>
      <w:ind w:left="5103"/>
      <w:jc w:val="left"/>
    </w:pPr>
    <w:rPr>
      <w:rFonts w:eastAsia="Times New Roman"/>
    </w:rPr>
  </w:style>
  <w:style w:type="paragraph" w:customStyle="1" w:styleId="Rfrenceinterinstitutionelle">
    <w:name w:val="Référence interinstitutionelle"/>
    <w:basedOn w:val="Normal"/>
    <w:next w:val="Statut"/>
    <w:pPr>
      <w:spacing w:before="0" w:after="0"/>
      <w:ind w:left="5103"/>
      <w:jc w:val="left"/>
    </w:pPr>
    <w:rPr>
      <w:rFonts w:eastAsia="Times New Roman"/>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rPr>
  </w:style>
  <w:style w:type="paragraph" w:customStyle="1" w:styleId="Sous-titreobjetprliminaire">
    <w:name w:val="Sous-titre objet (préliminaire)"/>
    <w:basedOn w:val="Normal"/>
    <w:pPr>
      <w:spacing w:before="0" w:after="0"/>
      <w:jc w:val="center"/>
    </w:pPr>
    <w:rPr>
      <w:rFonts w:eastAsia="Times New Roman"/>
      <w:b/>
    </w:rPr>
  </w:style>
  <w:style w:type="paragraph" w:customStyle="1" w:styleId="Statutprliminaire">
    <w:name w:val="Statut (préliminaire)"/>
    <w:basedOn w:val="Normal"/>
    <w:next w:val="Normal"/>
    <w:pPr>
      <w:spacing w:before="360" w:after="0"/>
      <w:jc w:val="center"/>
    </w:pPr>
    <w:rPr>
      <w:rFonts w:eastAsia="Times New Roman"/>
    </w:rPr>
  </w:style>
  <w:style w:type="paragraph" w:customStyle="1" w:styleId="Titreobjetprliminaire">
    <w:name w:val="Titre objet (préliminaire)"/>
    <w:basedOn w:val="Normal"/>
    <w:next w:val="Normal"/>
    <w:pPr>
      <w:spacing w:before="360" w:after="360"/>
      <w:jc w:val="center"/>
    </w:pPr>
    <w:rPr>
      <w:rFonts w:eastAsia="Times New Roman"/>
      <w:b/>
    </w:rPr>
  </w:style>
  <w:style w:type="paragraph" w:customStyle="1" w:styleId="Typedudocumentprliminaire">
    <w:name w:val="Type du document (préliminaire)"/>
    <w:basedOn w:val="Normal"/>
    <w:next w:val="Normal"/>
    <w:pPr>
      <w:spacing w:before="360" w:after="0"/>
      <w:jc w:val="center"/>
    </w:pPr>
    <w:rPr>
      <w:rFonts w:eastAsia="Times New Roman"/>
      <w:b/>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Fichefinancirestandardtitreacte">
    <w:name w:val="Fiche financière (standard) titre (acte)"/>
    <w:basedOn w:val="Normal"/>
    <w:next w:val="Normal"/>
    <w:pPr>
      <w:jc w:val="center"/>
    </w:pPr>
    <w:rPr>
      <w:rFonts w:eastAsia="Times New Roman"/>
      <w:b/>
      <w:u w:val="single"/>
    </w:rPr>
  </w:style>
  <w:style w:type="paragraph" w:customStyle="1" w:styleId="Fichefinanciretravailtitre">
    <w:name w:val="Fiche financière (travail) titre"/>
    <w:basedOn w:val="Normal"/>
    <w:next w:val="Normal"/>
    <w:pPr>
      <w:jc w:val="center"/>
    </w:pPr>
    <w:rPr>
      <w:rFonts w:eastAsia="Times New Roman"/>
      <w:b/>
      <w:u w:val="single"/>
    </w:rPr>
  </w:style>
  <w:style w:type="paragraph" w:customStyle="1" w:styleId="Fichefinanciretravailtitreacte">
    <w:name w:val="Fiche financière (travail) titre (acte)"/>
    <w:basedOn w:val="Normal"/>
    <w:next w:val="Normal"/>
    <w:pPr>
      <w:jc w:val="center"/>
    </w:pPr>
    <w:rPr>
      <w:rFonts w:eastAsia="Times New Roman"/>
      <w:b/>
      <w:u w:val="single"/>
    </w:rPr>
  </w:style>
  <w:style w:type="paragraph" w:customStyle="1" w:styleId="Fichefinancireattributiontitre">
    <w:name w:val="Fiche financière (attribution) titre"/>
    <w:basedOn w:val="Normal"/>
    <w:next w:val="Normal"/>
    <w:pPr>
      <w:jc w:val="center"/>
    </w:pPr>
    <w:rPr>
      <w:rFonts w:eastAsia="Times New Roman"/>
      <w:b/>
      <w:u w:val="single"/>
    </w:rPr>
  </w:style>
  <w:style w:type="paragraph" w:customStyle="1" w:styleId="Fichefinancireattributiontitreacte">
    <w:name w:val="Fiche financière (attribution) titre (acte)"/>
    <w:basedOn w:val="Normal"/>
    <w:next w:val="Normal"/>
    <w:pPr>
      <w:jc w:val="center"/>
    </w:pPr>
    <w:rPr>
      <w:rFonts w:eastAsia="Times New Roman"/>
      <w:b/>
      <w:u w:val="single"/>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sv-SE" w:eastAsia="sv-S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sv-SE" w:eastAsia="sv-SE"/>
    </w:rPr>
  </w:style>
  <w:style w:type="paragraph" w:styleId="BalloonText">
    <w:name w:val="Balloon Text"/>
    <w:basedOn w:val="Normal"/>
    <w:link w:val="BalloonTextCha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sv-SE" w:eastAsia="sv-SE"/>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rPr>
      <w:rFonts w:eastAsia="Times New Roman"/>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sv-S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sv-SE"/>
    </w:rPr>
  </w:style>
  <w:style w:type="paragraph" w:customStyle="1" w:styleId="HeaderCoverPage">
    <w:name w:val="Header Cover Page"/>
    <w:basedOn w:val="Normal"/>
    <w:link w:val="HeaderCoverPageChar"/>
    <w:pPr>
      <w:tabs>
        <w:tab w:val="center" w:pos="4535"/>
        <w:tab w:val="right" w:pos="9071"/>
      </w:tabs>
      <w:spacing w:before="0"/>
    </w:pPr>
    <w:rPr>
      <w:rFonts w:eastAsia="Calibri"/>
    </w:rPr>
  </w:style>
  <w:style w:type="character" w:customStyle="1" w:styleId="HeaderCoverPageChar">
    <w:name w:val="Header Cover Page Char"/>
    <w:link w:val="HeaderCoverPage"/>
    <w:rPr>
      <w:rFonts w:ascii="Times New Roman" w:eastAsia="Calibri" w:hAnsi="Times New Roman" w:cs="Times New Roman"/>
      <w:sz w:val="24"/>
      <w:lang w:val="sv-SE" w:eastAsia="sv-SE"/>
    </w:rPr>
  </w:style>
  <w:style w:type="paragraph" w:customStyle="1" w:styleId="PointManual">
    <w:name w:val="Point Manual"/>
    <w:basedOn w:val="Normal"/>
    <w:pPr>
      <w:spacing w:line="360" w:lineRule="auto"/>
      <w:ind w:left="567" w:hanging="567"/>
      <w:jc w:val="left"/>
    </w:pPr>
  </w:style>
  <w:style w:type="paragraph" w:customStyle="1" w:styleId="PointManual1">
    <w:name w:val="Point Manual (1)"/>
    <w:basedOn w:val="Normal"/>
    <w:pPr>
      <w:spacing w:line="360" w:lineRule="auto"/>
      <w:ind w:left="1134" w:hanging="567"/>
      <w:jc w:val="left"/>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7DB6A-4633-4FD7-B5EB-2B56C6958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9</Pages>
  <Words>2927</Words>
  <Characters>17685</Characters>
  <Application>Microsoft Office Word</Application>
  <DocSecurity>0</DocSecurity>
  <Lines>304</Lines>
  <Paragraphs>101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2018-10-12T09:13:00Z</cp:lastPrinted>
  <dcterms:created xsi:type="dcterms:W3CDTF">2018-10-23T09:04:00Z</dcterms:created>
  <dcterms:modified xsi:type="dcterms:W3CDTF">2018-10-23T09:24:00Z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