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D57A4858-3147-464A-8936-5184462E5133" style="width:450.75pt;height:351.7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EXPOSIÇÃO DE MOTIVOS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CONTEXTO DA PROPOSTA</w:t>
      </w:r>
    </w:p>
    <w:p>
      <w:pPr>
        <w:pStyle w:val="ListBullet"/>
        <w:rPr>
          <w:b/>
          <w:noProof/>
        </w:rPr>
      </w:pPr>
      <w:r>
        <w:rPr>
          <w:b/>
          <w:noProof/>
        </w:rPr>
        <w:t>Justificação e objetivos da proposta</w:t>
      </w:r>
    </w:p>
    <w:p>
      <w:pPr>
        <w:rPr>
          <w:noProof/>
        </w:rPr>
      </w:pPr>
      <w:r>
        <w:rPr>
          <w:noProof/>
        </w:rPr>
        <w:t xml:space="preserve">O Regulamento (UE) n.º 1380/2013 do Parlamento Europeu e do Conselho, relativo à política comum das pescas, que altera os Regulamentos (CE) n.º 1954/2003 e (CE) n.º 1224/2009 do Conselho e revoga os Regulamentos (CE) n.º 2371/2002 e (CE) n.º 639/2004 do Conselho e a Decisão 2004/585/CE do Conselho, procura assegurar que os recursos aquáticos vivos são explorados em condições económicas, ambientais e sociais sustentáveis. A fixação anual de possibilidades de pesca constitui um instrumento importante para esse fim. </w:t>
      </w:r>
    </w:p>
    <w:p>
      <w:pPr>
        <w:rPr>
          <w:noProof/>
        </w:rPr>
      </w:pPr>
      <w:r>
        <w:rPr>
          <w:noProof/>
        </w:rPr>
        <w:t xml:space="preserve">A presente proposta tem por objetivo fixar, para 2019, as possibilidades de pesca dos Estados-Membros relativas às principais unidades populacionais de peixes comerciais do mar Negro. </w:t>
      </w:r>
    </w:p>
    <w:p>
      <w:pPr>
        <w:rPr>
          <w:noProof/>
        </w:rPr>
      </w:pPr>
      <w:r>
        <w:rPr>
          <w:noProof/>
        </w:rPr>
        <w:t xml:space="preserve">Para a espadilha, a proposta baseia-se no parecer científico que preconiza uma quota autónoma, a fim de se manter o nível atual de mortalidade por pesca. </w:t>
      </w:r>
    </w:p>
    <w:p>
      <w:pPr>
        <w:rPr>
          <w:noProof/>
          <w:color w:val="FFFFFF"/>
          <w:sz w:val="12"/>
        </w:rPr>
      </w:pPr>
      <w:r>
        <w:rPr>
          <w:noProof/>
        </w:rPr>
        <w:t>Para o pregado, a proposta transpõe o TAC e as quotas estabelecidos pela Comissão Geral das Pescas do Mediterrâneo (CGPM) na Recomendação CGPM/41/2017/4 relativa a um plano de gestão plurianual para a pesca de pregado na subzona geográfica 29 (mar Negro).</w:t>
      </w:r>
    </w:p>
    <w:p>
      <w:pPr>
        <w:pStyle w:val="ListBullet"/>
        <w:rPr>
          <w:b/>
          <w:noProof/>
        </w:rPr>
      </w:pPr>
      <w:r>
        <w:rPr>
          <w:b/>
          <w:noProof/>
        </w:rPr>
        <w:t>Contexto geral</w:t>
      </w:r>
    </w:p>
    <w:p>
      <w:pPr>
        <w:pStyle w:val="ListBullet"/>
        <w:rPr>
          <w:noProof/>
        </w:rPr>
      </w:pPr>
      <w:r>
        <w:rPr>
          <w:noProof/>
        </w:rPr>
        <w:t xml:space="preserve">A Comunicação da Comissão ao Parlamento Europeu e ao Conselho relativa à Situação da Política Comum das Pescas e à Consulta sobre as Possibilidades de Pesca para 2019 [COM(2018) 452 final de 11.6.2018] expõe o contexto da proposta. </w:t>
      </w:r>
    </w:p>
    <w:p>
      <w:pPr>
        <w:pStyle w:val="ListBullet"/>
        <w:rPr>
          <w:noProof/>
        </w:rPr>
      </w:pPr>
      <w:r>
        <w:rPr>
          <w:noProof/>
        </w:rPr>
        <w:t>As possibilidades de pesca devem ser fixadas em conformidade com o artigo 16.º, n.</w:t>
      </w:r>
      <w:r>
        <w:rPr>
          <w:noProof/>
          <w:vertAlign w:val="superscript"/>
        </w:rPr>
        <w:t>os</w:t>
      </w:r>
      <w:r>
        <w:rPr>
          <w:noProof/>
        </w:rPr>
        <w:t xml:space="preserve"> 1 (que se refere ao princípio da estabilidade relativa) e 4 (que se refere aos objetivos da política comum das pescas e às regras previstas nos planos plurianuais) do Regulamento (UE) n.º 1380/2013 do Parlamento Europeu e do Conselho, relativo à política comum das pescas.</w:t>
      </w:r>
    </w:p>
    <w:p>
      <w:pPr>
        <w:rPr>
          <w:noProof/>
        </w:rPr>
      </w:pPr>
      <w:r>
        <w:rPr>
          <w:noProof/>
        </w:rPr>
        <w:t xml:space="preserve">As unidades populacionais do mar Negro exploradas pela Bulgária e pela Roménia são partilhadas com países terceiros, designadamente a Turquia, a Ucrânia, a Geórgia e a Federação da Rússia. </w:t>
      </w:r>
    </w:p>
    <w:p>
      <w:pPr>
        <w:rPr>
          <w:noProof/>
        </w:rPr>
      </w:pPr>
      <w:r>
        <w:rPr>
          <w:noProof/>
        </w:rPr>
        <w:t>Até 2017, não fora adotada qualquer decisão ao nível regional pela UE e os países terceiros sobre os totais admissíveis de capturas (TAC). Todos os anos, desde 2008, a União Europeia tem vindo a fixar quotas autónomas para as unidades populacionais de pregado e espadilha, a fim de ajudar a garantir a aplicação das regras da política comum das pescas (PCP). Todavia, desde 2018, é aplicado, por um período de dois anos (2018-2019), um TAC regional para as pescarias de pregado, com uma atribuição temporária de quotas; esse TAC foi integrado no regulamento da UE relativo ao mar Negro, em consonância com a Recomendação CGPM/41/2017/4, adotada na 41.</w:t>
      </w:r>
      <w:r>
        <w:rPr>
          <w:noProof/>
          <w:vertAlign w:val="superscript"/>
        </w:rPr>
        <w:t>ª</w:t>
      </w:r>
      <w:r>
        <w:rPr>
          <w:noProof/>
        </w:rPr>
        <w:t xml:space="preserve"> sessão anual da CGPM, em 2017. </w:t>
      </w:r>
    </w:p>
    <w:p>
      <w:pPr>
        <w:rPr>
          <w:noProof/>
        </w:rPr>
      </w:pPr>
      <w:r>
        <w:rPr>
          <w:noProof/>
        </w:rPr>
        <w:t xml:space="preserve">A pesca da </w:t>
      </w:r>
      <w:r>
        <w:rPr>
          <w:b/>
          <w:noProof/>
        </w:rPr>
        <w:t>espadilha</w:t>
      </w:r>
      <w:r>
        <w:rPr>
          <w:noProof/>
        </w:rPr>
        <w:t xml:space="preserve"> tem uma grande importância socioeconómica para os países ribeirinhos do mar Negro. De acordo com os desembarques oficiais declarados, mencionados no relatório de 2017 para o mar Negro do Comité Científico, Técnico e Económico das Pescas (CCTEP), a parte dos países da UE nos desembarques de espadilha no mar Negro representou, em 2014, 4,5 %, em 2015, 3,12 %, e, em 2016, 2,93 % dos desembarques totais. Segundo o relatório da sessão anual de 2017 da CGPM, a exploração da unidade populacional de espadilha no mar Negro é sustentável. Todavia, para garantir a sua sustentabilidade, é necessário manter o nível atual de mortalidade por pesca, a saber, 11 475 toneladas.</w:t>
      </w:r>
    </w:p>
    <w:p>
      <w:pPr>
        <w:rPr>
          <w:noProof/>
        </w:rPr>
      </w:pPr>
      <w:r>
        <w:rPr>
          <w:noProof/>
        </w:rPr>
        <w:t xml:space="preserve">A pesca do </w:t>
      </w:r>
      <w:r>
        <w:rPr>
          <w:b/>
          <w:noProof/>
        </w:rPr>
        <w:t>pregado</w:t>
      </w:r>
      <w:r>
        <w:rPr>
          <w:noProof/>
        </w:rPr>
        <w:t xml:space="preserve"> tem uma grande importância socioeconómica para os países ribeirinhos do mar Negro. A Recomendação CGPM/41/2017/4 estabeleceu um TAC regional para o pregado de 644 toneladas para 2018 e 2019, com uma atribuição temporária de quotas a todos os países ribeirinhos do mar Negro. A recomendação contém uma cláusula de revisão que permite reexaminar o TAC e as quotas em 2018, se os pareceres científicos não confirmarem que a mortalidade por pesca continua a evoluir positivamente. Na 7.ª sessão anual do grupo de trabalho da CGPM sobre o mar Negro, realizada de 11 a 13 de julho de 2018, foi confirmada essa evolução positiva da mortalidade por pesca da unidade populacional de pregado. Para a UE, a quota atribuída é de 114 toneladas em 2018 e em 2019. É conveniente introduzir no presente regulamento o TAC e as quotas para o pregado, a gestão do esforço de pesca e a limitação do número de dias de pesca a 180 por ano, bem como o período de encerramento de dois meses atualmente aplicável, que vai de 15 de abril a 15 de junho. </w:t>
      </w:r>
    </w:p>
    <w:p>
      <w:pPr>
        <w:rPr>
          <w:noProof/>
        </w:rPr>
      </w:pPr>
      <w:r>
        <w:rPr>
          <w:noProof/>
        </w:rPr>
        <w:t>Em conformidade com o artigo 2.º do Regulamento (CE) n.º 847/96 do Conselho</w:t>
      </w:r>
      <w:r>
        <w:rPr>
          <w:rStyle w:val="FootnoteReference"/>
          <w:noProof/>
        </w:rPr>
        <w:footnoteReference w:id="1"/>
      </w:r>
      <w:r>
        <w:rPr>
          <w:noProof/>
        </w:rPr>
        <w:t>, propõe-se que os artigos 3.º e 4.º não se apliquem às unidades populacionais que são objeto do presente regulamento. Todavia, em conformidade com o artigo 15.º, n.º 9, do Regulamento (UE) n.º 1380/2013, a flexibilidade interanual aí prevista aplica-se às unidades populacionais sujeitas à obrigação de desembarcar.</w:t>
      </w:r>
    </w:p>
    <w:p>
      <w:pPr>
        <w:pStyle w:val="ListBullet"/>
        <w:rPr>
          <w:b/>
          <w:noProof/>
        </w:rPr>
      </w:pPr>
      <w:r>
        <w:rPr>
          <w:b/>
          <w:noProof/>
        </w:rPr>
        <w:t>Disposições em vigor no domínio da proposta</w:t>
      </w:r>
    </w:p>
    <w:p>
      <w:pPr>
        <w:rPr>
          <w:noProof/>
        </w:rPr>
      </w:pPr>
      <w:r>
        <w:rPr>
          <w:noProof/>
        </w:rPr>
        <w:t>As possibilidades de pesca e a sua repartição pelos Estados-Membros são estabelecidas por um regulamento anual, sendo o mais recente o Regulamento (UE) 2017/2360 do Conselho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, de 11 de dezembro de 2017, que fixa, para 2018, as possibilidades de pesca aplicáveis no mar Negro a determinadas unidades populacionais de peixes. </w:t>
      </w:r>
    </w:p>
    <w:p>
      <w:pPr>
        <w:rPr>
          <w:noProof/>
        </w:rPr>
      </w:pPr>
      <w:r>
        <w:rPr>
          <w:noProof/>
        </w:rPr>
        <w:t xml:space="preserve">Além das possibilidades de pesca anuais, há que referir as medidas </w:t>
      </w:r>
      <w:r>
        <w:rPr>
          <w:i/>
          <w:noProof/>
        </w:rPr>
        <w:t>infra</w:t>
      </w:r>
      <w:r>
        <w:rPr>
          <w:noProof/>
        </w:rPr>
        <w:t>, relevantes para as pescarias no mar Negro abrangidas pela presente proposta. A proposta da Comissão relativa à transposição das recentes recomendações da CGPM foi adotada em 22 de março de 2018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e segue atualmente os trâmites do processo de codecisão no Parlamento Europeu e no Conselho. É de notar igualmente que são tidos em conta na presente proposta os elementos abaixo referidos, que estão intrinsecamente relacionados com as possibilidades de pesca anuais: </w:t>
      </w:r>
    </w:p>
    <w:p>
      <w:pPr>
        <w:pStyle w:val="Tiret0"/>
        <w:numPr>
          <w:ilvl w:val="0"/>
          <w:numId w:val="38"/>
        </w:numPr>
        <w:rPr>
          <w:noProof/>
        </w:rPr>
      </w:pPr>
      <w:r>
        <w:rPr>
          <w:noProof/>
        </w:rPr>
        <w:t>Os tamanhos mínimos para fins de conservação e as malhagens mínimas para a pesca do pregado no mar Negro são fixados pelo Regulamento (UE) n.º 227/2013 do Parlamento Europeu e do Conselho, de 13 de março de 2013, que altera o Regulamento (CE) n.º 850/98 do Conselho relativo à conservação dos recursos da pesca através de determinadas medidas técnicas de proteção dos juvenis de organismos marinhos e o Regulamento (CE) n.º 1434/98 que especifica as condições em que o arenque pode ser desembarcado para fins diferentes do consumo humano direto</w:t>
      </w:r>
      <w:r>
        <w:rPr>
          <w:rStyle w:val="FootnoteReference"/>
          <w:noProof/>
        </w:rPr>
        <w:footnoteReference w:id="4"/>
      </w:r>
      <w:r>
        <w:rPr>
          <w:noProof/>
        </w:rPr>
        <w:t>.</w:t>
      </w:r>
    </w:p>
    <w:p>
      <w:pPr>
        <w:pStyle w:val="Tiret0"/>
        <w:rPr>
          <w:noProof/>
        </w:rPr>
      </w:pPr>
      <w:r>
        <w:rPr>
          <w:noProof/>
        </w:rPr>
        <w:t>Recomendação CGPM/37/2013/2, que estabelece um conjunto de normas mínimas para a pesca do pregado com redes de emalhar fundeadas e para a conservação de cetáceos no mar Negro, adotada pela Comissão Geral das Pescas do Mediterrâneo na sua 37.</w:t>
      </w:r>
      <w:r>
        <w:rPr>
          <w:noProof/>
          <w:vertAlign w:val="superscript"/>
        </w:rPr>
        <w:t>ª</w:t>
      </w:r>
      <w:r>
        <w:rPr>
          <w:noProof/>
        </w:rPr>
        <w:t xml:space="preserve"> sessão (Split, maio de 2013).</w:t>
      </w:r>
    </w:p>
    <w:p>
      <w:pPr>
        <w:pStyle w:val="Tiret0"/>
        <w:rPr>
          <w:noProof/>
        </w:rPr>
      </w:pPr>
      <w:r>
        <w:rPr>
          <w:noProof/>
        </w:rPr>
        <w:t>Recomendação CGPM/39/2015/3, que estabelece um conjunto de medidas para prevenir, impedir e eliminar a pesca ilegal, não declarada e não regulamentada nas pescarias do pregado no mar Negro, adotada pela Comissão Geral das Pescas do Mediterrâneo (CGPM) na sua 39.</w:t>
      </w:r>
      <w:r>
        <w:rPr>
          <w:noProof/>
          <w:vertAlign w:val="superscript"/>
        </w:rPr>
        <w:t>ª</w:t>
      </w:r>
      <w:r>
        <w:rPr>
          <w:noProof/>
        </w:rPr>
        <w:t xml:space="preserve"> sessão (Milão, maio de 2015).</w:t>
      </w:r>
    </w:p>
    <w:p>
      <w:pPr>
        <w:pStyle w:val="Tiret0"/>
        <w:rPr>
          <w:noProof/>
        </w:rPr>
      </w:pPr>
      <w:r>
        <w:rPr>
          <w:noProof/>
        </w:rPr>
        <w:t>Recomendação CGPM/41/2017/4, relativa a um plano de gestão plurianual para a pesca de pregado no mar Negro (subzona geográfica 29), adotada pela Comissão Geral das Pescas do Mediterrâneo (CGPM) na sua 41.</w:t>
      </w:r>
      <w:r>
        <w:rPr>
          <w:noProof/>
          <w:vertAlign w:val="superscript"/>
        </w:rPr>
        <w:t>ª</w:t>
      </w:r>
      <w:r>
        <w:rPr>
          <w:noProof/>
        </w:rPr>
        <w:t xml:space="preserve"> sessão (Budva, outubro de 2017).</w:t>
      </w:r>
    </w:p>
    <w:p>
      <w:pPr>
        <w:pStyle w:val="Tiret0"/>
        <w:rPr>
          <w:noProof/>
        </w:rPr>
      </w:pPr>
      <w:r>
        <w:rPr>
          <w:noProof/>
        </w:rPr>
        <w:t>Declaração de Bucareste</w:t>
      </w:r>
      <w:r>
        <w:rPr>
          <w:rStyle w:val="FootnoteReference"/>
          <w:noProof/>
        </w:rPr>
        <w:footnoteReference w:id="5"/>
      </w:r>
      <w:r>
        <w:rPr>
          <w:noProof/>
        </w:rPr>
        <w:t>, aprovada no âmbito de uma reunião de alto nível sobre a governação das pescas no mar Negro, organizada pela CGPM em outubro de 2016. A conferência adotou esta declaração, que sublinha a necessidade de abordagens comuns e colaborativas entre os Estados ribeirinhos, para melhorar a sustentabilidade da pesca no mar Negro.</w:t>
      </w:r>
    </w:p>
    <w:p>
      <w:pPr>
        <w:pStyle w:val="Tiret0"/>
        <w:rPr>
          <w:noProof/>
        </w:rPr>
      </w:pPr>
      <w:r>
        <w:rPr>
          <w:noProof/>
        </w:rPr>
        <w:t>Declaração Ministerial de Sófia</w:t>
      </w:r>
      <w:r>
        <w:rPr>
          <w:rStyle w:val="FootnoteReference"/>
          <w:noProof/>
        </w:rPr>
        <w:footnoteReference w:id="6"/>
      </w:r>
      <w:r>
        <w:rPr>
          <w:noProof/>
        </w:rPr>
        <w:t>, assinada em 7 de junho de 2018, no contexto de uma conferência de alto nível sobre a pesca e a aquicultura no mar Negro, que concretiza os compromissos da Declaração de Bucareste e estabelece, para os próximos dez anos, um plano de ação específico no mar Negro tendo em vista a sustentabilidade das pescas.</w:t>
      </w:r>
    </w:p>
    <w:p>
      <w:pPr>
        <w:pStyle w:val="Tiret0"/>
        <w:rPr>
          <w:noProof/>
        </w:rPr>
      </w:pPr>
      <w:r>
        <w:rPr>
          <w:noProof/>
        </w:rPr>
        <w:t>Estratégia Intercalar (2017-2020) da CGPM para a Sustentabilidade das Pescas no Mediterrâneo e no Mar Negro</w:t>
      </w:r>
      <w:r>
        <w:rPr>
          <w:rStyle w:val="FootnoteReference"/>
          <w:noProof/>
        </w:rPr>
        <w:footnoteReference w:id="7"/>
      </w:r>
      <w:r>
        <w:rPr>
          <w:noProof/>
        </w:rPr>
        <w:t>, que adotou, entre outras, um conjunto de medidas para reforçar, ao nível multilateral, a gestão das pescas no mar Negro.</w:t>
      </w:r>
    </w:p>
    <w:p>
      <w:pPr>
        <w:pStyle w:val="Tiret0"/>
        <w:rPr>
          <w:noProof/>
        </w:rPr>
      </w:pPr>
      <w:r>
        <w:rPr>
          <w:noProof/>
        </w:rPr>
        <w:t>A Bulgária e a Roménia apoiaram o projeto-piloto de controlo e inspeção da CGPM para a pesca do pregado estabelecido pela Recomendação CGPM/41/2017/4 e participaram ativamente na sua implementação. O projeto-piloto da CGPM foi elaborado pela Agência Europeia de Controlo das Pescas (EFCA), tendo a Bulgária e a Roménia colaboram ativamente com a EFCA, permitindo a realização da operação conjunta nas suas ZEE respetivas.</w:t>
      </w:r>
    </w:p>
    <w:p>
      <w:pPr>
        <w:pStyle w:val="Tiret0"/>
        <w:rPr>
          <w:noProof/>
        </w:rPr>
      </w:pPr>
      <w:r>
        <w:rPr>
          <w:noProof/>
        </w:rPr>
        <w:t>O cumprimento dos compromissos assumidos pela Bulgária e pela Roménia em dezembro de 2017, no contexto do Regulamento Possibilidades de Pesca de 2018, no sentido de melhorar a gestão do pregado e do galhudo-malhado em 2018 mediante a adoção de uma série de medidas para melhorar o controlo, combater a pesca INN e melhorar a recolha de dados, tem-se revelado eficiente. Tanto a Bulgária como a Roménia aplicaram uma série de ações destinadas a reduzir o risco de não-declaração de capturas mediante o registo de todas as capturas de pregado e de galhudo-malhado (mesmo tratando-se de quantidades inferiores a 50 kg), a aumentar a taxa de inspeções (inspeções no mar, nos mercados e em terra, e inspeções conjuntas) e a apoiar e aperfeiçoar os pareceres científicos ligados às pescarias e os dados biológicos sobre as unidades populacionais do mar Negro.</w:t>
      </w:r>
    </w:p>
    <w:p>
      <w:pPr>
        <w:pStyle w:val="ListBullet"/>
        <w:rPr>
          <w:b/>
          <w:noProof/>
        </w:rPr>
      </w:pPr>
      <w:r>
        <w:rPr>
          <w:b/>
          <w:noProof/>
        </w:rPr>
        <w:t>Coerência com outras políticas e com os objetivos da UE</w:t>
      </w:r>
    </w:p>
    <w:p>
      <w:pPr>
        <w:rPr>
          <w:noProof/>
        </w:rPr>
      </w:pPr>
      <w:r>
        <w:rPr>
          <w:noProof/>
        </w:rPr>
        <w:t>As medidas propostas são conformes com os objetivos e as regras da política comum das pescas, e são coerentes com a política da União em matéria de desenvolvimento sustentável.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RESULTADOS DA CONSULTA DAS PARTES INTERESSADAS E DAS AVALIAÇÕES DE IMPACTO</w:t>
      </w:r>
    </w:p>
    <w:p>
      <w:pPr>
        <w:pStyle w:val="ListBullet"/>
        <w:rPr>
          <w:noProof/>
          <w:color w:val="000000"/>
        </w:rPr>
      </w:pPr>
      <w:r>
        <w:rPr>
          <w:b/>
          <w:noProof/>
          <w:color w:val="000000"/>
        </w:rPr>
        <w:t>Recolha e utilização de competências especializadas</w:t>
      </w:r>
    </w:p>
    <w:p>
      <w:pPr>
        <w:rPr>
          <w:noProof/>
        </w:rPr>
      </w:pPr>
      <w:r>
        <w:rPr>
          <w:noProof/>
        </w:rPr>
        <w:t>As organizações científicas consultadas são o Comité Científico, Técnico e Económico das Pescas (CCTEP) e o grupo de trabalho sobre o mar Negro da Comissão Geral das Pescas do Mediterrâneo (CGPM).</w:t>
      </w:r>
    </w:p>
    <w:p>
      <w:pPr>
        <w:rPr>
          <w:noProof/>
          <w:color w:val="000000"/>
        </w:rPr>
      </w:pPr>
      <w:r>
        <w:rPr>
          <w:noProof/>
          <w:color w:val="000000"/>
        </w:rPr>
        <w:t>A União solicita ao CCTEP um parecer científico sobre o estado das principais unidades populacionais de peixes. O CCTEP emite os seus pareceres em conformidade com o mandato que recebeu da Comissão. No momento em que a presente proposta for debatida no Conselho, todas as unidades populacionais de peixes do mar Negro para as quais são propostas quotas terão sido objeto de pareceres recentes e exatos.</w:t>
      </w:r>
    </w:p>
    <w:p>
      <w:pPr>
        <w:rPr>
          <w:noProof/>
          <w:color w:val="000000"/>
        </w:rPr>
      </w:pPr>
      <w:r>
        <w:rPr>
          <w:noProof/>
          <w:color w:val="000000"/>
        </w:rPr>
        <w:t xml:space="preserve">O objetivo final consiste em trazer as unidades populacionais para níveis que permitam obter o rendimento máximo sustentável (MSY) e em mantê-las aí. Este objetivo foi expressamente incluído no Regulamento de Base da PCP, nomeadamente no artigo 2.º, n.º 2, que estabelece que a taxa do rendimento máximo sustentável «deve ser atingida, se possível, até 2015 e [...] até 2020 para todas as unidades populacionais». Esta disposição reflete o compromisso assumido pela União em relação às conclusões da Cimeira Mundial sobre o Desenvolvimento Sustentável, realizada em Joanesburgo em 2002, e ao respetivo plano de execução. </w:t>
      </w:r>
    </w:p>
    <w:p>
      <w:pPr>
        <w:pStyle w:val="ListBullet"/>
        <w:rPr>
          <w:b/>
          <w:noProof/>
          <w:color w:val="000000"/>
        </w:rPr>
      </w:pPr>
      <w:r>
        <w:rPr>
          <w:b/>
          <w:noProof/>
        </w:rPr>
        <w:t>Consulta das partes interessadas</w:t>
      </w:r>
    </w:p>
    <w:p>
      <w:pPr>
        <w:rPr>
          <w:noProof/>
          <w:color w:val="000000"/>
        </w:rPr>
      </w:pPr>
      <w:r>
        <w:rPr>
          <w:noProof/>
          <w:color w:val="000000"/>
        </w:rPr>
        <w:t>As partes interessadas foram convidadas a pronunciar-se por meio da Comunicação da Comissão ao Parlamento Europeu e ao Conselho relativa à Situação da Política Comum das Pescas e à Consulta sobre as Possibilidades de Pesca para 2019 [COM(2018) 452 final, de 11.6.2018]. A base científica da proposta é fornecida pelo CCTEP. Os relatórios do CCTEP podem ser consultados no sítio da DG MARE.</w:t>
      </w:r>
    </w:p>
    <w:p>
      <w:pPr>
        <w:pStyle w:val="ListBullet"/>
        <w:rPr>
          <w:b/>
          <w:noProof/>
        </w:rPr>
      </w:pPr>
      <w:r>
        <w:rPr>
          <w:b/>
          <w:noProof/>
        </w:rPr>
        <w:t>Avaliação de impacto</w:t>
      </w:r>
    </w:p>
    <w:p>
      <w:pPr>
        <w:rPr>
          <w:noProof/>
          <w:color w:val="000000"/>
        </w:rPr>
      </w:pPr>
      <w:r>
        <w:rPr>
          <w:noProof/>
          <w:color w:val="000000"/>
        </w:rPr>
        <w:t xml:space="preserve">Ao nível da UE, o risco de um impacto negativo na recuperação da população de pregado é limitado pelas medidas adicionais de registo, controlo e acompanhamento introduzidas e aplicadas pela Roménia e pela Bulgária, no respeito dos compromissos assumidos por estes Estados-Membros no contexto da adoção do regulamento que fixa, para 2018, em relação a determinadas unidades populacionais de peixes, as possibilidades de pesca no mar Negro. </w:t>
      </w:r>
    </w:p>
    <w:p>
      <w:pPr>
        <w:rPr>
          <w:noProof/>
          <w:color w:val="000000"/>
        </w:rPr>
      </w:pPr>
      <w:r>
        <w:rPr>
          <w:noProof/>
          <w:color w:val="000000"/>
        </w:rPr>
        <w:t>Ao nível multilateral, o risco de um impacto negativo na recuperação da população é limitado por uma série de novas ações: 1) Declaração Ministerial de Sófia, assinada em 7 de junho, que confirma o compromisso assumido pelos países ribeirinhos do mar Negro de atuar coletivamente com base num plano de ação concreto no sentido da sustentabilidade das pescas no mar Negro; 2) Adoção, na 41.</w:t>
      </w:r>
      <w:r>
        <w:rPr>
          <w:noProof/>
          <w:color w:val="000000"/>
          <w:vertAlign w:val="superscript"/>
        </w:rPr>
        <w:t>ª</w:t>
      </w:r>
      <w:r>
        <w:rPr>
          <w:noProof/>
          <w:color w:val="000000"/>
        </w:rPr>
        <w:t xml:space="preserve"> sessão anual da CGPM e, subsequentemente, execução do plano de ação regional de luta contra a pesca INN; 3) Execução, ao nível multilateral, do projeto BlackSea4Fish da CGPM, com base na cooperação regional no domínio dos dados, inquéritos e apreciações científicas; 4) Adoção, na 41.</w:t>
      </w:r>
      <w:r>
        <w:rPr>
          <w:noProof/>
          <w:color w:val="000000"/>
          <w:vertAlign w:val="superscript"/>
        </w:rPr>
        <w:t>ª</w:t>
      </w:r>
      <w:r>
        <w:rPr>
          <w:noProof/>
          <w:color w:val="000000"/>
        </w:rPr>
        <w:t xml:space="preserve"> sessão anual da CGPM e, subsequentemente, aplicação do plano de gestão plurianual para a pesca de pregado no mar Negro (subzona geográfica 29). O plano fixou um total admissível de capturas multilateral e a sua repartição temporária entre os países ribeirinhos do mar Negro para 2018 e 2019. Um elemento importante desse plano é a execução do projeto-piloto de inspeção e controlo conjuntos no mar. As cláusulas de revisão inseridas no plano permitirão reexaminar o TAC e quotas, se os pareceres científicos não confirmarem a evolução positiva da mortalidade por pesca. O plano prevê ainda um regime permanente de atribuição de TAC e um programa de inspeção permanente para 2020. O plano contribuirá para a eficiência da luta contra as atividades de pesca INN e para a correção da gestão da unidade populacional de pregado ao nível regional. </w:t>
      </w:r>
    </w:p>
    <w:p>
      <w:pPr>
        <w:rPr>
          <w:noProof/>
          <w:color w:val="000000"/>
        </w:rPr>
      </w:pPr>
      <w:r>
        <w:rPr>
          <w:noProof/>
          <w:color w:val="000000"/>
        </w:rPr>
        <w:t>A proposta, além de refletir preocupações a curto prazo, enquadra-se também numa abordagem a longo prazo destinada a reconduzir gradualmente a pesca para níveis sustentáveis.</w:t>
      </w:r>
    </w:p>
    <w:p>
      <w:pPr>
        <w:rPr>
          <w:noProof/>
          <w:color w:val="000000"/>
        </w:rPr>
      </w:pPr>
      <w:r>
        <w:rPr>
          <w:noProof/>
          <w:color w:val="000000"/>
        </w:rPr>
        <w:t>A médio prazo, a abordagem adotada na proposta poderá, portanto, implicar uma redução do esforço de pesca, mas resultará na estabilização ou no aumento das quotas a longo prazo. Prevê-se que, a longo prazo, esta abordagem resulte num impacto reduzido no ambiente, em consequência da adaptação do esforço de pesca e das possibilidades de pesca. Ainda a longo prazo, a sustentabilidade das atividades de pesca aumentará.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ELEMENTOS JURÍDICOS DA PROPOSTA</w:t>
      </w:r>
    </w:p>
    <w:p>
      <w:pPr>
        <w:pStyle w:val="ListBullet"/>
        <w:rPr>
          <w:b/>
          <w:noProof/>
        </w:rPr>
      </w:pPr>
      <w:r>
        <w:rPr>
          <w:b/>
          <w:noProof/>
        </w:rPr>
        <w:t>Síntese da ação proposta</w:t>
      </w:r>
    </w:p>
    <w:p>
      <w:pPr>
        <w:rPr>
          <w:b/>
          <w:noProof/>
        </w:rPr>
      </w:pPr>
      <w:r>
        <w:rPr>
          <w:noProof/>
        </w:rPr>
        <w:t>A proposta prevê as limitações das capturas aplicáveis às pescarias da União no mar Negro, tendo em vista o cumprimento do objetivo da política comum das pescas que consiste em garantir a sustentabilidade das pescarias nos planos biológico, económico e social.</w:t>
      </w:r>
    </w:p>
    <w:p>
      <w:pPr>
        <w:pStyle w:val="ListBullet"/>
        <w:rPr>
          <w:b/>
          <w:noProof/>
        </w:rPr>
      </w:pPr>
      <w:r>
        <w:rPr>
          <w:b/>
          <w:noProof/>
        </w:rPr>
        <w:t>Base jurídica</w:t>
      </w:r>
    </w:p>
    <w:p>
      <w:pPr>
        <w:rPr>
          <w:noProof/>
        </w:rPr>
      </w:pPr>
      <w:r>
        <w:rPr>
          <w:noProof/>
        </w:rPr>
        <w:t>A presente proposta tem por base jurídica o artigo 43.º, n.º 3, do Tratado sobre o Funcionamento da União Europeia.</w:t>
      </w:r>
    </w:p>
    <w:p>
      <w:pPr>
        <w:rPr>
          <w:noProof/>
        </w:rPr>
      </w:pPr>
      <w:r>
        <w:rPr>
          <w:noProof/>
        </w:rPr>
        <w:t>Os deveres da União em matéria de exploração sustentável dos recursos aquáticos vivos decorrem do artigo 2.º do Regulamento de Base da PCP.</w:t>
      </w:r>
    </w:p>
    <w:p>
      <w:pPr>
        <w:pStyle w:val="ListBullet"/>
        <w:rPr>
          <w:b/>
          <w:noProof/>
        </w:rPr>
      </w:pPr>
      <w:r>
        <w:rPr>
          <w:b/>
          <w:noProof/>
        </w:rPr>
        <w:t>Princípio da subsidiariedade</w:t>
      </w:r>
    </w:p>
    <w:p>
      <w:pPr>
        <w:rPr>
          <w:noProof/>
        </w:rPr>
      </w:pPr>
      <w:r>
        <w:rPr>
          <w:noProof/>
        </w:rPr>
        <w:t>A proposta é da competência exclusiva da União, nos termos do artigo 3.º, n.º 1, alínea d), do Tratado sobre o Funcionamento da União Europeia. Por conseguinte, o princípio da subsidiariedade não se aplica.</w:t>
      </w:r>
    </w:p>
    <w:p>
      <w:pPr>
        <w:pStyle w:val="ListBullet"/>
        <w:rPr>
          <w:b/>
          <w:bCs/>
          <w:noProof/>
        </w:rPr>
      </w:pPr>
      <w:r>
        <w:rPr>
          <w:b/>
          <w:noProof/>
        </w:rPr>
        <w:t>Princípio da proporcionalidade</w:t>
      </w:r>
    </w:p>
    <w:p>
      <w:pPr>
        <w:rPr>
          <w:noProof/>
        </w:rPr>
      </w:pPr>
      <w:r>
        <w:rPr>
          <w:noProof/>
        </w:rPr>
        <w:t>A proposta respeita o princípio da proporcionalidade pelo motivo a seguir indicado:</w:t>
      </w:r>
    </w:p>
    <w:p>
      <w:pPr>
        <w:rPr>
          <w:noProof/>
        </w:rPr>
      </w:pPr>
      <w:r>
        <w:rPr>
          <w:noProof/>
        </w:rPr>
        <w:t>a política das pescas é uma política comum. Dispõe o artigo 43.º, n.º 3, do TFUE que cabe ao Conselho adotar as medidas relativas à fixação e à repartição das possibilidades de pesca.</w:t>
      </w:r>
    </w:p>
    <w:p>
      <w:pPr>
        <w:rPr>
          <w:noProof/>
        </w:rPr>
      </w:pPr>
      <w:r>
        <w:rPr>
          <w:noProof/>
        </w:rPr>
        <w:t>A proposta de regulamento do Conselho atribui possibilidades de pesca aos Estados-Membros. Ao abrigo dos artigos 16.º, n.</w:t>
      </w:r>
      <w:r>
        <w:rPr>
          <w:noProof/>
          <w:vertAlign w:val="superscript"/>
        </w:rPr>
        <w:t>os</w:t>
      </w:r>
      <w:r>
        <w:rPr>
          <w:noProof/>
        </w:rPr>
        <w:t xml:space="preserve"> 6 e 7, e 17.º do Regulamento (UE) n.º 1380/2013, os Estados-Membros podem repartir como entenderem estas possibilidades pelos navios que arvoram o seu pavilhão. Os Estados-Membros dispõem, pois, de uma ampla margem de manobra para a escolha do modelo socioeconómico de exploração das possibilidades de pesca que lhes são atribuídas.</w:t>
      </w:r>
    </w:p>
    <w:p>
      <w:pPr>
        <w:rPr>
          <w:noProof/>
        </w:rPr>
      </w:pPr>
      <w:r>
        <w:rPr>
          <w:noProof/>
        </w:rPr>
        <w:t>A proposta não tem novas consequências financeiras para os Estados-Membros. O presente regulamento é adotado pelo Conselho anualmente, estando já disponíveis os meios públicos e privados para a sua aplicação.</w:t>
      </w:r>
    </w:p>
    <w:p>
      <w:pPr>
        <w:rPr>
          <w:noProof/>
        </w:rPr>
      </w:pPr>
    </w:p>
    <w:p>
      <w:pPr>
        <w:pStyle w:val="ListBullet"/>
        <w:rPr>
          <w:b/>
          <w:bCs/>
          <w:noProof/>
        </w:rPr>
      </w:pPr>
      <w:r>
        <w:rPr>
          <w:b/>
          <w:noProof/>
        </w:rPr>
        <w:t>Escolha dos instrumentos</w:t>
      </w:r>
    </w:p>
    <w:p>
      <w:pPr>
        <w:rPr>
          <w:noProof/>
        </w:rPr>
      </w:pPr>
      <w:r>
        <w:rPr>
          <w:noProof/>
        </w:rPr>
        <w:t>Instrumento proposto: regulamento.</w:t>
      </w:r>
    </w:p>
    <w:p>
      <w:pPr>
        <w:rPr>
          <w:noProof/>
        </w:rPr>
      </w:pPr>
      <w:r>
        <w:rPr>
          <w:noProof/>
        </w:rPr>
        <w:t>A presente proposta diz respeito à gestão da pesca, tem por base o artigo 43.º, n.º 3, do TFUE e é conforme com o artigo 16.º do Regulamento (CE) n.º 1380/2013 do Conselho.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INCIDÊNCIA ORÇAMENTAL</w:t>
      </w:r>
    </w:p>
    <w:p>
      <w:pPr>
        <w:rPr>
          <w:noProof/>
        </w:rPr>
      </w:pPr>
      <w:r>
        <w:rPr>
          <w:noProof/>
        </w:rPr>
        <w:t>A presente proposta não tem incidência no orçamento da União.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2018/0365 (NLE)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REGULAMENTO DO CONSELHO</w:t>
      </w:r>
    </w:p>
    <w:p>
      <w:pPr>
        <w:pStyle w:val="Titreobjet"/>
        <w:rPr>
          <w:noProof/>
        </w:rPr>
      </w:pPr>
      <w:r>
        <w:rPr>
          <w:noProof/>
        </w:rPr>
        <w:t>que fixa, para 2019, em relação a determinadas unidades populacionais de peixes e grupos de unidades populacionais de peixes, as possibilidades de pesca no mar Negro</w:t>
      </w:r>
    </w:p>
    <w:p>
      <w:pPr>
        <w:pStyle w:val="Institutionquiagit"/>
        <w:rPr>
          <w:noProof/>
        </w:rPr>
      </w:pPr>
      <w:r>
        <w:rPr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 artigo 43.º, n.º 3,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O artigo 43.º, n.º 3, do Tratado estabelece que o Conselho, sob proposta da Comissão, adota as medidas relativas à fixação e à repartição das possibilidades de pesca.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Por força do Regulamento (UE) n.º 1380/2013 do Parlamento Europeu e do Conselho</w:t>
      </w:r>
      <w:r>
        <w:rPr>
          <w:rStyle w:val="FootnoteReference"/>
          <w:noProof/>
        </w:rPr>
        <w:footnoteReference w:id="8"/>
      </w:r>
      <w:r>
        <w:rPr>
          <w:noProof/>
        </w:rPr>
        <w:t>, as medidas de conservação devem ser adotadas tendo em conta os pareceres científicos, técnicos e económicos disponíveis e, se for caso disso, os relatórios elaborados pelo Comité Científico, Técnico e Económico das Pescas (CCTEP).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 xml:space="preserve">Cabe ao Conselho adotar medidas de fixação e de repartição das possibilidades de pesca por pescaria ou grupo de pescarias no mar Negro, e estabelecer, se for caso disso, certas condições funcionais conexas. O artigo 16.º, n.º 4, do Regulamento (UE) n.º 1380/2013 dispõe que as possibilidades de pesca devem ser fixadas de acordo com os objetivos da política comum das pescas (PCP) estabelecidos no artigo 2.º, n.º 2, do mesmo regulamento. O artigo 16.º, n.º 1, do Regulamento (UE) n.º 1380/2013 dispõe que as possibilidades de pesca devem ser atribuídas aos Estados-Membros de modo a assegurar a cada um deles uma estabilidade relativa das atividades de pesca para cada unidade populacional ou cada pescaria. 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Na sua 41.</w:t>
      </w:r>
      <w:r>
        <w:rPr>
          <w:noProof/>
          <w:vertAlign w:val="superscript"/>
        </w:rPr>
        <w:t>a</w:t>
      </w:r>
      <w:r>
        <w:rPr>
          <w:noProof/>
        </w:rPr>
        <w:t xml:space="preserve"> sessão anual, em 2017, a Comissão Geral das Pescas do Mediterrâneo adotou a Recomendação CGPM/40/2017/4, relativa a </w:t>
      </w:r>
      <w:r>
        <w:rPr>
          <w:noProof/>
          <w:color w:val="000000"/>
        </w:rPr>
        <w:t>um plano de gestão plurianual para a pesca de pregado na subzona geográfica 29 (mar Negro)</w:t>
      </w:r>
      <w:r>
        <w:rPr>
          <w:noProof/>
        </w:rPr>
        <w:t xml:space="preserve">. A recomendação estabelece o total admissível de capturas (TAC) de pregado por um período de dois anos (2018-2019) com uma atribuição temporária de quotas. Essa medida deve ser transposta para o direito da União. 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As possibilidades de pesca devem ser estabelecidas com base nos pareceres científicos disponíveis, tendo em conta os aspetos biológicos e socioeconómicos e assegurando, ao mesmo tempo, um tratamento equitativo dos setores das pescas, bem como à luz das opiniões expressas pelas partes interessadas na consulta.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 xml:space="preserve">Em conformidade com o parecer científico emitido pelo CCTEP, para garantir a sustentabilidade da unidade populacional de espadilha no mar Negro, é necessário manter o nível atual de mortalidade por pesca. 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A utilização das possibilidades de pesca fixadas no presente regulamento rege-se pelo Regulamento (CE) n.º 1224/2009 do Conselho</w:t>
      </w:r>
      <w:r>
        <w:rPr>
          <w:rStyle w:val="FootnoteReference"/>
          <w:noProof/>
        </w:rPr>
        <w:footnoteReference w:id="9"/>
      </w:r>
      <w:r>
        <w:rPr>
          <w:noProof/>
        </w:rPr>
        <w:t>, em particular pelos seus artigos 33.º e 34.º, relativos ao registo das capturas e à notificação dos dados sobre o esgotamento das possibilidades de pesca. É, por conseguinte, necessário especificar os códigos que os Estados-Membros devem utilizar aquando do envio à Comissão de dados sobre os desembarques de unidades populacionais que são objeto do presente regulamento.</w:t>
      </w:r>
    </w:p>
    <w:p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>Em conformidade com o artigo 2.º do Regulamento (CE) n.º 847/96 do Conselho</w:t>
      </w:r>
      <w:r>
        <w:rPr>
          <w:rStyle w:val="FootnoteReference"/>
          <w:noProof/>
        </w:rPr>
        <w:footnoteReference w:id="10"/>
      </w:r>
      <w:r>
        <w:rPr>
          <w:noProof/>
        </w:rPr>
        <w:t>, é necessário identificar as unidades populacionais sujeitas às várias medidas a que se refere esse artigo.</w:t>
      </w:r>
    </w:p>
    <w:p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  <w:t>No respeitante à unidade populacional de pregado, devem ser tomadas medidas de conservação adicionais. A manutenção do período de encerramento de dois meses atualmente aplicável, que vai de 15 de abril a 15 de junho, permitiria continuar a proteger esta unidade populacional durante a época de desova do pregado. A gestão do esforço de pesca e a limitação do número de dias de pesca a 180 por ano teriam um impacto positivo na conservação da unidade populacional de pregado.</w:t>
      </w:r>
    </w:p>
    <w:p>
      <w:pPr>
        <w:pStyle w:val="ManualConsidrant"/>
        <w:rPr>
          <w:noProof/>
        </w:rPr>
      </w:pPr>
      <w:r>
        <w:rPr>
          <w:noProof/>
        </w:rPr>
        <w:t>(10)</w:t>
      </w:r>
      <w:r>
        <w:rPr>
          <w:noProof/>
        </w:rPr>
        <w:tab/>
        <w:t>A fim de evitar a interrupção das atividades de pesca e garantir os meios de subsistência dos pescadores da União, é importante abrir as pescarias em causa no mar Negro em 1 de janeiro de 2019. Por motivo de urgência, o presente regulamento deve entrar em vigor imediatamente após a sua publicação.</w:t>
      </w:r>
    </w:p>
    <w:p>
      <w:pPr>
        <w:pStyle w:val="ManualConsidrant"/>
        <w:rPr>
          <w:noProof/>
        </w:rPr>
      </w:pPr>
      <w:r>
        <w:rPr>
          <w:noProof/>
        </w:rPr>
        <w:t>(11)</w:t>
      </w:r>
      <w:r>
        <w:rPr>
          <w:noProof/>
        </w:rPr>
        <w:tab/>
        <w:t>As possibilidades de pesca devem ser utilizadas no pleno cumprimento da legislação aplicável da União,</w:t>
      </w:r>
    </w:p>
    <w:p>
      <w:pPr>
        <w:pStyle w:val="Formuledadoption"/>
        <w:rPr>
          <w:noProof/>
        </w:rPr>
      </w:pPr>
      <w:r>
        <w:rPr>
          <w:noProof/>
        </w:rPr>
        <w:t>ADOTOU O PRESENTE REGULAMENTO:</w:t>
      </w:r>
    </w:p>
    <w:p>
      <w:pPr>
        <w:pStyle w:val="ChapterTitle"/>
        <w:spacing w:before="360"/>
        <w:rPr>
          <w:noProof/>
        </w:rPr>
      </w:pPr>
      <w:r>
        <w:rPr>
          <w:noProof/>
        </w:rPr>
        <w:t>CAPÍTULO I</w:t>
      </w:r>
      <w:r>
        <w:rPr>
          <w:noProof/>
        </w:rPr>
        <w:br/>
        <w:t>Objeto, âmbito de aplicação e definições</w:t>
      </w:r>
    </w:p>
    <w:p>
      <w:pPr>
        <w:pStyle w:val="Titrearticle"/>
        <w:rPr>
          <w:b/>
          <w:i w:val="0"/>
          <w:noProof/>
          <w:u w:val="single"/>
        </w:rPr>
      </w:pPr>
      <w:r>
        <w:rPr>
          <w:i w:val="0"/>
          <w:noProof/>
        </w:rPr>
        <w:t>Artigo 1.º</w:t>
      </w:r>
      <w:r>
        <w:rPr>
          <w:i w:val="0"/>
          <w:noProof/>
        </w:rPr>
        <w:br/>
      </w:r>
      <w:r>
        <w:rPr>
          <w:b/>
          <w:i w:val="0"/>
          <w:noProof/>
        </w:rPr>
        <w:t>Objeto</w:t>
      </w:r>
    </w:p>
    <w:p>
      <w:pPr>
        <w:rPr>
          <w:noProof/>
        </w:rPr>
      </w:pPr>
      <w:r>
        <w:rPr>
          <w:noProof/>
        </w:rPr>
        <w:t>O presente regulamento fixa, para 2019, as possibilidades de pesca para os navios de pesca da União que arvoram o pavilhão da Bulgária e da Roménia relativamente às seguintes unidades populacionais:</w:t>
      </w:r>
    </w:p>
    <w:p>
      <w:pPr>
        <w:rPr>
          <w:noProof/>
        </w:rPr>
      </w:pPr>
      <w:r>
        <w:rPr>
          <w:noProof/>
        </w:rPr>
        <w:t>a) Espadilha (</w:t>
      </w:r>
      <w:r>
        <w:rPr>
          <w:i/>
          <w:noProof/>
        </w:rPr>
        <w:t>Sprattus sprattus</w:t>
      </w:r>
      <w:r>
        <w:rPr>
          <w:noProof/>
        </w:rPr>
        <w:t>) no mar Negro;</w:t>
      </w:r>
    </w:p>
    <w:p>
      <w:pPr>
        <w:rPr>
          <w:noProof/>
        </w:rPr>
      </w:pPr>
      <w:r>
        <w:rPr>
          <w:noProof/>
        </w:rPr>
        <w:t>b) Pregado (</w:t>
      </w:r>
      <w:r>
        <w:rPr>
          <w:i/>
          <w:noProof/>
        </w:rPr>
        <w:t>Psetta maxima</w:t>
      </w:r>
      <w:r>
        <w:rPr>
          <w:noProof/>
        </w:rPr>
        <w:t>) no mar Negro.</w:t>
      </w:r>
    </w:p>
    <w:p>
      <w:pPr>
        <w:pStyle w:val="Titrearticle"/>
        <w:rPr>
          <w:i w:val="0"/>
          <w:noProof/>
        </w:rPr>
      </w:pPr>
      <w:r>
        <w:rPr>
          <w:i w:val="0"/>
          <w:noProof/>
        </w:rPr>
        <w:t>Artigo 2.º</w:t>
      </w:r>
      <w:r>
        <w:rPr>
          <w:i w:val="0"/>
          <w:noProof/>
        </w:rPr>
        <w:br/>
      </w:r>
      <w:r>
        <w:rPr>
          <w:b/>
          <w:i w:val="0"/>
          <w:noProof/>
        </w:rPr>
        <w:t>Âmbito</w:t>
      </w:r>
    </w:p>
    <w:p>
      <w:pPr>
        <w:rPr>
          <w:noProof/>
        </w:rPr>
      </w:pPr>
      <w:r>
        <w:rPr>
          <w:noProof/>
        </w:rPr>
        <w:t>O presente regulamento aplica-se aos navios de pesca da União que arvoram o pavilhão da Bulgária ou da Roménia e que operam no mar Negro.</w:t>
      </w:r>
    </w:p>
    <w:p>
      <w:pPr>
        <w:pStyle w:val="Titrearticle"/>
        <w:rPr>
          <w:b/>
          <w:i w:val="0"/>
          <w:noProof/>
        </w:rPr>
      </w:pPr>
      <w:r>
        <w:rPr>
          <w:i w:val="0"/>
          <w:noProof/>
        </w:rPr>
        <w:t>Artigo 3.º</w:t>
      </w:r>
      <w:r>
        <w:rPr>
          <w:i w:val="0"/>
          <w:noProof/>
        </w:rPr>
        <w:br/>
      </w:r>
      <w:r>
        <w:rPr>
          <w:b/>
          <w:i w:val="0"/>
          <w:noProof/>
        </w:rPr>
        <w:t>Definições</w:t>
      </w:r>
    </w:p>
    <w:p>
      <w:pPr>
        <w:rPr>
          <w:noProof/>
        </w:rPr>
      </w:pPr>
      <w:r>
        <w:rPr>
          <w:noProof/>
        </w:rPr>
        <w:t>Para efeitos do presente regulamento, entende-se por:</w:t>
      </w:r>
    </w:p>
    <w:p>
      <w:pPr>
        <w:pStyle w:val="Point0letter"/>
        <w:numPr>
          <w:ilvl w:val="1"/>
          <w:numId w:val="39"/>
        </w:numPr>
        <w:rPr>
          <w:noProof/>
        </w:rPr>
      </w:pPr>
      <w:r>
        <w:rPr>
          <w:noProof/>
        </w:rPr>
        <w:t>«CGPM»: a Comissão Geral das Pescas do Mediterrâneo;</w:t>
      </w:r>
    </w:p>
    <w:p>
      <w:pPr>
        <w:pStyle w:val="Point0letter"/>
        <w:rPr>
          <w:noProof/>
        </w:rPr>
      </w:pPr>
      <w:r>
        <w:rPr>
          <w:noProof/>
        </w:rPr>
        <w:t>«Mar Negro»: a subzona geográfica 29 definida no anexo I do Regulamento (UE) n.º 1343/2011 do Parlamento Europeu e do Conselho</w:t>
      </w:r>
      <w:r>
        <w:rPr>
          <w:rStyle w:val="FootnoteReference"/>
          <w:noProof/>
        </w:rPr>
        <w:footnoteReference w:id="11"/>
      </w:r>
      <w:r>
        <w:rPr>
          <w:noProof/>
        </w:rPr>
        <w:t>;</w:t>
      </w:r>
    </w:p>
    <w:p>
      <w:pPr>
        <w:pStyle w:val="Point0letter"/>
        <w:rPr>
          <w:noProof/>
          <w:szCs w:val="24"/>
        </w:rPr>
      </w:pPr>
      <w:r>
        <w:rPr>
          <w:noProof/>
        </w:rPr>
        <w:t>«Navio de pesca»: qualquer navio equipado para a exploração comercial de recursos biológicos marinhos;</w:t>
      </w:r>
    </w:p>
    <w:p>
      <w:pPr>
        <w:pStyle w:val="Point0letter"/>
        <w:rPr>
          <w:noProof/>
        </w:rPr>
      </w:pPr>
      <w:r>
        <w:rPr>
          <w:noProof/>
        </w:rPr>
        <w:t xml:space="preserve">«Navio de pesca da União»: um navio de pesca que arvora o pavilhão de um Estado-Membro e está registado na União; </w:t>
      </w:r>
    </w:p>
    <w:p>
      <w:pPr>
        <w:pStyle w:val="Point0letter"/>
        <w:rPr>
          <w:noProof/>
          <w:szCs w:val="24"/>
        </w:rPr>
      </w:pPr>
      <w:r>
        <w:rPr>
          <w:noProof/>
        </w:rPr>
        <w:t>«Unidade populacional»: um recurso biológico marinho que evolui numa determinada zona de gestão;</w:t>
      </w:r>
    </w:p>
    <w:p>
      <w:pPr>
        <w:pStyle w:val="Point0letter"/>
        <w:rPr>
          <w:noProof/>
        </w:rPr>
      </w:pPr>
      <w:r>
        <w:rPr>
          <w:noProof/>
        </w:rPr>
        <w:t xml:space="preserve">«Total admissível de capturas (TAC)»: as quantidades de cada unidade populacional que podem ser capturadas no período de um ano; </w:t>
      </w:r>
    </w:p>
    <w:p>
      <w:pPr>
        <w:pStyle w:val="Point0letter"/>
        <w:rPr>
          <w:noProof/>
        </w:rPr>
      </w:pPr>
      <w:r>
        <w:rPr>
          <w:noProof/>
        </w:rPr>
        <w:t>«Quota autónoma da União»: um limite de capturas atribuído, de forma autónoma, aos navios de pesca da União, na ausência de um TAC acordado;</w:t>
      </w:r>
    </w:p>
    <w:p>
      <w:pPr>
        <w:pStyle w:val="Point0letter"/>
        <w:rPr>
          <w:noProof/>
        </w:rPr>
      </w:pPr>
      <w:r>
        <w:rPr>
          <w:noProof/>
        </w:rPr>
        <w:t>«Quota analítica»: uma quota autónoma da União para a qual está disponível uma avaliação analítica;</w:t>
      </w:r>
    </w:p>
    <w:p>
      <w:pPr>
        <w:pStyle w:val="Point0letter"/>
        <w:rPr>
          <w:noProof/>
        </w:rPr>
      </w:pPr>
      <w:r>
        <w:rPr>
          <w:noProof/>
        </w:rPr>
        <w:t>«Avaliação analítica»: uma avaliação quantitativa das tendências de uma unidade populacional, baseadas em dados sobre a biologia e a exploração da unidade populacional, cuja qualidade tenha sido considerada, no âmbito de um exame científico, suficiente para servir de base a pareceres científicos sobre as opções quanto a futuras capturas.</w:t>
      </w:r>
    </w:p>
    <w:p>
      <w:pPr>
        <w:pStyle w:val="ChapterTitle"/>
        <w:spacing w:before="360"/>
        <w:rPr>
          <w:noProof/>
        </w:rPr>
      </w:pPr>
      <w:r>
        <w:rPr>
          <w:noProof/>
        </w:rPr>
        <w:t>CAPÍTULO II</w:t>
      </w:r>
      <w:r>
        <w:rPr>
          <w:noProof/>
        </w:rPr>
        <w:br/>
        <w:t xml:space="preserve">Possibilidades de pesca </w:t>
      </w:r>
    </w:p>
    <w:p>
      <w:pPr>
        <w:pStyle w:val="Titrearticle"/>
        <w:rPr>
          <w:b/>
          <w:i w:val="0"/>
          <w:noProof/>
        </w:rPr>
      </w:pPr>
      <w:r>
        <w:rPr>
          <w:i w:val="0"/>
          <w:noProof/>
        </w:rPr>
        <w:t>Artigo 4.º</w:t>
      </w:r>
      <w:r>
        <w:rPr>
          <w:i w:val="0"/>
          <w:noProof/>
        </w:rPr>
        <w:br/>
      </w:r>
      <w:r>
        <w:rPr>
          <w:b/>
          <w:i w:val="0"/>
          <w:noProof/>
        </w:rPr>
        <w:t>Repartição das possibilidades de pesca</w:t>
      </w:r>
    </w:p>
    <w:p>
      <w:pPr>
        <w:shd w:val="clear" w:color="auto" w:fill="FFFFFF"/>
        <w:rPr>
          <w:noProof/>
        </w:rPr>
      </w:pPr>
      <w:r>
        <w:rPr>
          <w:noProof/>
        </w:rPr>
        <w:t xml:space="preserve">1. A quota autónoma da União para a espadilha e a sua repartição entre os Estados-Membros, assim como eventuais condições funcionais conexas, estão fixadas no anexo. </w:t>
      </w:r>
    </w:p>
    <w:p>
      <w:pPr>
        <w:rPr>
          <w:noProof/>
        </w:rPr>
      </w:pPr>
      <w:r>
        <w:rPr>
          <w:noProof/>
        </w:rPr>
        <w:t>2. O TAC para o pregado aplicável nas águas da União aos navios de pesca da União e a sua repartição entre os Estados-Membros, assim como, se for caso disso, as condições conexas no plano funcional, estão fixados no anexo.</w:t>
      </w:r>
    </w:p>
    <w:p>
      <w:pPr>
        <w:rPr>
          <w:noProof/>
        </w:rPr>
      </w:pPr>
    </w:p>
    <w:p>
      <w:pPr>
        <w:pStyle w:val="Titrearticle"/>
        <w:rPr>
          <w:i w:val="0"/>
          <w:noProof/>
        </w:rPr>
      </w:pPr>
      <w:r>
        <w:rPr>
          <w:i w:val="0"/>
          <w:noProof/>
        </w:rPr>
        <w:t>Artigo 5.º</w:t>
      </w:r>
      <w:r>
        <w:rPr>
          <w:i w:val="0"/>
          <w:noProof/>
        </w:rPr>
        <w:br/>
      </w:r>
      <w:r>
        <w:rPr>
          <w:b/>
          <w:i w:val="0"/>
          <w:noProof/>
        </w:rPr>
        <w:t>Disposições especiais sobre a repartição</w:t>
      </w:r>
    </w:p>
    <w:p>
      <w:pPr>
        <w:rPr>
          <w:noProof/>
        </w:rPr>
      </w:pPr>
      <w:r>
        <w:rPr>
          <w:noProof/>
        </w:rPr>
        <w:t>A repartição das possibilidades de pesca pelos Estados-Membros, estabelecida no presente regulamento, não prejudica: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As trocas efetuadas em conformidade com o artigo 16.º, n.º 8, do Regulamento (UE) n.º 1380/2013;</w:t>
      </w:r>
    </w:p>
    <w:p>
      <w:pPr>
        <w:pStyle w:val="Point0"/>
        <w:rPr>
          <w:i/>
          <w:noProof/>
        </w:rPr>
      </w:pPr>
      <w:r>
        <w:rPr>
          <w:noProof/>
        </w:rPr>
        <w:t>b)</w:t>
      </w:r>
      <w:r>
        <w:rPr>
          <w:noProof/>
        </w:rPr>
        <w:tab/>
        <w:t>As deduções e reatribuições efetuadas em conformidade com o artigo 37.º do Regulamento (CE) n.º 1224/2009 do Conselho;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As deduções efetuadas em conformidade com os artigos 105.º e 107.º do Regulamento (CE) n.º 1224/2009.</w:t>
      </w:r>
    </w:p>
    <w:p>
      <w:pPr>
        <w:pStyle w:val="Point0"/>
        <w:rPr>
          <w:noProof/>
        </w:rPr>
      </w:pPr>
    </w:p>
    <w:p>
      <w:pPr>
        <w:spacing w:before="0" w:after="0"/>
        <w:jc w:val="center"/>
        <w:rPr>
          <w:noProof/>
        </w:rPr>
      </w:pPr>
    </w:p>
    <w:p>
      <w:pPr>
        <w:spacing w:before="0" w:after="0"/>
        <w:jc w:val="center"/>
        <w:rPr>
          <w:noProof/>
        </w:rPr>
      </w:pPr>
      <w:r>
        <w:rPr>
          <w:noProof/>
        </w:rPr>
        <w:t>Artigo 6.º</w:t>
      </w:r>
    </w:p>
    <w:p>
      <w:pPr>
        <w:spacing w:before="0" w:after="0"/>
        <w:jc w:val="center"/>
        <w:rPr>
          <w:b/>
          <w:noProof/>
        </w:rPr>
      </w:pPr>
      <w:r>
        <w:rPr>
          <w:b/>
          <w:noProof/>
        </w:rPr>
        <w:t>Gestão do esforço de pesca do pregado</w:t>
      </w:r>
    </w:p>
    <w:p>
      <w:pPr>
        <w:spacing w:before="0" w:after="0"/>
        <w:jc w:val="left"/>
        <w:rPr>
          <w:b/>
          <w:noProof/>
        </w:rPr>
      </w:pPr>
    </w:p>
    <w:p>
      <w:pPr>
        <w:spacing w:before="0" w:after="0"/>
        <w:rPr>
          <w:noProof/>
        </w:rPr>
      </w:pPr>
      <w:r>
        <w:rPr>
          <w:noProof/>
        </w:rPr>
        <w:t>Os navios de pesca da União autorizados a pescar pregado no mar Negro, independentemente do comprimento total do navio, não podem exceder 180 dias de pesca por ano.</w:t>
      </w:r>
    </w:p>
    <w:p>
      <w:pPr>
        <w:spacing w:before="0" w:after="0"/>
        <w:rPr>
          <w:noProof/>
        </w:rPr>
      </w:pPr>
    </w:p>
    <w:p>
      <w:pPr>
        <w:rPr>
          <w:b/>
          <w:noProof/>
        </w:rPr>
      </w:pPr>
    </w:p>
    <w:p>
      <w:pPr>
        <w:pStyle w:val="ChapterTitle"/>
        <w:spacing w:before="360"/>
        <w:rPr>
          <w:noProof/>
        </w:rPr>
      </w:pPr>
      <w:r>
        <w:rPr>
          <w:noProof/>
        </w:rPr>
        <w:t>CAPÍTULO III</w:t>
      </w:r>
      <w:r>
        <w:rPr>
          <w:noProof/>
        </w:rPr>
        <w:br/>
        <w:t>Disposições finais</w:t>
      </w:r>
    </w:p>
    <w:p>
      <w:pPr>
        <w:pStyle w:val="Titrearticle"/>
        <w:rPr>
          <w:i w:val="0"/>
          <w:noProof/>
        </w:rPr>
      </w:pPr>
      <w:r>
        <w:rPr>
          <w:i w:val="0"/>
          <w:noProof/>
        </w:rPr>
        <w:t>Artigo 7.º</w:t>
      </w:r>
      <w:r>
        <w:rPr>
          <w:i w:val="0"/>
          <w:noProof/>
        </w:rPr>
        <w:br/>
      </w:r>
      <w:r>
        <w:rPr>
          <w:b/>
          <w:i w:val="0"/>
          <w:noProof/>
        </w:rPr>
        <w:t>Transmissão de dados</w:t>
      </w:r>
    </w:p>
    <w:p>
      <w:pPr>
        <w:rPr>
          <w:noProof/>
        </w:rPr>
      </w:pPr>
      <w:r>
        <w:rPr>
          <w:noProof/>
        </w:rPr>
        <w:t>Sempre que, em conformidade com os artigos 33.º e 34.º do Regulamento (CE) n.º 1224/2009, os Estados-Membros enviem à Comissão dados relativos ao desembarque das quantidades de unidades populacionais capturadas, devem utilizar os códigos das unidades populacionais indicados no anexo I do presente regulamento.</w:t>
      </w:r>
    </w:p>
    <w:p>
      <w:pPr>
        <w:rPr>
          <w:noProof/>
        </w:rPr>
      </w:pPr>
    </w:p>
    <w:p>
      <w:pPr>
        <w:pStyle w:val="Titrearticle"/>
        <w:rPr>
          <w:b/>
          <w:i w:val="0"/>
          <w:noProof/>
        </w:rPr>
      </w:pPr>
      <w:r>
        <w:rPr>
          <w:i w:val="0"/>
          <w:noProof/>
        </w:rPr>
        <w:t>Artigo 8.º</w:t>
      </w:r>
      <w:r>
        <w:rPr>
          <w:i w:val="0"/>
          <w:noProof/>
          <w:u w:val="single"/>
        </w:rPr>
        <w:br/>
      </w:r>
      <w:r>
        <w:rPr>
          <w:b/>
          <w:i w:val="0"/>
          <w:noProof/>
        </w:rPr>
        <w:t>Entrada em vigor</w:t>
      </w:r>
    </w:p>
    <w:p>
      <w:pPr>
        <w:rPr>
          <w:noProof/>
        </w:rPr>
      </w:pPr>
      <w:r>
        <w:rPr>
          <w:noProof/>
        </w:rPr>
        <w:t xml:space="preserve">O presente regulamento entra em vigor no dia seguinte ao da sua publicação no </w:t>
      </w:r>
      <w:r>
        <w:rPr>
          <w:i/>
          <w:noProof/>
        </w:rPr>
        <w:t>Jornal Oficial da União Europeia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O presente regulamento é aplicável a partir de 1 de janeiro de 2019.</w:t>
      </w:r>
    </w:p>
    <w:p>
      <w:pPr>
        <w:pStyle w:val="Applicationdirecte"/>
        <w:rPr>
          <w:noProof/>
        </w:rPr>
      </w:pPr>
      <w:r>
        <w:rPr>
          <w:noProof/>
        </w:rPr>
        <w:t>O presente regulamento é obrigatório em todos os seus elementos e diretamente aplicável em todos os Estados-Membros.</w:t>
      </w: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i w:val="0"/>
          <w:noProof/>
        </w:rPr>
      </w:pPr>
      <w:r>
        <w:rPr>
          <w:noProof/>
        </w:rPr>
        <w:tab/>
      </w:r>
      <w:r>
        <w:rPr>
          <w:i w:val="0"/>
          <w:noProof/>
        </w:rPr>
        <w:t>Pelo Conselho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Regulamento (CE) n.º 847/96 do Conselho, de 6 de maio de 1996, que introduz condições suplementares para a gestão anual dos TAC e quotas (JO L 115 de 9.5.1996, p. 3).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JO L 337 de 19.12.2017, p. 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COM(2018)143 final de 22 de março de 2018.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JO L 78 de 20.3.2013, p. 1.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Ver http://www.fao.org/gfcm/meetings/blackseaconference2016/en/</w:t>
      </w:r>
    </w:p>
  </w:footnote>
  <w:footnote w:id="6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Ver https://ec.europa.eu/fisheries/black-sea-countries-pledge-promote-sustainable-fisheries-and-aquaculture_en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Ver http://www.fao.org/gfcm/reports/statutory-meetings/detail/en/c/454522/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Regulamento (UE) n.º 1380/2013 do Parlamento Europeu e do Conselho, de 11 de dezembro de 2013, relativo à política comum das pescas, que altera os Regulamentos (CE) n.º 1954/2003 e (CE) n.º 1224/2009 do Conselho e revoga os Regulamentos (CE) n.º 2371/2002 e (CE) n.º 639/2004 do Conselho e a Decisão 2004/585/CE do Conselho (JO L 354 de 28.12.2013, p. 22).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Regulamento (CE) n.º 1224/2009 do Conselho, de 20 de novembro de 2009, que institui um regime comunitário de controlo a fim de assegurar o cumprimento das regras da política comum das pescas, altera os Regulamentos (CE) n.º 847/96, (CE) n.º 2371/2002, (CE) n.º 811/2004, (CE) n.º 768/2005, (CE) n.º 2115/2005, (CE) n.º 2166/2005, (CE) n.º 388/2006, (CE) n.º 509/2007, (CE) n.º 676/2007, (CE) n.º 1098/2007, (CE) n.º 1300/2008, (CE) n.º 1342/2008, e revoga os Regulamentos (CEE) n.º 2847/93, (CE) n.º 1627/94 e (CE) n.º 1966/2006 (JO L 343 de 22.12.2009, p. 1).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Regulamento (CE) n.º 847/96 do Conselho, de 6 de maio de 1996, que introduz condições suplementares para a gestão anual dos TAC e quotas (JO L 115 de 9.5.1996, p. 3).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Regulamento (UE) n.º 1343/2011 do Parlamento Europeu e do Conselho, de 13 de dezembro de 2011, relativo a determinadas disposições aplicáveis à pesca na zona do acordo da CGPM (Comissão Geral das Pescas do Mediterrâneo) e que altera o Regulamento (CE) n.º 1967/2006 do Conselho relativo a medidas de gestão para a exploração sustentável dos recursos haliêuticos no Mar Mediterrâneo (JO L 347 de 30.12.2011, p. 44).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889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6F407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32B84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1D14D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">
    <w:nsid w:val="128364B0"/>
    <w:multiLevelType w:val="singleLevel"/>
    <w:tmpl w:val="D084FB54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6">
    <w:nsid w:val="13E4330B"/>
    <w:multiLevelType w:val="multilevel"/>
    <w:tmpl w:val="875C4416"/>
    <w:name w:val="List Dash 3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2D820C1F"/>
    <w:multiLevelType w:val="singleLevel"/>
    <w:tmpl w:val="7896AADE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2">
    <w:nsid w:val="2F191641"/>
    <w:multiLevelType w:val="multilevel"/>
    <w:tmpl w:val="B67C4E92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1CD398A"/>
    <w:multiLevelType w:val="singleLevel"/>
    <w:tmpl w:val="0276BF00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4">
    <w:nsid w:val="398C015E"/>
    <w:multiLevelType w:val="multilevel"/>
    <w:tmpl w:val="027A66BA"/>
    <w:name w:val="List Dash 4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45CB3BDF"/>
    <w:multiLevelType w:val="multilevel"/>
    <w:tmpl w:val="CD18BC7A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9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0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1">
    <w:nsid w:val="542A1204"/>
    <w:multiLevelType w:val="multilevel"/>
    <w:tmpl w:val="BC1E8404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3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4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5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>
    <w:nsid w:val="5D9B6005"/>
    <w:multiLevelType w:val="singleLevel"/>
    <w:tmpl w:val="43E2927E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8">
    <w:nsid w:val="5DF84969"/>
    <w:multiLevelType w:val="singleLevel"/>
    <w:tmpl w:val="1E12021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9">
    <w:nsid w:val="5E940CBF"/>
    <w:multiLevelType w:val="multilevel"/>
    <w:tmpl w:val="21FE7234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2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D73F7A"/>
    <w:multiLevelType w:val="singleLevel"/>
    <w:tmpl w:val="26365734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4">
    <w:nsid w:val="759F206D"/>
    <w:multiLevelType w:val="multilevel"/>
    <w:tmpl w:val="703C4AA2"/>
    <w:name w:val="Default"/>
    <w:lvl w:ilvl="0">
      <w:start w:val="1"/>
      <w:numFmt w:val="decimal"/>
      <w:lvlRestart w:val="0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6BC5C11"/>
    <w:multiLevelType w:val="singleLevel"/>
    <w:tmpl w:val="E44CE82E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6">
    <w:nsid w:val="7BFE2381"/>
    <w:multiLevelType w:val="singleLevel"/>
    <w:tmpl w:val="4284566C"/>
    <w:lvl w:ilvl="0">
      <w:start w:val="1"/>
      <w:numFmt w:val="bullet"/>
      <w:lvlRestart w:val="0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37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6"/>
  </w:num>
  <w:num w:numId="2">
    <w:abstractNumId w:val="15"/>
  </w:num>
  <w:num w:numId="3">
    <w:abstractNumId w:val="31"/>
  </w:num>
  <w:num w:numId="4">
    <w:abstractNumId w:val="10"/>
  </w:num>
  <w:num w:numId="5">
    <w:abstractNumId w:val="16"/>
  </w:num>
  <w:num w:numId="6">
    <w:abstractNumId w:val="8"/>
  </w:num>
  <w:num w:numId="7">
    <w:abstractNumId w:val="30"/>
  </w:num>
  <w:num w:numId="8">
    <w:abstractNumId w:val="7"/>
  </w:num>
  <w:num w:numId="9">
    <w:abstractNumId w:val="17"/>
  </w:num>
  <w:num w:numId="10">
    <w:abstractNumId w:val="24"/>
  </w:num>
  <w:num w:numId="11">
    <w:abstractNumId w:val="25"/>
  </w:num>
  <w:num w:numId="12">
    <w:abstractNumId w:val="9"/>
  </w:num>
  <w:num w:numId="13">
    <w:abstractNumId w:val="22"/>
  </w:num>
  <w:num w:numId="14">
    <w:abstractNumId w:val="37"/>
  </w:num>
  <w:num w:numId="15">
    <w:abstractNumId w:val="18"/>
  </w:num>
  <w:num w:numId="16">
    <w:abstractNumId w:val="36"/>
  </w:num>
  <w:num w:numId="17">
    <w:abstractNumId w:val="27"/>
  </w:num>
  <w:num w:numId="18">
    <w:abstractNumId w:val="4"/>
  </w:num>
  <w:num w:numId="19">
    <w:abstractNumId w:val="23"/>
  </w:num>
  <w:num w:numId="20">
    <w:abstractNumId w:val="11"/>
  </w:num>
  <w:num w:numId="21">
    <w:abstractNumId w:val="20"/>
  </w:num>
  <w:num w:numId="22">
    <w:abstractNumId w:val="19"/>
  </w:num>
  <w:num w:numId="23">
    <w:abstractNumId w:val="32"/>
  </w:num>
  <w:num w:numId="24">
    <w:abstractNumId w:val="28"/>
  </w:num>
  <w:num w:numId="25">
    <w:abstractNumId w:val="33"/>
  </w:num>
  <w:num w:numId="26">
    <w:abstractNumId w:val="35"/>
  </w:num>
  <w:num w:numId="27">
    <w:abstractNumId w:val="5"/>
  </w:num>
  <w:num w:numId="28">
    <w:abstractNumId w:val="13"/>
  </w:num>
  <w:num w:numId="29">
    <w:abstractNumId w:val="6"/>
  </w:num>
  <w:num w:numId="30">
    <w:abstractNumId w:val="14"/>
  </w:num>
  <w:num w:numId="31">
    <w:abstractNumId w:val="12"/>
  </w:num>
  <w:num w:numId="32">
    <w:abstractNumId w:val="21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"/>
  </w:num>
  <w:num w:numId="36">
    <w:abstractNumId w:val="0"/>
  </w:num>
  <w:num w:numId="37">
    <w:abstractNumId w:val="1"/>
  </w:num>
  <w:num w:numId="38">
    <w:abstractNumId w:val="26"/>
    <w:lvlOverride w:ilvl="0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0-24 09:43:3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8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D57A4858-3147-464A-8936-5184462E5133"/>
    <w:docVar w:name="LW_COVERPAGE_TYPE" w:val="1"/>
    <w:docVar w:name="LW_CROSSREFERENCE" w:val="&lt;UNUSED&gt;"/>
    <w:docVar w:name="LW_DocType" w:val="COM"/>
    <w:docVar w:name="LW_EMISSION" w:val="24.10.2018"/>
    <w:docVar w:name="LW_EMISSION_ISODATE" w:val="2018-10-24"/>
    <w:docVar w:name="LW_EMISSION_LOCATION" w:val="BRX"/>
    <w:docVar w:name="LW_EMISSION_PREFIX" w:val="Bruxelas, "/>
    <w:docVar w:name="LW_EMISSION_SUFFIX" w:val=" "/>
    <w:docVar w:name="LW_ID_DOCMODEL" w:val="SJ-016"/>
    <w:docVar w:name="LW_ID_DOCSIGNATURE" w:val="SJ-016"/>
    <w:docVar w:name="LW_ID_DOCSTRUCTURE" w:val="COM/PL/ORG"/>
    <w:docVar w:name="LW_ID_DOCTYPE" w:val="SJ-016"/>
    <w:docVar w:name="LW_ID_EXP.MOTIFS.NEW" w:val="EM_PL_"/>
    <w:docVar w:name="LW_ID_STATUT" w:val="SJ-016"/>
    <w:docVar w:name="LW_INTERETEEE.CP" w:val="&lt;UNUSED&gt;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365"/>
    <w:docVar w:name="LW_REF.II.NEW.CP_YEAR" w:val="2018"/>
    <w:docVar w:name="LW_REF.INST.NEW" w:val="COM"/>
    <w:docVar w:name="LW_REF.INST.NEW_ADOPTED" w:val="final"/>
    <w:docVar w:name="LW_REF.INST.NEW_TEXT" w:val="(2018) 7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de"/>
    <w:docVar w:name="LW_SUPERTITRE" w:val="&lt;UNUSED&gt;"/>
    <w:docVar w:name="LW_TITRE.OBJ.CP" w:val="que fixa, para 2019, em relação a determinadas unidades populacionais de peixes e grupos de unidades populacionais de peixes, as possibilidades de pesca no mar Negro"/>
    <w:docVar w:name="LW_TYPE.DOC.CP" w:val="REGULAMENT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link w:val="TOCHeadingChar"/>
    <w:uiPriority w:val="39"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"/>
      </w:numPr>
    </w:pPr>
  </w:style>
  <w:style w:type="paragraph" w:customStyle="1" w:styleId="Tiret1">
    <w:name w:val="Tiret 1"/>
    <w:basedOn w:val="Point1"/>
    <w:pPr>
      <w:numPr>
        <w:numId w:val="2"/>
      </w:numPr>
    </w:pPr>
  </w:style>
  <w:style w:type="paragraph" w:customStyle="1" w:styleId="Tiret2">
    <w:name w:val="Tiret 2"/>
    <w:basedOn w:val="Point2"/>
    <w:pPr>
      <w:numPr>
        <w:numId w:val="3"/>
      </w:numPr>
    </w:pPr>
  </w:style>
  <w:style w:type="paragraph" w:customStyle="1" w:styleId="Tiret3">
    <w:name w:val="Tiret 3"/>
    <w:basedOn w:val="Point3"/>
    <w:pPr>
      <w:numPr>
        <w:numId w:val="4"/>
      </w:numPr>
    </w:pPr>
  </w:style>
  <w:style w:type="paragraph" w:customStyle="1" w:styleId="Tiret4">
    <w:name w:val="Tiret 4"/>
    <w:basedOn w:val="Point4"/>
    <w:pPr>
      <w:numPr>
        <w:numId w:val="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8"/>
      </w:numPr>
    </w:pPr>
  </w:style>
  <w:style w:type="paragraph" w:customStyle="1" w:styleId="Point1number">
    <w:name w:val="Point 1 (number)"/>
    <w:basedOn w:val="Normal"/>
    <w:pPr>
      <w:numPr>
        <w:ilvl w:val="2"/>
        <w:numId w:val="8"/>
      </w:numPr>
    </w:pPr>
  </w:style>
  <w:style w:type="paragraph" w:customStyle="1" w:styleId="Point2number">
    <w:name w:val="Point 2 (number)"/>
    <w:basedOn w:val="Normal"/>
    <w:pPr>
      <w:numPr>
        <w:ilvl w:val="4"/>
        <w:numId w:val="8"/>
      </w:numPr>
    </w:pPr>
  </w:style>
  <w:style w:type="paragraph" w:customStyle="1" w:styleId="Point3number">
    <w:name w:val="Point 3 (number)"/>
    <w:basedOn w:val="Normal"/>
    <w:pPr>
      <w:numPr>
        <w:ilvl w:val="6"/>
        <w:numId w:val="8"/>
      </w:numPr>
    </w:pPr>
  </w:style>
  <w:style w:type="paragraph" w:customStyle="1" w:styleId="Point0letter">
    <w:name w:val="Point 0 (letter)"/>
    <w:basedOn w:val="Normal"/>
    <w:pPr>
      <w:numPr>
        <w:ilvl w:val="1"/>
        <w:numId w:val="8"/>
      </w:numPr>
    </w:pPr>
  </w:style>
  <w:style w:type="paragraph" w:customStyle="1" w:styleId="Point1letter">
    <w:name w:val="Point 1 (letter)"/>
    <w:basedOn w:val="Normal"/>
    <w:pPr>
      <w:numPr>
        <w:ilvl w:val="3"/>
        <w:numId w:val="8"/>
      </w:numPr>
    </w:pPr>
  </w:style>
  <w:style w:type="paragraph" w:customStyle="1" w:styleId="Point2letter">
    <w:name w:val="Point 2 (letter)"/>
    <w:basedOn w:val="Normal"/>
    <w:pPr>
      <w:numPr>
        <w:ilvl w:val="5"/>
        <w:numId w:val="8"/>
      </w:numPr>
    </w:pPr>
  </w:style>
  <w:style w:type="paragraph" w:customStyle="1" w:styleId="Point3letter">
    <w:name w:val="Point 3 (letter)"/>
    <w:basedOn w:val="Normal"/>
    <w:pPr>
      <w:numPr>
        <w:ilvl w:val="7"/>
        <w:numId w:val="8"/>
      </w:numPr>
    </w:pPr>
  </w:style>
  <w:style w:type="paragraph" w:customStyle="1" w:styleId="Point4letter">
    <w:name w:val="Point 4 (letter)"/>
    <w:basedOn w:val="Normal"/>
    <w:pPr>
      <w:numPr>
        <w:ilvl w:val="8"/>
        <w:numId w:val="8"/>
      </w:numPr>
    </w:pPr>
  </w:style>
  <w:style w:type="paragraph" w:customStyle="1" w:styleId="Bullet0">
    <w:name w:val="Bullet 0"/>
    <w:basedOn w:val="Normal"/>
    <w:pPr>
      <w:numPr>
        <w:numId w:val="9"/>
      </w:numPr>
    </w:pPr>
  </w:style>
  <w:style w:type="paragraph" w:customStyle="1" w:styleId="Bullet1">
    <w:name w:val="Bullet 1"/>
    <w:basedOn w:val="Normal"/>
    <w:pPr>
      <w:numPr>
        <w:numId w:val="10"/>
      </w:numPr>
    </w:pPr>
  </w:style>
  <w:style w:type="paragraph" w:customStyle="1" w:styleId="Bullet2">
    <w:name w:val="Bullet 2"/>
    <w:basedOn w:val="Normal"/>
    <w:pPr>
      <w:numPr>
        <w:numId w:val="11"/>
      </w:numPr>
    </w:pPr>
  </w:style>
  <w:style w:type="paragraph" w:customStyle="1" w:styleId="Bullet3">
    <w:name w:val="Bullet 3"/>
    <w:basedOn w:val="Normal"/>
    <w:pPr>
      <w:numPr>
        <w:numId w:val="12"/>
      </w:numPr>
    </w:pPr>
  </w:style>
  <w:style w:type="paragraph" w:customStyle="1" w:styleId="Bullet4">
    <w:name w:val="Bullet 4"/>
    <w:basedOn w:val="Normal"/>
    <w:pPr>
      <w:numPr>
        <w:numId w:val="1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1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styleId="ListBullet4">
    <w:name w:val="List Bullet 4"/>
    <w:basedOn w:val="Normal"/>
    <w:pPr>
      <w:numPr>
        <w:numId w:val="19"/>
      </w:numPr>
    </w:pPr>
    <w:rPr>
      <w:rFonts w:eastAsia="Times New Roman"/>
      <w:lang w:val="en-GB" w:eastAsia="pt-PT" w:bidi="pt-PT"/>
    </w:rPr>
  </w:style>
  <w:style w:type="paragraph" w:styleId="ListNumber">
    <w:name w:val="List Number"/>
    <w:basedOn w:val="Normal"/>
    <w:pPr>
      <w:numPr>
        <w:numId w:val="23"/>
      </w:numPr>
    </w:pPr>
    <w:rPr>
      <w:rFonts w:eastAsia="Times New Roman"/>
      <w:lang w:val="en-GB" w:eastAsia="pt-PT" w:bidi="pt-PT"/>
    </w:rPr>
  </w:style>
  <w:style w:type="paragraph" w:customStyle="1" w:styleId="ListBullet1">
    <w:name w:val="List Bullet 1"/>
    <w:basedOn w:val="Normal"/>
    <w:pPr>
      <w:numPr>
        <w:numId w:val="18"/>
      </w:numPr>
    </w:pPr>
    <w:rPr>
      <w:rFonts w:eastAsia="Times New Roman"/>
      <w:lang w:val="en-GB" w:eastAsia="pt-PT" w:bidi="pt-PT"/>
    </w:rPr>
  </w:style>
  <w:style w:type="paragraph" w:customStyle="1" w:styleId="ListDash">
    <w:name w:val="List Dash"/>
    <w:basedOn w:val="Normal"/>
    <w:pPr>
      <w:numPr>
        <w:numId w:val="20"/>
      </w:numPr>
    </w:pPr>
    <w:rPr>
      <w:rFonts w:eastAsia="Times New Roman"/>
      <w:lang w:val="en-GB" w:eastAsia="pt-PT" w:bidi="pt-PT"/>
    </w:rPr>
  </w:style>
  <w:style w:type="paragraph" w:customStyle="1" w:styleId="ListDash1">
    <w:name w:val="List Dash 1"/>
    <w:basedOn w:val="Normal"/>
    <w:pPr>
      <w:numPr>
        <w:numId w:val="21"/>
      </w:numPr>
    </w:pPr>
    <w:rPr>
      <w:rFonts w:eastAsia="Times New Roman"/>
      <w:lang w:val="en-GB" w:eastAsia="pt-PT" w:bidi="pt-PT"/>
    </w:rPr>
  </w:style>
  <w:style w:type="paragraph" w:customStyle="1" w:styleId="ListDash2">
    <w:name w:val="List Dash 2"/>
    <w:basedOn w:val="Normal"/>
    <w:pPr>
      <w:numPr>
        <w:numId w:val="22"/>
      </w:numPr>
    </w:pPr>
    <w:rPr>
      <w:rFonts w:eastAsia="Times New Roman"/>
      <w:lang w:val="en-GB" w:eastAsia="pt-PT" w:bidi="pt-PT"/>
    </w:rPr>
  </w:style>
  <w:style w:type="paragraph" w:customStyle="1" w:styleId="ListNumberLevel2">
    <w:name w:val="List Number (Level 2)"/>
    <w:basedOn w:val="Normal"/>
    <w:pPr>
      <w:numPr>
        <w:ilvl w:val="1"/>
        <w:numId w:val="23"/>
      </w:numPr>
    </w:pPr>
    <w:rPr>
      <w:rFonts w:eastAsia="Times New Roman"/>
      <w:lang w:val="en-GB" w:eastAsia="pt-PT" w:bidi="pt-PT"/>
    </w:rPr>
  </w:style>
  <w:style w:type="paragraph" w:customStyle="1" w:styleId="ListNumberLevel3">
    <w:name w:val="List Number (Level 3)"/>
    <w:basedOn w:val="Normal"/>
    <w:pPr>
      <w:numPr>
        <w:ilvl w:val="2"/>
        <w:numId w:val="23"/>
      </w:numPr>
    </w:pPr>
    <w:rPr>
      <w:rFonts w:eastAsia="Times New Roman"/>
      <w:lang w:val="en-GB" w:eastAsia="pt-PT" w:bidi="pt-PT"/>
    </w:rPr>
  </w:style>
  <w:style w:type="paragraph" w:customStyle="1" w:styleId="ListNumberLevel4">
    <w:name w:val="List Number (Level 4)"/>
    <w:basedOn w:val="Normal"/>
    <w:pPr>
      <w:numPr>
        <w:ilvl w:val="3"/>
        <w:numId w:val="23"/>
      </w:numPr>
    </w:pPr>
    <w:rPr>
      <w:rFonts w:eastAsia="Times New Roman"/>
      <w:lang w:val="en-GB" w:eastAsia="pt-PT" w:bidi="pt-PT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pPr>
      <w:numPr>
        <w:numId w:val="24"/>
      </w:numPr>
    </w:pPr>
    <w:rPr>
      <w:rFonts w:eastAsia="Times New Roman"/>
      <w:lang w:eastAsia="pt-PT" w:bidi="pt-PT"/>
    </w:rPr>
  </w:style>
  <w:style w:type="paragraph" w:styleId="ListBullet2">
    <w:name w:val="List Bullet 2"/>
    <w:basedOn w:val="Normal"/>
    <w:pPr>
      <w:numPr>
        <w:numId w:val="25"/>
      </w:numPr>
    </w:pPr>
    <w:rPr>
      <w:rFonts w:eastAsia="Times New Roman"/>
      <w:lang w:eastAsia="pt-PT" w:bidi="pt-PT"/>
    </w:rPr>
  </w:style>
  <w:style w:type="paragraph" w:styleId="ListBullet3">
    <w:name w:val="List Bullet 3"/>
    <w:basedOn w:val="Normal"/>
    <w:pPr>
      <w:numPr>
        <w:numId w:val="26"/>
      </w:numPr>
    </w:pPr>
    <w:rPr>
      <w:rFonts w:eastAsia="Times New Roman"/>
      <w:lang w:eastAsia="pt-PT" w:bidi="pt-PT"/>
    </w:rPr>
  </w:style>
  <w:style w:type="paragraph" w:styleId="ListNumber2">
    <w:name w:val="List Number 2"/>
    <w:basedOn w:val="Normal"/>
    <w:pPr>
      <w:numPr>
        <w:numId w:val="30"/>
      </w:numPr>
    </w:pPr>
    <w:rPr>
      <w:rFonts w:eastAsia="Times New Roman"/>
      <w:lang w:eastAsia="pt-PT" w:bidi="pt-PT"/>
    </w:rPr>
  </w:style>
  <w:style w:type="paragraph" w:styleId="ListNumber3">
    <w:name w:val="List Number 3"/>
    <w:basedOn w:val="Normal"/>
    <w:pPr>
      <w:numPr>
        <w:numId w:val="31"/>
      </w:numPr>
    </w:pPr>
    <w:rPr>
      <w:rFonts w:eastAsia="Times New Roman"/>
      <w:lang w:eastAsia="pt-PT" w:bidi="pt-PT"/>
    </w:rPr>
  </w:style>
  <w:style w:type="paragraph" w:styleId="ListNumber4">
    <w:name w:val="List Number 4"/>
    <w:basedOn w:val="Normal"/>
    <w:pPr>
      <w:numPr>
        <w:numId w:val="32"/>
      </w:numPr>
    </w:pPr>
    <w:rPr>
      <w:rFonts w:eastAsia="Times New Roman"/>
      <w:lang w:eastAsia="pt-PT" w:bidi="pt-PT"/>
    </w:rPr>
  </w:style>
  <w:style w:type="paragraph" w:customStyle="1" w:styleId="ListDash3">
    <w:name w:val="List Dash 3"/>
    <w:basedOn w:val="Normal"/>
    <w:pPr>
      <w:numPr>
        <w:numId w:val="27"/>
      </w:numPr>
    </w:pPr>
    <w:rPr>
      <w:rFonts w:eastAsia="Times New Roman"/>
      <w:lang w:eastAsia="pt-PT" w:bidi="pt-PT"/>
    </w:rPr>
  </w:style>
  <w:style w:type="paragraph" w:customStyle="1" w:styleId="ListDash4">
    <w:name w:val="List Dash 4"/>
    <w:basedOn w:val="Normal"/>
    <w:pPr>
      <w:numPr>
        <w:numId w:val="28"/>
      </w:numPr>
    </w:pPr>
    <w:rPr>
      <w:rFonts w:eastAsia="Times New Roman"/>
      <w:lang w:eastAsia="pt-PT" w:bidi="pt-PT"/>
    </w:rPr>
  </w:style>
  <w:style w:type="paragraph" w:customStyle="1" w:styleId="ListNumber1">
    <w:name w:val="List Number 1"/>
    <w:basedOn w:val="Text1"/>
    <w:pPr>
      <w:numPr>
        <w:numId w:val="29"/>
      </w:numPr>
    </w:pPr>
    <w:rPr>
      <w:rFonts w:eastAsia="Times New Roman"/>
      <w:lang w:eastAsia="pt-PT" w:bidi="pt-PT"/>
    </w:rPr>
  </w:style>
  <w:style w:type="paragraph" w:customStyle="1" w:styleId="ListNumber1Level2">
    <w:name w:val="List Number 1 (Level 2)"/>
    <w:basedOn w:val="Text1"/>
    <w:pPr>
      <w:numPr>
        <w:ilvl w:val="1"/>
        <w:numId w:val="29"/>
      </w:numPr>
    </w:pPr>
    <w:rPr>
      <w:rFonts w:eastAsia="Times New Roman"/>
      <w:lang w:eastAsia="pt-PT" w:bidi="pt-PT"/>
    </w:rPr>
  </w:style>
  <w:style w:type="paragraph" w:customStyle="1" w:styleId="ListNumber2Level2">
    <w:name w:val="List Number 2 (Level 2)"/>
    <w:basedOn w:val="Text2"/>
    <w:pPr>
      <w:numPr>
        <w:ilvl w:val="1"/>
        <w:numId w:val="30"/>
      </w:numPr>
    </w:pPr>
    <w:rPr>
      <w:rFonts w:eastAsia="Times New Roman"/>
      <w:lang w:eastAsia="pt-PT" w:bidi="pt-PT"/>
    </w:rPr>
  </w:style>
  <w:style w:type="paragraph" w:customStyle="1" w:styleId="ListNumber3Level2">
    <w:name w:val="List Number 3 (Level 2)"/>
    <w:basedOn w:val="Text3"/>
    <w:pPr>
      <w:numPr>
        <w:ilvl w:val="1"/>
        <w:numId w:val="31"/>
      </w:numPr>
    </w:pPr>
    <w:rPr>
      <w:rFonts w:eastAsia="Times New Roman"/>
      <w:lang w:eastAsia="pt-PT" w:bidi="pt-PT"/>
    </w:rPr>
  </w:style>
  <w:style w:type="paragraph" w:customStyle="1" w:styleId="ListNumber4Level2">
    <w:name w:val="List Number 4 (Level 2)"/>
    <w:basedOn w:val="Text4"/>
    <w:pPr>
      <w:numPr>
        <w:ilvl w:val="1"/>
        <w:numId w:val="32"/>
      </w:numPr>
    </w:pPr>
    <w:rPr>
      <w:rFonts w:eastAsia="Times New Roman"/>
      <w:lang w:eastAsia="pt-PT" w:bidi="pt-PT"/>
    </w:rPr>
  </w:style>
  <w:style w:type="paragraph" w:customStyle="1" w:styleId="ListNumber1Level3">
    <w:name w:val="List Number 1 (Level 3)"/>
    <w:basedOn w:val="Text1"/>
    <w:pPr>
      <w:numPr>
        <w:ilvl w:val="2"/>
        <w:numId w:val="29"/>
      </w:numPr>
    </w:pPr>
    <w:rPr>
      <w:rFonts w:eastAsia="Times New Roman"/>
      <w:lang w:eastAsia="pt-PT" w:bidi="pt-PT"/>
    </w:rPr>
  </w:style>
  <w:style w:type="paragraph" w:customStyle="1" w:styleId="ListNumber2Level3">
    <w:name w:val="List Number 2 (Level 3)"/>
    <w:basedOn w:val="Text2"/>
    <w:pPr>
      <w:numPr>
        <w:ilvl w:val="2"/>
        <w:numId w:val="30"/>
      </w:numPr>
    </w:pPr>
    <w:rPr>
      <w:rFonts w:eastAsia="Times New Roman"/>
      <w:lang w:eastAsia="pt-PT" w:bidi="pt-PT"/>
    </w:rPr>
  </w:style>
  <w:style w:type="paragraph" w:customStyle="1" w:styleId="ListNumber3Level3">
    <w:name w:val="List Number 3 (Level 3)"/>
    <w:basedOn w:val="Text3"/>
    <w:pPr>
      <w:numPr>
        <w:ilvl w:val="2"/>
        <w:numId w:val="31"/>
      </w:numPr>
    </w:pPr>
    <w:rPr>
      <w:rFonts w:eastAsia="Times New Roman"/>
      <w:lang w:eastAsia="pt-PT" w:bidi="pt-PT"/>
    </w:rPr>
  </w:style>
  <w:style w:type="paragraph" w:customStyle="1" w:styleId="ListNumber4Level3">
    <w:name w:val="List Number 4 (Level 3)"/>
    <w:basedOn w:val="Text4"/>
    <w:pPr>
      <w:numPr>
        <w:ilvl w:val="2"/>
        <w:numId w:val="32"/>
      </w:numPr>
    </w:pPr>
    <w:rPr>
      <w:rFonts w:eastAsia="Times New Roman"/>
      <w:lang w:eastAsia="pt-PT" w:bidi="pt-PT"/>
    </w:rPr>
  </w:style>
  <w:style w:type="paragraph" w:customStyle="1" w:styleId="ListNumber1Level4">
    <w:name w:val="List Number 1 (Level 4)"/>
    <w:basedOn w:val="Text1"/>
    <w:pPr>
      <w:numPr>
        <w:ilvl w:val="3"/>
        <w:numId w:val="29"/>
      </w:numPr>
    </w:pPr>
    <w:rPr>
      <w:rFonts w:eastAsia="Times New Roman"/>
      <w:lang w:eastAsia="pt-PT" w:bidi="pt-PT"/>
    </w:rPr>
  </w:style>
  <w:style w:type="paragraph" w:customStyle="1" w:styleId="ListNumber2Level4">
    <w:name w:val="List Number 2 (Level 4)"/>
    <w:basedOn w:val="Text2"/>
    <w:pPr>
      <w:numPr>
        <w:ilvl w:val="3"/>
        <w:numId w:val="30"/>
      </w:numPr>
    </w:pPr>
    <w:rPr>
      <w:rFonts w:eastAsia="Times New Roman"/>
      <w:lang w:eastAsia="pt-PT" w:bidi="pt-PT"/>
    </w:rPr>
  </w:style>
  <w:style w:type="paragraph" w:customStyle="1" w:styleId="ListNumber3Level4">
    <w:name w:val="List Number 3 (Level 4)"/>
    <w:basedOn w:val="Text3"/>
    <w:pPr>
      <w:numPr>
        <w:ilvl w:val="3"/>
        <w:numId w:val="31"/>
      </w:numPr>
    </w:pPr>
    <w:rPr>
      <w:rFonts w:eastAsia="Times New Roman"/>
      <w:lang w:eastAsia="pt-PT" w:bidi="pt-PT"/>
    </w:rPr>
  </w:style>
  <w:style w:type="paragraph" w:customStyle="1" w:styleId="ListNumber4Level4">
    <w:name w:val="List Number 4 (Level 4)"/>
    <w:basedOn w:val="Text4"/>
    <w:pPr>
      <w:numPr>
        <w:ilvl w:val="3"/>
        <w:numId w:val="32"/>
      </w:numPr>
    </w:pPr>
    <w:rPr>
      <w:rFonts w:eastAsia="Times New Roman"/>
      <w:lang w:eastAsia="pt-PT" w:bidi="pt-PT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paragraph" w:customStyle="1" w:styleId="Langueoriginale">
    <w:name w:val="Langue originale"/>
    <w:basedOn w:val="Normal"/>
    <w:pPr>
      <w:spacing w:before="360"/>
      <w:jc w:val="center"/>
    </w:pPr>
    <w:rPr>
      <w:rFonts w:eastAsia="Times New Roman"/>
      <w:caps/>
      <w:lang w:eastAsia="pt-PT" w:bidi="pt-PT"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  <w:lang w:eastAsia="pt-PT" w:bidi="pt-PT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  <w:lang w:eastAsia="pt-PT" w:bidi="pt-PT"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rFonts w:eastAsia="Times New Roman"/>
      <w:b/>
      <w:lang w:eastAsia="pt-PT" w:bidi="pt-PT"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rFonts w:eastAsia="Times New Roman"/>
      <w:lang w:eastAsia="pt-PT" w:bidi="pt-PT"/>
    </w:r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  <w:rPr>
      <w:rFonts w:eastAsia="Times New Roman"/>
      <w:lang w:eastAsia="pt-PT" w:bidi="pt-PT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  <w:rPr>
      <w:rFonts w:eastAsia="Times New Roman"/>
      <w:lang w:eastAsia="pt-PT" w:bidi="pt-PT"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rFonts w:eastAsia="Times New Roman"/>
      <w:b/>
      <w:lang w:eastAsia="pt-PT" w:bidi="pt-PT"/>
    </w:r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  <w:rPr>
      <w:rFonts w:eastAsia="Times New Roman"/>
      <w:lang w:eastAsia="pt-PT" w:bidi="pt-PT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rFonts w:eastAsia="Times New Roman"/>
      <w:b/>
      <w:lang w:eastAsia="pt-PT" w:bidi="pt-PT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rFonts w:eastAsia="Times New Roman"/>
      <w:b/>
      <w:lang w:eastAsia="pt-PT" w:bidi="pt-PT"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  <w:lang w:eastAsia="pt-PT" w:bidi="pt-PT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  <w:lang w:eastAsia="pt-PT" w:bidi="pt-PT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  <w:lang w:eastAsia="pt-PT" w:bidi="pt-PT"/>
    </w:rPr>
  </w:style>
  <w:style w:type="paragraph" w:styleId="TableofFigures">
    <w:name w:val="table of figures"/>
    <w:basedOn w:val="Normal"/>
    <w:next w:val="Normal"/>
    <w:rPr>
      <w:rFonts w:eastAsia="Times New Roman"/>
      <w:lang w:eastAsia="pt-PT" w:bidi="pt-PT"/>
    </w:rPr>
  </w:style>
  <w:style w:type="character" w:styleId="PageNumber">
    <w:name w:val="page number"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lang w:val="en-GB" w:eastAsia="pt-PT" w:bidi="pt-PT"/>
    </w:rPr>
  </w:style>
  <w:style w:type="paragraph" w:customStyle="1" w:styleId="Sous-titreobjetPagedecouverture">
    <w:name w:val="Sous-titre objet (Page de couverture)"/>
    <w:basedOn w:val="Sous-titreobjet"/>
  </w:style>
  <w:style w:type="character" w:customStyle="1" w:styleId="TOCHeadingChar">
    <w:name w:val="TOC Heading Char"/>
    <w:link w:val="TOCHeading"/>
    <w:uiPriority w:val="39"/>
    <w:rPr>
      <w:rFonts w:ascii="Times New Roman" w:hAnsi="Times New Roman" w:cs="Times New Roman"/>
      <w:b/>
      <w:sz w:val="28"/>
      <w:lang w:val="pt-P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Calibri"/>
      <w:lang w:val="en-GB" w:eastAsia="pt-PT" w:bidi="pt-PT"/>
    </w:rPr>
  </w:style>
  <w:style w:type="character" w:customStyle="1" w:styleId="FooterCoverPageChar">
    <w:name w:val="Footer Cover Page Char"/>
    <w:link w:val="FooterCoverPage"/>
    <w:rPr>
      <w:rFonts w:ascii="Times New Roman" w:eastAsia="Calibri" w:hAnsi="Times New Roman" w:cs="Times New Roman"/>
      <w:sz w:val="24"/>
      <w:lang w:val="en-GB" w:eastAsia="pt-PT" w:bidi="pt-PT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Calibri"/>
      <w:lang w:val="en-GB" w:eastAsia="pt-PT" w:bidi="pt-PT"/>
    </w:rPr>
  </w:style>
  <w:style w:type="character" w:customStyle="1" w:styleId="HeaderCoverPageChar">
    <w:name w:val="Header Cover Page Char"/>
    <w:link w:val="HeaderCoverPage"/>
    <w:rPr>
      <w:rFonts w:ascii="Times New Roman" w:eastAsia="Calibri" w:hAnsi="Times New Roman" w:cs="Times New Roman"/>
      <w:sz w:val="24"/>
      <w:lang w:val="en-GB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link w:val="TOCHeadingChar"/>
    <w:uiPriority w:val="39"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"/>
      </w:numPr>
    </w:pPr>
  </w:style>
  <w:style w:type="paragraph" w:customStyle="1" w:styleId="Tiret1">
    <w:name w:val="Tiret 1"/>
    <w:basedOn w:val="Point1"/>
    <w:pPr>
      <w:numPr>
        <w:numId w:val="2"/>
      </w:numPr>
    </w:pPr>
  </w:style>
  <w:style w:type="paragraph" w:customStyle="1" w:styleId="Tiret2">
    <w:name w:val="Tiret 2"/>
    <w:basedOn w:val="Point2"/>
    <w:pPr>
      <w:numPr>
        <w:numId w:val="3"/>
      </w:numPr>
    </w:pPr>
  </w:style>
  <w:style w:type="paragraph" w:customStyle="1" w:styleId="Tiret3">
    <w:name w:val="Tiret 3"/>
    <w:basedOn w:val="Point3"/>
    <w:pPr>
      <w:numPr>
        <w:numId w:val="4"/>
      </w:numPr>
    </w:pPr>
  </w:style>
  <w:style w:type="paragraph" w:customStyle="1" w:styleId="Tiret4">
    <w:name w:val="Tiret 4"/>
    <w:basedOn w:val="Point4"/>
    <w:pPr>
      <w:numPr>
        <w:numId w:val="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8"/>
      </w:numPr>
    </w:pPr>
  </w:style>
  <w:style w:type="paragraph" w:customStyle="1" w:styleId="Point1number">
    <w:name w:val="Point 1 (number)"/>
    <w:basedOn w:val="Normal"/>
    <w:pPr>
      <w:numPr>
        <w:ilvl w:val="2"/>
        <w:numId w:val="8"/>
      </w:numPr>
    </w:pPr>
  </w:style>
  <w:style w:type="paragraph" w:customStyle="1" w:styleId="Point2number">
    <w:name w:val="Point 2 (number)"/>
    <w:basedOn w:val="Normal"/>
    <w:pPr>
      <w:numPr>
        <w:ilvl w:val="4"/>
        <w:numId w:val="8"/>
      </w:numPr>
    </w:pPr>
  </w:style>
  <w:style w:type="paragraph" w:customStyle="1" w:styleId="Point3number">
    <w:name w:val="Point 3 (number)"/>
    <w:basedOn w:val="Normal"/>
    <w:pPr>
      <w:numPr>
        <w:ilvl w:val="6"/>
        <w:numId w:val="8"/>
      </w:numPr>
    </w:pPr>
  </w:style>
  <w:style w:type="paragraph" w:customStyle="1" w:styleId="Point0letter">
    <w:name w:val="Point 0 (letter)"/>
    <w:basedOn w:val="Normal"/>
    <w:pPr>
      <w:numPr>
        <w:ilvl w:val="1"/>
        <w:numId w:val="8"/>
      </w:numPr>
    </w:pPr>
  </w:style>
  <w:style w:type="paragraph" w:customStyle="1" w:styleId="Point1letter">
    <w:name w:val="Point 1 (letter)"/>
    <w:basedOn w:val="Normal"/>
    <w:pPr>
      <w:numPr>
        <w:ilvl w:val="3"/>
        <w:numId w:val="8"/>
      </w:numPr>
    </w:pPr>
  </w:style>
  <w:style w:type="paragraph" w:customStyle="1" w:styleId="Point2letter">
    <w:name w:val="Point 2 (letter)"/>
    <w:basedOn w:val="Normal"/>
    <w:pPr>
      <w:numPr>
        <w:ilvl w:val="5"/>
        <w:numId w:val="8"/>
      </w:numPr>
    </w:pPr>
  </w:style>
  <w:style w:type="paragraph" w:customStyle="1" w:styleId="Point3letter">
    <w:name w:val="Point 3 (letter)"/>
    <w:basedOn w:val="Normal"/>
    <w:pPr>
      <w:numPr>
        <w:ilvl w:val="7"/>
        <w:numId w:val="8"/>
      </w:numPr>
    </w:pPr>
  </w:style>
  <w:style w:type="paragraph" w:customStyle="1" w:styleId="Point4letter">
    <w:name w:val="Point 4 (letter)"/>
    <w:basedOn w:val="Normal"/>
    <w:pPr>
      <w:numPr>
        <w:ilvl w:val="8"/>
        <w:numId w:val="8"/>
      </w:numPr>
    </w:pPr>
  </w:style>
  <w:style w:type="paragraph" w:customStyle="1" w:styleId="Bullet0">
    <w:name w:val="Bullet 0"/>
    <w:basedOn w:val="Normal"/>
    <w:pPr>
      <w:numPr>
        <w:numId w:val="9"/>
      </w:numPr>
    </w:pPr>
  </w:style>
  <w:style w:type="paragraph" w:customStyle="1" w:styleId="Bullet1">
    <w:name w:val="Bullet 1"/>
    <w:basedOn w:val="Normal"/>
    <w:pPr>
      <w:numPr>
        <w:numId w:val="10"/>
      </w:numPr>
    </w:pPr>
  </w:style>
  <w:style w:type="paragraph" w:customStyle="1" w:styleId="Bullet2">
    <w:name w:val="Bullet 2"/>
    <w:basedOn w:val="Normal"/>
    <w:pPr>
      <w:numPr>
        <w:numId w:val="11"/>
      </w:numPr>
    </w:pPr>
  </w:style>
  <w:style w:type="paragraph" w:customStyle="1" w:styleId="Bullet3">
    <w:name w:val="Bullet 3"/>
    <w:basedOn w:val="Normal"/>
    <w:pPr>
      <w:numPr>
        <w:numId w:val="12"/>
      </w:numPr>
    </w:pPr>
  </w:style>
  <w:style w:type="paragraph" w:customStyle="1" w:styleId="Bullet4">
    <w:name w:val="Bullet 4"/>
    <w:basedOn w:val="Normal"/>
    <w:pPr>
      <w:numPr>
        <w:numId w:val="1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1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styleId="ListBullet4">
    <w:name w:val="List Bullet 4"/>
    <w:basedOn w:val="Normal"/>
    <w:pPr>
      <w:numPr>
        <w:numId w:val="19"/>
      </w:numPr>
    </w:pPr>
    <w:rPr>
      <w:rFonts w:eastAsia="Times New Roman"/>
      <w:lang w:val="en-GB" w:eastAsia="pt-PT" w:bidi="pt-PT"/>
    </w:rPr>
  </w:style>
  <w:style w:type="paragraph" w:styleId="ListNumber">
    <w:name w:val="List Number"/>
    <w:basedOn w:val="Normal"/>
    <w:pPr>
      <w:numPr>
        <w:numId w:val="23"/>
      </w:numPr>
    </w:pPr>
    <w:rPr>
      <w:rFonts w:eastAsia="Times New Roman"/>
      <w:lang w:val="en-GB" w:eastAsia="pt-PT" w:bidi="pt-PT"/>
    </w:rPr>
  </w:style>
  <w:style w:type="paragraph" w:customStyle="1" w:styleId="ListBullet1">
    <w:name w:val="List Bullet 1"/>
    <w:basedOn w:val="Normal"/>
    <w:pPr>
      <w:numPr>
        <w:numId w:val="18"/>
      </w:numPr>
    </w:pPr>
    <w:rPr>
      <w:rFonts w:eastAsia="Times New Roman"/>
      <w:lang w:val="en-GB" w:eastAsia="pt-PT" w:bidi="pt-PT"/>
    </w:rPr>
  </w:style>
  <w:style w:type="paragraph" w:customStyle="1" w:styleId="ListDash">
    <w:name w:val="List Dash"/>
    <w:basedOn w:val="Normal"/>
    <w:pPr>
      <w:numPr>
        <w:numId w:val="20"/>
      </w:numPr>
    </w:pPr>
    <w:rPr>
      <w:rFonts w:eastAsia="Times New Roman"/>
      <w:lang w:val="en-GB" w:eastAsia="pt-PT" w:bidi="pt-PT"/>
    </w:rPr>
  </w:style>
  <w:style w:type="paragraph" w:customStyle="1" w:styleId="ListDash1">
    <w:name w:val="List Dash 1"/>
    <w:basedOn w:val="Normal"/>
    <w:pPr>
      <w:numPr>
        <w:numId w:val="21"/>
      </w:numPr>
    </w:pPr>
    <w:rPr>
      <w:rFonts w:eastAsia="Times New Roman"/>
      <w:lang w:val="en-GB" w:eastAsia="pt-PT" w:bidi="pt-PT"/>
    </w:rPr>
  </w:style>
  <w:style w:type="paragraph" w:customStyle="1" w:styleId="ListDash2">
    <w:name w:val="List Dash 2"/>
    <w:basedOn w:val="Normal"/>
    <w:pPr>
      <w:numPr>
        <w:numId w:val="22"/>
      </w:numPr>
    </w:pPr>
    <w:rPr>
      <w:rFonts w:eastAsia="Times New Roman"/>
      <w:lang w:val="en-GB" w:eastAsia="pt-PT" w:bidi="pt-PT"/>
    </w:rPr>
  </w:style>
  <w:style w:type="paragraph" w:customStyle="1" w:styleId="ListNumberLevel2">
    <w:name w:val="List Number (Level 2)"/>
    <w:basedOn w:val="Normal"/>
    <w:pPr>
      <w:numPr>
        <w:ilvl w:val="1"/>
        <w:numId w:val="23"/>
      </w:numPr>
    </w:pPr>
    <w:rPr>
      <w:rFonts w:eastAsia="Times New Roman"/>
      <w:lang w:val="en-GB" w:eastAsia="pt-PT" w:bidi="pt-PT"/>
    </w:rPr>
  </w:style>
  <w:style w:type="paragraph" w:customStyle="1" w:styleId="ListNumberLevel3">
    <w:name w:val="List Number (Level 3)"/>
    <w:basedOn w:val="Normal"/>
    <w:pPr>
      <w:numPr>
        <w:ilvl w:val="2"/>
        <w:numId w:val="23"/>
      </w:numPr>
    </w:pPr>
    <w:rPr>
      <w:rFonts w:eastAsia="Times New Roman"/>
      <w:lang w:val="en-GB" w:eastAsia="pt-PT" w:bidi="pt-PT"/>
    </w:rPr>
  </w:style>
  <w:style w:type="paragraph" w:customStyle="1" w:styleId="ListNumberLevel4">
    <w:name w:val="List Number (Level 4)"/>
    <w:basedOn w:val="Normal"/>
    <w:pPr>
      <w:numPr>
        <w:ilvl w:val="3"/>
        <w:numId w:val="23"/>
      </w:numPr>
    </w:pPr>
    <w:rPr>
      <w:rFonts w:eastAsia="Times New Roman"/>
      <w:lang w:val="en-GB" w:eastAsia="pt-PT" w:bidi="pt-PT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pPr>
      <w:numPr>
        <w:numId w:val="24"/>
      </w:numPr>
    </w:pPr>
    <w:rPr>
      <w:rFonts w:eastAsia="Times New Roman"/>
      <w:lang w:eastAsia="pt-PT" w:bidi="pt-PT"/>
    </w:rPr>
  </w:style>
  <w:style w:type="paragraph" w:styleId="ListBullet2">
    <w:name w:val="List Bullet 2"/>
    <w:basedOn w:val="Normal"/>
    <w:pPr>
      <w:numPr>
        <w:numId w:val="25"/>
      </w:numPr>
    </w:pPr>
    <w:rPr>
      <w:rFonts w:eastAsia="Times New Roman"/>
      <w:lang w:eastAsia="pt-PT" w:bidi="pt-PT"/>
    </w:rPr>
  </w:style>
  <w:style w:type="paragraph" w:styleId="ListBullet3">
    <w:name w:val="List Bullet 3"/>
    <w:basedOn w:val="Normal"/>
    <w:pPr>
      <w:numPr>
        <w:numId w:val="26"/>
      </w:numPr>
    </w:pPr>
    <w:rPr>
      <w:rFonts w:eastAsia="Times New Roman"/>
      <w:lang w:eastAsia="pt-PT" w:bidi="pt-PT"/>
    </w:rPr>
  </w:style>
  <w:style w:type="paragraph" w:styleId="ListNumber2">
    <w:name w:val="List Number 2"/>
    <w:basedOn w:val="Normal"/>
    <w:pPr>
      <w:numPr>
        <w:numId w:val="30"/>
      </w:numPr>
    </w:pPr>
    <w:rPr>
      <w:rFonts w:eastAsia="Times New Roman"/>
      <w:lang w:eastAsia="pt-PT" w:bidi="pt-PT"/>
    </w:rPr>
  </w:style>
  <w:style w:type="paragraph" w:styleId="ListNumber3">
    <w:name w:val="List Number 3"/>
    <w:basedOn w:val="Normal"/>
    <w:pPr>
      <w:numPr>
        <w:numId w:val="31"/>
      </w:numPr>
    </w:pPr>
    <w:rPr>
      <w:rFonts w:eastAsia="Times New Roman"/>
      <w:lang w:eastAsia="pt-PT" w:bidi="pt-PT"/>
    </w:rPr>
  </w:style>
  <w:style w:type="paragraph" w:styleId="ListNumber4">
    <w:name w:val="List Number 4"/>
    <w:basedOn w:val="Normal"/>
    <w:pPr>
      <w:numPr>
        <w:numId w:val="32"/>
      </w:numPr>
    </w:pPr>
    <w:rPr>
      <w:rFonts w:eastAsia="Times New Roman"/>
      <w:lang w:eastAsia="pt-PT" w:bidi="pt-PT"/>
    </w:rPr>
  </w:style>
  <w:style w:type="paragraph" w:customStyle="1" w:styleId="ListDash3">
    <w:name w:val="List Dash 3"/>
    <w:basedOn w:val="Normal"/>
    <w:pPr>
      <w:numPr>
        <w:numId w:val="27"/>
      </w:numPr>
    </w:pPr>
    <w:rPr>
      <w:rFonts w:eastAsia="Times New Roman"/>
      <w:lang w:eastAsia="pt-PT" w:bidi="pt-PT"/>
    </w:rPr>
  </w:style>
  <w:style w:type="paragraph" w:customStyle="1" w:styleId="ListDash4">
    <w:name w:val="List Dash 4"/>
    <w:basedOn w:val="Normal"/>
    <w:pPr>
      <w:numPr>
        <w:numId w:val="28"/>
      </w:numPr>
    </w:pPr>
    <w:rPr>
      <w:rFonts w:eastAsia="Times New Roman"/>
      <w:lang w:eastAsia="pt-PT" w:bidi="pt-PT"/>
    </w:rPr>
  </w:style>
  <w:style w:type="paragraph" w:customStyle="1" w:styleId="ListNumber1">
    <w:name w:val="List Number 1"/>
    <w:basedOn w:val="Text1"/>
    <w:pPr>
      <w:numPr>
        <w:numId w:val="29"/>
      </w:numPr>
    </w:pPr>
    <w:rPr>
      <w:rFonts w:eastAsia="Times New Roman"/>
      <w:lang w:eastAsia="pt-PT" w:bidi="pt-PT"/>
    </w:rPr>
  </w:style>
  <w:style w:type="paragraph" w:customStyle="1" w:styleId="ListNumber1Level2">
    <w:name w:val="List Number 1 (Level 2)"/>
    <w:basedOn w:val="Text1"/>
    <w:pPr>
      <w:numPr>
        <w:ilvl w:val="1"/>
        <w:numId w:val="29"/>
      </w:numPr>
    </w:pPr>
    <w:rPr>
      <w:rFonts w:eastAsia="Times New Roman"/>
      <w:lang w:eastAsia="pt-PT" w:bidi="pt-PT"/>
    </w:rPr>
  </w:style>
  <w:style w:type="paragraph" w:customStyle="1" w:styleId="ListNumber2Level2">
    <w:name w:val="List Number 2 (Level 2)"/>
    <w:basedOn w:val="Text2"/>
    <w:pPr>
      <w:numPr>
        <w:ilvl w:val="1"/>
        <w:numId w:val="30"/>
      </w:numPr>
    </w:pPr>
    <w:rPr>
      <w:rFonts w:eastAsia="Times New Roman"/>
      <w:lang w:eastAsia="pt-PT" w:bidi="pt-PT"/>
    </w:rPr>
  </w:style>
  <w:style w:type="paragraph" w:customStyle="1" w:styleId="ListNumber3Level2">
    <w:name w:val="List Number 3 (Level 2)"/>
    <w:basedOn w:val="Text3"/>
    <w:pPr>
      <w:numPr>
        <w:ilvl w:val="1"/>
        <w:numId w:val="31"/>
      </w:numPr>
    </w:pPr>
    <w:rPr>
      <w:rFonts w:eastAsia="Times New Roman"/>
      <w:lang w:eastAsia="pt-PT" w:bidi="pt-PT"/>
    </w:rPr>
  </w:style>
  <w:style w:type="paragraph" w:customStyle="1" w:styleId="ListNumber4Level2">
    <w:name w:val="List Number 4 (Level 2)"/>
    <w:basedOn w:val="Text4"/>
    <w:pPr>
      <w:numPr>
        <w:ilvl w:val="1"/>
        <w:numId w:val="32"/>
      </w:numPr>
    </w:pPr>
    <w:rPr>
      <w:rFonts w:eastAsia="Times New Roman"/>
      <w:lang w:eastAsia="pt-PT" w:bidi="pt-PT"/>
    </w:rPr>
  </w:style>
  <w:style w:type="paragraph" w:customStyle="1" w:styleId="ListNumber1Level3">
    <w:name w:val="List Number 1 (Level 3)"/>
    <w:basedOn w:val="Text1"/>
    <w:pPr>
      <w:numPr>
        <w:ilvl w:val="2"/>
        <w:numId w:val="29"/>
      </w:numPr>
    </w:pPr>
    <w:rPr>
      <w:rFonts w:eastAsia="Times New Roman"/>
      <w:lang w:eastAsia="pt-PT" w:bidi="pt-PT"/>
    </w:rPr>
  </w:style>
  <w:style w:type="paragraph" w:customStyle="1" w:styleId="ListNumber2Level3">
    <w:name w:val="List Number 2 (Level 3)"/>
    <w:basedOn w:val="Text2"/>
    <w:pPr>
      <w:numPr>
        <w:ilvl w:val="2"/>
        <w:numId w:val="30"/>
      </w:numPr>
    </w:pPr>
    <w:rPr>
      <w:rFonts w:eastAsia="Times New Roman"/>
      <w:lang w:eastAsia="pt-PT" w:bidi="pt-PT"/>
    </w:rPr>
  </w:style>
  <w:style w:type="paragraph" w:customStyle="1" w:styleId="ListNumber3Level3">
    <w:name w:val="List Number 3 (Level 3)"/>
    <w:basedOn w:val="Text3"/>
    <w:pPr>
      <w:numPr>
        <w:ilvl w:val="2"/>
        <w:numId w:val="31"/>
      </w:numPr>
    </w:pPr>
    <w:rPr>
      <w:rFonts w:eastAsia="Times New Roman"/>
      <w:lang w:eastAsia="pt-PT" w:bidi="pt-PT"/>
    </w:rPr>
  </w:style>
  <w:style w:type="paragraph" w:customStyle="1" w:styleId="ListNumber4Level3">
    <w:name w:val="List Number 4 (Level 3)"/>
    <w:basedOn w:val="Text4"/>
    <w:pPr>
      <w:numPr>
        <w:ilvl w:val="2"/>
        <w:numId w:val="32"/>
      </w:numPr>
    </w:pPr>
    <w:rPr>
      <w:rFonts w:eastAsia="Times New Roman"/>
      <w:lang w:eastAsia="pt-PT" w:bidi="pt-PT"/>
    </w:rPr>
  </w:style>
  <w:style w:type="paragraph" w:customStyle="1" w:styleId="ListNumber1Level4">
    <w:name w:val="List Number 1 (Level 4)"/>
    <w:basedOn w:val="Text1"/>
    <w:pPr>
      <w:numPr>
        <w:ilvl w:val="3"/>
        <w:numId w:val="29"/>
      </w:numPr>
    </w:pPr>
    <w:rPr>
      <w:rFonts w:eastAsia="Times New Roman"/>
      <w:lang w:eastAsia="pt-PT" w:bidi="pt-PT"/>
    </w:rPr>
  </w:style>
  <w:style w:type="paragraph" w:customStyle="1" w:styleId="ListNumber2Level4">
    <w:name w:val="List Number 2 (Level 4)"/>
    <w:basedOn w:val="Text2"/>
    <w:pPr>
      <w:numPr>
        <w:ilvl w:val="3"/>
        <w:numId w:val="30"/>
      </w:numPr>
    </w:pPr>
    <w:rPr>
      <w:rFonts w:eastAsia="Times New Roman"/>
      <w:lang w:eastAsia="pt-PT" w:bidi="pt-PT"/>
    </w:rPr>
  </w:style>
  <w:style w:type="paragraph" w:customStyle="1" w:styleId="ListNumber3Level4">
    <w:name w:val="List Number 3 (Level 4)"/>
    <w:basedOn w:val="Text3"/>
    <w:pPr>
      <w:numPr>
        <w:ilvl w:val="3"/>
        <w:numId w:val="31"/>
      </w:numPr>
    </w:pPr>
    <w:rPr>
      <w:rFonts w:eastAsia="Times New Roman"/>
      <w:lang w:eastAsia="pt-PT" w:bidi="pt-PT"/>
    </w:rPr>
  </w:style>
  <w:style w:type="paragraph" w:customStyle="1" w:styleId="ListNumber4Level4">
    <w:name w:val="List Number 4 (Level 4)"/>
    <w:basedOn w:val="Text4"/>
    <w:pPr>
      <w:numPr>
        <w:ilvl w:val="3"/>
        <w:numId w:val="32"/>
      </w:numPr>
    </w:pPr>
    <w:rPr>
      <w:rFonts w:eastAsia="Times New Roman"/>
      <w:lang w:eastAsia="pt-PT" w:bidi="pt-PT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paragraph" w:customStyle="1" w:styleId="Langueoriginale">
    <w:name w:val="Langue originale"/>
    <w:basedOn w:val="Normal"/>
    <w:pPr>
      <w:spacing w:before="360"/>
      <w:jc w:val="center"/>
    </w:pPr>
    <w:rPr>
      <w:rFonts w:eastAsia="Times New Roman"/>
      <w:caps/>
      <w:lang w:eastAsia="pt-PT" w:bidi="pt-PT"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  <w:lang w:eastAsia="pt-PT" w:bidi="pt-PT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  <w:lang w:eastAsia="pt-PT" w:bidi="pt-PT"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rFonts w:eastAsia="Times New Roman"/>
      <w:b/>
      <w:lang w:eastAsia="pt-PT" w:bidi="pt-PT"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rFonts w:eastAsia="Times New Roman"/>
      <w:lang w:eastAsia="pt-PT" w:bidi="pt-PT"/>
    </w:r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  <w:rPr>
      <w:rFonts w:eastAsia="Times New Roman"/>
      <w:lang w:eastAsia="pt-PT" w:bidi="pt-PT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  <w:rPr>
      <w:rFonts w:eastAsia="Times New Roman"/>
      <w:lang w:eastAsia="pt-PT" w:bidi="pt-PT"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rFonts w:eastAsia="Times New Roman"/>
      <w:b/>
      <w:lang w:eastAsia="pt-PT" w:bidi="pt-PT"/>
    </w:r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  <w:rPr>
      <w:rFonts w:eastAsia="Times New Roman"/>
      <w:lang w:eastAsia="pt-PT" w:bidi="pt-PT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rFonts w:eastAsia="Times New Roman"/>
      <w:b/>
      <w:lang w:eastAsia="pt-PT" w:bidi="pt-PT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rFonts w:eastAsia="Times New Roman"/>
      <w:b/>
      <w:lang w:eastAsia="pt-PT" w:bidi="pt-PT"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rFonts w:eastAsia="Times New Roman"/>
      <w:b/>
      <w:u w:val="single"/>
      <w:lang w:eastAsia="pt-PT" w:bidi="pt-PT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  <w:lang w:eastAsia="pt-PT" w:bidi="pt-PT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  <w:lang w:eastAsia="pt-PT" w:bidi="pt-PT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  <w:lang w:eastAsia="pt-PT" w:bidi="pt-PT"/>
    </w:rPr>
  </w:style>
  <w:style w:type="paragraph" w:styleId="TableofFigures">
    <w:name w:val="table of figures"/>
    <w:basedOn w:val="Normal"/>
    <w:next w:val="Normal"/>
    <w:rPr>
      <w:rFonts w:eastAsia="Times New Roman"/>
      <w:lang w:eastAsia="pt-PT" w:bidi="pt-PT"/>
    </w:rPr>
  </w:style>
  <w:style w:type="character" w:styleId="PageNumber">
    <w:name w:val="page number"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lang w:val="en-GB" w:eastAsia="pt-PT" w:bidi="pt-PT"/>
    </w:rPr>
  </w:style>
  <w:style w:type="paragraph" w:customStyle="1" w:styleId="Sous-titreobjetPagedecouverture">
    <w:name w:val="Sous-titre objet (Page de couverture)"/>
    <w:basedOn w:val="Sous-titreobjet"/>
  </w:style>
  <w:style w:type="character" w:customStyle="1" w:styleId="TOCHeadingChar">
    <w:name w:val="TOC Heading Char"/>
    <w:link w:val="TOCHeading"/>
    <w:uiPriority w:val="39"/>
    <w:rPr>
      <w:rFonts w:ascii="Times New Roman" w:hAnsi="Times New Roman" w:cs="Times New Roman"/>
      <w:b/>
      <w:sz w:val="28"/>
      <w:lang w:val="pt-P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Calibri"/>
      <w:lang w:val="en-GB" w:eastAsia="pt-PT" w:bidi="pt-PT"/>
    </w:rPr>
  </w:style>
  <w:style w:type="character" w:customStyle="1" w:styleId="FooterCoverPageChar">
    <w:name w:val="Footer Cover Page Char"/>
    <w:link w:val="FooterCoverPage"/>
    <w:rPr>
      <w:rFonts w:ascii="Times New Roman" w:eastAsia="Calibri" w:hAnsi="Times New Roman" w:cs="Times New Roman"/>
      <w:sz w:val="24"/>
      <w:lang w:val="en-GB" w:eastAsia="pt-PT" w:bidi="pt-PT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Calibri"/>
      <w:lang w:val="en-GB" w:eastAsia="pt-PT" w:bidi="pt-PT"/>
    </w:rPr>
  </w:style>
  <w:style w:type="character" w:customStyle="1" w:styleId="HeaderCoverPageChar">
    <w:name w:val="Header Cover Page Char"/>
    <w:link w:val="HeaderCoverPage"/>
    <w:rPr>
      <w:rFonts w:ascii="Times New Roman" w:eastAsia="Calibri" w:hAnsi="Times New Roman" w:cs="Times New Roman"/>
      <w:sz w:val="24"/>
      <w:lang w:val="en-GB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12</Pages>
  <Words>3813</Words>
  <Characters>20098</Characters>
  <Application>Microsoft Office Word</Application>
  <DocSecurity>0</DocSecurity>
  <Lines>365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dcterms:created xsi:type="dcterms:W3CDTF">2018-10-15T15:33:00Z</dcterms:created>
  <dcterms:modified xsi:type="dcterms:W3CDTF">2018-10-24T07:43:00Z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SJ-016</vt:lpwstr>
  </property>
  <property fmtid="{D5CDD505-2E9C-101B-9397-08002B2CF9AE}" pid="10" name="DQCStatus">
    <vt:lpwstr>Green (DQC version 03)</vt:lpwstr>
  </property>
</Properties>
</file>