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8918720-4221-4476-888B-B3D558FDE482"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rPr>
          <w:noProof/>
        </w:rPr>
      </w:pPr>
      <w:r>
        <w:rPr>
          <w:noProof/>
        </w:rPr>
        <w:t>2013 m. gruodžio 2 d. Tarybos reglamente (ES, Euratomas) Nr. 1311/2013, kuriuo nustatoma 2014–2020 m. daugiametė finansinė programa</w:t>
      </w:r>
      <w:r>
        <w:rPr>
          <w:rStyle w:val="FootnoteReference"/>
          <w:noProof/>
        </w:rPr>
        <w:footnoteReference w:id="1"/>
      </w:r>
      <w:r>
        <w:rPr>
          <w:noProof/>
        </w:rPr>
        <w:t>, numatyta galimybė mobilizuoti lankstumo priemonės lėšas, kad būtų galima padengti aiškiai nurodytas išlaidas, kurių negalima padengti neviršijant daugiametės finansinės programos vienos ar kelių išlaidų kategorijų viršutinių ribų.</w:t>
      </w:r>
    </w:p>
    <w:p>
      <w:pPr>
        <w:rPr>
          <w:noProof/>
        </w:rPr>
      </w:pPr>
      <w:r>
        <w:rPr>
          <w:noProof/>
        </w:rPr>
        <w:t>Remdamasi Tarybos reglamento (ES, Euratomas) Nr. 1311/2013 11 straipsniu ir 2013 m. gruodžio 2 d. Europos Parlamento, Tarybos ir Komisijos tarpinstitucinio susitarimo dėl biudžetinės drausmės, bendradarbiavimo biudžeto klausimais ir patikimo finansų valdymo</w:t>
      </w:r>
      <w:r>
        <w:rPr>
          <w:rStyle w:val="FootnoteReference"/>
          <w:noProof/>
        </w:rPr>
        <w:footnoteReference w:id="2"/>
      </w:r>
      <w:r>
        <w:rPr>
          <w:noProof/>
        </w:rPr>
        <w:t xml:space="preserve"> 12 punktu, išnagrinėjusi visas galimybes perskirstyti asignavimus ir išnaudojusi visą nepaskirstytą išlaidų kategorijos </w:t>
      </w:r>
      <w:r>
        <w:rPr>
          <w:i/>
          <w:noProof/>
        </w:rPr>
        <w:t>„Saugumas ir pilietybė“</w:t>
      </w:r>
      <w:r>
        <w:rPr>
          <w:noProof/>
        </w:rPr>
        <w:t xml:space="preserve"> (3 išlaidų kategorija) maržą, Komisija siūlo 2019 m. mobilizuoti lankstumo priemonės lėšas. Metinė turimų lėšų suma 2019 m. yra 600 mln. EUR 2011 m. kainomis (arba 703 mln. EUR galiojančiomis kainomis). Be to, 2018 m. dar turima nepanaudota 520 mln. EUR dalis. </w:t>
      </w:r>
    </w:p>
    <w:p>
      <w:pPr>
        <w:rPr>
          <w:noProof/>
        </w:rPr>
      </w:pPr>
      <w:r>
        <w:rPr>
          <w:noProof/>
        </w:rPr>
        <w:t>Mobilizuoti siūloma daugiametės finansinės programos 3 išlaidos kategorijos viršutinę ribą viršijančią 1 009,8 mln. EUR sumą, iš kurios numatoma finansuoti migracijos, pabėgėlių ir saugumo krizės valdymo priemonėms skirtą paramą. Teikdama pradinį 2019 m. biudžeto projektą Komisija kartu pateikė pasiūlymą tuo pačiu tikslu mobilizuoti lankstumo</w:t>
      </w:r>
      <w:r>
        <w:rPr>
          <w:rStyle w:val="FootnoteReference"/>
          <w:noProof/>
        </w:rPr>
        <w:footnoteReference w:id="3"/>
      </w:r>
      <w:r>
        <w:rPr>
          <w:noProof/>
        </w:rPr>
        <w:t xml:space="preserve"> priemonės lėšas. Šis pirmasis prašymas mobilizuoti lėšas, įskaitant 38,1 mln. EUR sumą, kuri viršija 1b išlaidų kategorijos viršutinę ribą, siekiant suteikti finansavimą pagal struktūrinių reformų rėmimo programą, dabar yra panaikinamas ir pakeičiamas šiuo pasiūlymu.</w:t>
      </w:r>
    </w:p>
    <w:p>
      <w:pPr>
        <w:rPr>
          <w:noProof/>
        </w:rPr>
      </w:pPr>
      <w:r>
        <w:rPr>
          <w:noProof/>
        </w:rPr>
        <w:t>Orientaciniai mokėjimų asignavimai, atitinkantys iš lankstumo priemonės siūlomų mobilizuoti lėšų sumą, apskaičiuoti remiantis įvairių rūšių finansuotinų priemonių išankstiniam finansavimui, išankstinio finansavimo patvirtinimui ir galutiniams mokėjimams taikomomis taisyklėmis; orientaciniai mokėjimų asignavimai nurodyti toliau pateikiamoje lentelėje.</w:t>
      </w:r>
    </w:p>
    <w:p>
      <w:pPr>
        <w:ind w:left="5040" w:firstLine="720"/>
        <w:jc w:val="left"/>
        <w:rPr>
          <w:noProof/>
        </w:rPr>
      </w:pPr>
      <w:r>
        <w:rPr>
          <w:i/>
          <w:noProof/>
          <w:sz w:val="16"/>
        </w:rPr>
        <w:t>(mln. EUR galiojančiomis kainomis)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Metai</w:t>
            </w:r>
          </w:p>
        </w:tc>
        <w:tc>
          <w:tcPr>
            <w:tcW w:w="5604" w:type="dxa"/>
            <w:shd w:val="clear" w:color="auto" w:fill="D9D9D9"/>
          </w:tcPr>
          <w:p>
            <w:pPr>
              <w:spacing w:before="30" w:after="30"/>
              <w:jc w:val="center"/>
              <w:rPr>
                <w:b/>
                <w:noProof/>
                <w:sz w:val="16"/>
                <w:szCs w:val="16"/>
              </w:rPr>
            </w:pPr>
            <w:r>
              <w:rPr>
                <w:b/>
                <w:noProof/>
                <w:sz w:val="16"/>
              </w:rPr>
              <w:t>Mokėjimų asignavimai, susiję su lankstumo priemonės lėšų mobilizavimu 2019 m.</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508,9</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203,7</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121,4</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122,2</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53,6</w:t>
            </w:r>
          </w:p>
        </w:tc>
      </w:tr>
      <w:tr>
        <w:trPr>
          <w:jc w:val="center"/>
        </w:trPr>
        <w:tc>
          <w:tcPr>
            <w:tcW w:w="1560" w:type="dxa"/>
            <w:shd w:val="clear" w:color="auto" w:fill="D9D9D9"/>
          </w:tcPr>
          <w:p>
            <w:pPr>
              <w:spacing w:before="30" w:after="30"/>
              <w:jc w:val="right"/>
              <w:rPr>
                <w:b/>
                <w:noProof/>
                <w:sz w:val="16"/>
                <w:szCs w:val="16"/>
              </w:rPr>
            </w:pPr>
            <w:r>
              <w:rPr>
                <w:b/>
                <w:noProof/>
                <w:sz w:val="16"/>
              </w:rPr>
              <w:t>Iš viso</w:t>
            </w:r>
          </w:p>
        </w:tc>
        <w:tc>
          <w:tcPr>
            <w:tcW w:w="5604" w:type="dxa"/>
            <w:shd w:val="clear" w:color="auto" w:fill="D9D9D9"/>
          </w:tcPr>
          <w:p>
            <w:pPr>
              <w:spacing w:before="30" w:after="30"/>
              <w:jc w:val="right"/>
              <w:rPr>
                <w:b/>
                <w:noProof/>
                <w:sz w:val="16"/>
                <w:szCs w:val="16"/>
              </w:rPr>
            </w:pPr>
            <w:r>
              <w:rPr>
                <w:b/>
                <w:noProof/>
                <w:sz w:val="16"/>
              </w:rPr>
              <w:t>1 009,8</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lastRenderedPageBreak/>
        <w:t>Pasiūlymas</w:t>
      </w:r>
    </w:p>
    <w:p>
      <w:pPr>
        <w:pStyle w:val="Typedudocument"/>
        <w:rPr>
          <w:noProof/>
        </w:rPr>
      </w:pPr>
      <w:r>
        <w:rPr>
          <w:noProof/>
        </w:rPr>
        <w:t>EUROPOS PARLAMENTO IR TARYBOS SPRENDIMAS</w:t>
      </w:r>
    </w:p>
    <w:p>
      <w:pPr>
        <w:pStyle w:val="Titreobjet"/>
        <w:rPr>
          <w:noProof/>
        </w:rPr>
      </w:pPr>
      <w:r>
        <w:rPr>
          <w:noProof/>
        </w:rPr>
        <w:t>dėl lankstumo priemonės lėšų mobilizavimo siekiant finansuoti skubias biudžeto priemones nuolatinėms migracijos, pabėgėlių antplūdžio ir saugumo grėsmių problemoms spręsti</w:t>
      </w:r>
    </w:p>
    <w:p>
      <w:pPr>
        <w:pStyle w:val="Institutionquiagit"/>
        <w:rPr>
          <w:noProof/>
        </w:rPr>
      </w:pPr>
      <w:r>
        <w:rPr>
          <w:noProof/>
        </w:rPr>
        <w:t>EUROPOS PARLAMENTAS IR EUROPOS SĄJUNGOS TARYBA,</w:t>
      </w:r>
    </w:p>
    <w:p>
      <w:pPr>
        <w:rPr>
          <w:noProof/>
        </w:rPr>
      </w:pPr>
      <w:r>
        <w:rPr>
          <w:noProof/>
        </w:rPr>
        <w:t>atsižvelgdami į Sutartį dėl Europos Sąjungos veikimo,</w:t>
      </w:r>
    </w:p>
    <w:p>
      <w:pPr>
        <w:rPr>
          <w:noProof/>
        </w:rPr>
      </w:pPr>
      <w:r>
        <w:rPr>
          <w:noProof/>
        </w:rPr>
        <w:t>atsižvelgdami į 2013 m. gruodžio 2 d. Europos Parlamento, Tarybos ir Komisijos tarpinstitucinį susitarimą dėl biudžetinės drausmės, bendradarbiavimo biudžeto klausimais ir patikimo finansų valdymo</w:t>
      </w:r>
      <w:r>
        <w:rPr>
          <w:rStyle w:val="FootnoteReference"/>
          <w:noProof/>
        </w:rPr>
        <w:footnoteReference w:id="4"/>
      </w:r>
      <w:r>
        <w:rPr>
          <w:noProof/>
        </w:rPr>
        <w:t>, ypač į jo 12 punktą,</w:t>
      </w:r>
    </w:p>
    <w:p>
      <w:pPr>
        <w:rPr>
          <w:noProof/>
        </w:rPr>
      </w:pPr>
      <w:r>
        <w:rPr>
          <w:noProof/>
        </w:rPr>
        <w:t>atsižvelgdami į Europos Komisijos pasiūlymą,</w:t>
      </w:r>
    </w:p>
    <w:p>
      <w:pPr>
        <w:rPr>
          <w:noProof/>
        </w:rPr>
      </w:pPr>
      <w:r>
        <w:rPr>
          <w:noProof/>
        </w:rPr>
        <w:t xml:space="preserve">kadangi: </w:t>
      </w:r>
    </w:p>
    <w:p>
      <w:pPr>
        <w:pStyle w:val="Point0number"/>
        <w:numPr>
          <w:ilvl w:val="0"/>
          <w:numId w:val="6"/>
        </w:numPr>
        <w:spacing w:before="0" w:after="0"/>
        <w:rPr>
          <w:noProof/>
        </w:rPr>
      </w:pPr>
      <w:r>
        <w:rPr>
          <w:noProof/>
        </w:rPr>
        <w:t>lankstumo priemonė skirta tam, kad būtų galima finansuoti aiškiai nustatytas išlaidas, kurių nebuvo galima finansuoti neviršijant nustatytų vienos ar kelių kitų išlaidų kategorijų viršutinių ribų;</w:t>
      </w:r>
    </w:p>
    <w:p>
      <w:pPr>
        <w:pStyle w:val="Point0number"/>
        <w:numPr>
          <w:ilvl w:val="0"/>
          <w:numId w:val="6"/>
        </w:numPr>
        <w:rPr>
          <w:noProof/>
        </w:rPr>
      </w:pPr>
      <w:r>
        <w:rPr>
          <w:noProof/>
        </w:rPr>
        <w:t>kaip nustatyta Tarybos reglamento (ES, EURATOMAS) Nr. 1311/2013</w:t>
      </w:r>
      <w:r>
        <w:rPr>
          <w:rStyle w:val="FootnoteReference"/>
          <w:noProof/>
        </w:rPr>
        <w:footnoteReference w:id="5"/>
      </w:r>
      <w:r>
        <w:rPr>
          <w:noProof/>
        </w:rPr>
        <w:t xml:space="preserve"> 11 straipsnyje, lankstumo priemonei skirtos metinės sumos viršutinė riba yra 600 000 000 EUR (2011 m. kainomis); </w:t>
      </w:r>
    </w:p>
    <w:p>
      <w:pPr>
        <w:pStyle w:val="Point0number"/>
        <w:numPr>
          <w:ilvl w:val="0"/>
          <w:numId w:val="6"/>
        </w:numPr>
        <w:spacing w:before="0" w:after="0"/>
        <w:rPr>
          <w:noProof/>
        </w:rPr>
      </w:pPr>
      <w:r>
        <w:rPr>
          <w:noProof/>
        </w:rPr>
        <w:t>siekiant spręsti nuolatines migracijos, pabėgėlių antplūdžio ir saugumo grėsmių problemas, būtina mobilizuoti dideles papildomų lėšų sumas, kuriomis tokios priemonės būtų skubiai finansuojamos;</w:t>
      </w:r>
    </w:p>
    <w:p>
      <w:pPr>
        <w:pStyle w:val="Point0number"/>
        <w:rPr>
          <w:noProof/>
        </w:rPr>
      </w:pPr>
      <w:r>
        <w:rPr>
          <w:noProof/>
        </w:rPr>
        <w:t>išnagrinėjus visas galimybes perskirstyti asignavimus pagal 3 išlaidų kategorijos (</w:t>
      </w:r>
      <w:r>
        <w:rPr>
          <w:i/>
          <w:noProof/>
        </w:rPr>
        <w:t>Saugumas ir pilietybė</w:t>
      </w:r>
      <w:r>
        <w:rPr>
          <w:noProof/>
        </w:rPr>
        <w:t>) viršutines ribas, būtina mobilizuoti lankstumo priemonės lėšas siekiant papildyti Sąjungos 2019 finansinių metų bendrajame biudžete numatytą finansavimą, 1 009 839 138 EUR dydžio suma viršijant 3 išlaidų kategorijos viršutinę ribą priemonėms migracijos, pabėgėlių ir saugumo srityje finansuoti;</w:t>
      </w:r>
    </w:p>
    <w:p>
      <w:pPr>
        <w:pStyle w:val="Point0number"/>
        <w:rPr>
          <w:noProof/>
        </w:rPr>
      </w:pPr>
      <w:r>
        <w:rPr>
          <w:noProof/>
        </w:rPr>
        <w:t>remiantis planuojamų mokėjimų profiliu, mokėjimų asignavimai, atitinkantys iš lankstumo priemonės mobilizuotų lėšų sumą, turėtų būti paskirstyti per keletą finansinių metų;</w:t>
      </w:r>
    </w:p>
    <w:p>
      <w:pPr>
        <w:pStyle w:val="Point0number"/>
        <w:rPr>
          <w:noProof/>
        </w:rPr>
      </w:pPr>
      <w:r>
        <w:rPr>
          <w:noProof/>
        </w:rPr>
        <w:t>siekiant užtikrinti galimybę šias lėšas panaudoti kuo greičiau, šis sprendimas turėtų būti taikomas nuo 2019 m. finansinių metų pradžios,</w:t>
      </w:r>
    </w:p>
    <w:p>
      <w:pPr>
        <w:pStyle w:val="Formuledadoption"/>
        <w:rPr>
          <w:noProof/>
        </w:rPr>
      </w:pPr>
      <w:r>
        <w:rPr>
          <w:noProof/>
        </w:rPr>
        <w:lastRenderedPageBreak/>
        <w:t>PRIĖMĖ ŠĮ SPRENDIMĄ:</w:t>
      </w:r>
    </w:p>
    <w:p>
      <w:pPr>
        <w:pStyle w:val="Titrearticle"/>
        <w:rPr>
          <w:noProof/>
        </w:rPr>
      </w:pPr>
      <w:r>
        <w:rPr>
          <w:noProof/>
        </w:rPr>
        <w:t>1 straipsnis</w:t>
      </w:r>
    </w:p>
    <w:p>
      <w:pPr>
        <w:pStyle w:val="Point0number"/>
        <w:numPr>
          <w:ilvl w:val="0"/>
          <w:numId w:val="5"/>
        </w:numPr>
        <w:spacing w:before="0" w:after="0"/>
        <w:rPr>
          <w:noProof/>
        </w:rPr>
      </w:pPr>
      <w:r>
        <w:rPr>
          <w:noProof/>
        </w:rPr>
        <w:t>2019 finansinių metų Sąjungos bendrajame biudžete iš lankstumo priemonės mobilizuojama 1 009 839 138 EUR įsipareigojimų asignavimų suma pagal 3 išlaidų kategoriją (</w:t>
      </w:r>
      <w:r>
        <w:rPr>
          <w:i/>
          <w:noProof/>
        </w:rPr>
        <w:t>Saugumas ir pilietybė</w:t>
      </w:r>
      <w:r>
        <w:rPr>
          <w:noProof/>
        </w:rPr>
        <w:t>).</w:t>
      </w:r>
    </w:p>
    <w:p>
      <w:pPr>
        <w:rPr>
          <w:noProof/>
        </w:rPr>
      </w:pPr>
      <w:r>
        <w:rPr>
          <w:noProof/>
        </w:rPr>
        <w:t>Pirmoje pastraipoje nurodytos sumos naudojamos nuolatinių migracijos, pabėgėlių antplūdžio ir saugumo grėsmių problemų sprendimo priemonėms finansuoti.</w:t>
      </w:r>
    </w:p>
    <w:p>
      <w:pPr>
        <w:pStyle w:val="Point0number"/>
        <w:numPr>
          <w:ilvl w:val="0"/>
          <w:numId w:val="5"/>
        </w:numPr>
        <w:spacing w:before="0" w:after="0"/>
        <w:rPr>
          <w:noProof/>
        </w:rPr>
      </w:pPr>
      <w:r>
        <w:rPr>
          <w:noProof/>
        </w:rPr>
        <w:t>Remiantis planuojamų mokėjimų profiliu, numatomi mokėjimų asignavimai, atitinkantys iš lankstumo priemonės mobilizuotų lėšų sumą, yra tokie:</w:t>
      </w:r>
    </w:p>
    <w:p>
      <w:pPr>
        <w:pStyle w:val="Point0letter"/>
        <w:tabs>
          <w:tab w:val="clear" w:pos="850"/>
          <w:tab w:val="num" w:pos="426"/>
        </w:tabs>
        <w:ind w:left="426" w:hanging="424"/>
        <w:rPr>
          <w:noProof/>
        </w:rPr>
      </w:pPr>
      <w:r>
        <w:rPr>
          <w:noProof/>
        </w:rPr>
        <w:t>2019 metais – 508 897 672 EUR;</w:t>
      </w:r>
    </w:p>
    <w:p>
      <w:pPr>
        <w:pStyle w:val="Point0letter"/>
        <w:tabs>
          <w:tab w:val="clear" w:pos="850"/>
          <w:tab w:val="num" w:pos="426"/>
        </w:tabs>
        <w:ind w:left="426" w:hanging="424"/>
        <w:rPr>
          <w:noProof/>
        </w:rPr>
      </w:pPr>
      <w:r>
        <w:rPr>
          <w:noProof/>
        </w:rPr>
        <w:t>2020 metais – 203 643 836 EUR;</w:t>
      </w:r>
    </w:p>
    <w:p>
      <w:pPr>
        <w:pStyle w:val="Point0letter"/>
        <w:tabs>
          <w:tab w:val="clear" w:pos="850"/>
          <w:tab w:val="num" w:pos="426"/>
        </w:tabs>
        <w:ind w:left="426" w:hanging="424"/>
        <w:rPr>
          <w:noProof/>
        </w:rPr>
      </w:pPr>
      <w:r>
        <w:rPr>
          <w:noProof/>
        </w:rPr>
        <w:t>2021 metais – 121 431 721 EUR;</w:t>
      </w:r>
    </w:p>
    <w:p>
      <w:pPr>
        <w:pStyle w:val="Point0letter"/>
        <w:tabs>
          <w:tab w:val="clear" w:pos="850"/>
          <w:tab w:val="num" w:pos="426"/>
        </w:tabs>
        <w:ind w:left="426" w:hanging="424"/>
        <w:rPr>
          <w:noProof/>
        </w:rPr>
      </w:pPr>
      <w:r>
        <w:rPr>
          <w:noProof/>
        </w:rPr>
        <w:t>2022 metais – 122 227 946 EUR;</w:t>
      </w:r>
    </w:p>
    <w:p>
      <w:pPr>
        <w:pStyle w:val="Point0letter"/>
        <w:tabs>
          <w:tab w:val="clear" w:pos="850"/>
          <w:tab w:val="num" w:pos="426"/>
        </w:tabs>
        <w:ind w:left="426" w:hanging="424"/>
        <w:rPr>
          <w:noProof/>
        </w:rPr>
      </w:pPr>
      <w:r>
        <w:rPr>
          <w:noProof/>
        </w:rPr>
        <w:t>2023 metais – 53 637 963 EUR.</w:t>
      </w:r>
    </w:p>
    <w:p>
      <w:pPr>
        <w:rPr>
          <w:noProof/>
        </w:rPr>
      </w:pPr>
      <w:r>
        <w:rPr>
          <w:noProof/>
        </w:rPr>
        <w:t>Konkrečios mokėjimų asignavimų sumos kiekvienais finansiniais metais tvirtinamos laikantis metinės biudžeto procedūros.</w:t>
      </w:r>
    </w:p>
    <w:p>
      <w:pPr>
        <w:pStyle w:val="Titrearticle"/>
        <w:rPr>
          <w:noProof/>
        </w:rPr>
      </w:pPr>
      <w:r>
        <w:rPr>
          <w:noProof/>
        </w:rPr>
        <w:t>2 straipsnis</w:t>
      </w:r>
    </w:p>
    <w:p>
      <w:pPr>
        <w:rPr>
          <w:i/>
          <w:noProof/>
        </w:rPr>
      </w:pPr>
      <w:r>
        <w:rPr>
          <w:noProof/>
        </w:rPr>
        <w:t xml:space="preserve">Šis sprendimas įsigalioja jo paskelbimo </w:t>
      </w:r>
      <w:r>
        <w:rPr>
          <w:i/>
          <w:noProof/>
        </w:rPr>
        <w:t>Europos Sąjungos oficialiajame leidinyje</w:t>
      </w:r>
      <w:r>
        <w:rPr>
          <w:noProof/>
        </w:rPr>
        <w:t xml:space="preserve"> dieną.</w:t>
      </w:r>
    </w:p>
    <w:p>
      <w:pPr>
        <w:rPr>
          <w:noProof/>
        </w:rPr>
      </w:pPr>
      <w:r>
        <w:rPr>
          <w:noProof/>
        </w:rPr>
        <w:t>Jis taikomas nuo 2019 m. sausio 1 d.</w:t>
      </w:r>
    </w:p>
    <w:p>
      <w:pPr>
        <w:rPr>
          <w:i/>
          <w:noProof/>
        </w:rPr>
      </w:pP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OL L 347, 2013 12 20, p. 884.</w:t>
      </w:r>
    </w:p>
  </w:footnote>
  <w:footnote w:id="2">
    <w:p>
      <w:pPr>
        <w:pStyle w:val="FootnoteText"/>
        <w:rPr>
          <w:lang w:val="pt-PT"/>
        </w:rPr>
      </w:pPr>
      <w:r>
        <w:rPr>
          <w:rStyle w:val="FootnoteReference"/>
        </w:rPr>
        <w:footnoteRef/>
      </w:r>
      <w:r>
        <w:tab/>
        <w:t>OL C 373, 2013 12 20, p. 1.</w:t>
      </w:r>
    </w:p>
  </w:footnote>
  <w:footnote w:id="3">
    <w:p>
      <w:pPr>
        <w:pStyle w:val="FootnoteText"/>
        <w:rPr>
          <w:lang w:val="pt-PT"/>
        </w:rPr>
      </w:pPr>
      <w:r>
        <w:rPr>
          <w:rStyle w:val="FootnoteReference"/>
        </w:rPr>
        <w:footnoteRef/>
      </w:r>
      <w:r>
        <w:tab/>
        <w:t>COM(2018) 280, 2018 5 23.</w:t>
      </w:r>
    </w:p>
  </w:footnote>
  <w:footnote w:id="4">
    <w:p>
      <w:pPr>
        <w:pStyle w:val="FootnoteText"/>
        <w:rPr>
          <w:lang w:val="pt-PT"/>
        </w:rPr>
      </w:pPr>
      <w:r>
        <w:rPr>
          <w:rStyle w:val="FootnoteReference"/>
        </w:rPr>
        <w:footnoteRef/>
      </w:r>
      <w:r>
        <w:tab/>
        <w:t>OL C 373, 2013 12 20, p. 1.</w:t>
      </w:r>
    </w:p>
  </w:footnote>
  <w:footnote w:id="5">
    <w:p>
      <w:pPr>
        <w:pStyle w:val="FootnoteText"/>
      </w:pPr>
      <w:r>
        <w:rPr>
          <w:rStyle w:val="FootnoteReference"/>
        </w:rPr>
        <w:footnoteRef/>
      </w:r>
      <w:r>
        <w:tab/>
        <w:t>2013 m. gruodžio 2 d. Tarybos reglamentas (ES, EURATOMAS) Nr. 1311/2013, kuriuo nustatoma daugiametė finansinė programa 2014–2020 m. (OL L 347, 2013 12 20, p.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9 11:16: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918720-4221-4476-888B-B3D558FDE482"/>
    <w:docVar w:name="LW_COVERPAGE_TYPE" w:val="1"/>
    <w:docVar w:name="LW_CROSSREFERENCE" w:val="&lt;UNUSED&gt;"/>
    <w:docVar w:name="LW_DocType" w:val="COM"/>
    <w:docVar w:name="LW_EMISSION" w:val="2018 10 16"/>
    <w:docVar w:name="LW_EMISSION_ISODATE" w:val="2018-10-16"/>
    <w:docVar w:name="LW_EMISSION_LOCATION" w:val="BRX"/>
    <w:docVar w:name="LW_EMISSION_PREFIX" w:val="Briuselis,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lankstumo priemon\u279?s l\u279?\u353?\u371? mobilizavimo siekiant finansuoti skubias biud\u382?eto priemones nuolatin\u279?ms migracijos, pab\u279?g\u279?li\u371? antpl\u363?d\u382?io ir saugumo gr\u279?smi\u371? problemoms spr\u281?sti"/>
    <w:docVar w:name="LW_TYPE.DOC.CP" w:val="EUROPOS PARLAMENTO IR 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B6DDA1-2E7F-44BF-878F-72C825E7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655</Words>
  <Characters>4461</Characters>
  <Application>Microsoft Office Word</Application>
  <DocSecurity>0</DocSecurity>
  <Lines>101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2018-10-05T12:09:00Z</cp:lastPrinted>
  <dcterms:created xsi:type="dcterms:W3CDTF">2018-10-24T06:59:00Z</dcterms:created>
  <dcterms:modified xsi:type="dcterms:W3CDTF">2018-10-29T10:16:00Z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