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04A80FC7-7E67-433C-A667-3E08A9F3BD00" style="width:450.5pt;height:352.3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MOTIVERING</w:t>
      </w:r>
    </w:p>
    <w:p>
      <w:pPr>
        <w:rPr>
          <w:noProof/>
        </w:rPr>
      </w:pPr>
      <w:r>
        <w:rPr>
          <w:noProof/>
        </w:rPr>
        <w:t>Enligt rådets förordning (EU, Euratom) nr 1311/2013 av den 2 december 2013 om den fleråriga budgetramen för 2014–2020</w:t>
      </w:r>
      <w:r>
        <w:rPr>
          <w:rStyle w:val="FootnoteReference"/>
          <w:noProof/>
        </w:rPr>
        <w:footnoteReference w:id="1"/>
      </w:r>
      <w:r>
        <w:rPr>
          <w:noProof/>
        </w:rPr>
        <w:t xml:space="preserve"> får flexibilitetsmekanismen tas i anspråk för att finansiera klart angivna utgifter som inte kan finansieras inom taken för en eller flera rubriker i den fleråriga budgetramen.</w:t>
      </w:r>
    </w:p>
    <w:p>
      <w:pPr>
        <w:rPr>
          <w:noProof/>
        </w:rPr>
      </w:pPr>
      <w:r>
        <w:rPr>
          <w:noProof/>
        </w:rPr>
        <w:t>I enlighet med artikel 11 i rådets förordning nr 1311/2013 och punkt 12 i det interinstitutionella avtalet av den 2 december 2013 mellan Europaparlamentet, rådet och kommissionen om budgetdisciplin, samarbete i budgetfrågor och sund ekonomisk förvaltning</w:t>
      </w:r>
      <w:r>
        <w:rPr>
          <w:rStyle w:val="FootnoteReference"/>
          <w:noProof/>
        </w:rPr>
        <w:footnoteReference w:id="2"/>
      </w:r>
      <w:r>
        <w:rPr>
          <w:noProof/>
        </w:rPr>
        <w:t xml:space="preserve">, och efter att ha undersökt alla möjligheter till omfördelningar av anslag och uttömt all outnyttjad marginal under rubrik 3, </w:t>
      </w:r>
      <w:r>
        <w:rPr>
          <w:i/>
          <w:noProof/>
        </w:rPr>
        <w:t>Säkerhet och medborgarskap</w:t>
      </w:r>
      <w:r>
        <w:rPr>
          <w:noProof/>
        </w:rPr>
        <w:t xml:space="preserve">, föreslår kommissionen att flexibilitetsmekanismen tas i anspråk under 2019. Det årliga tillgängliga beloppet för 2019 är 600 miljoner EUR (i 2011 års priser), vilket motsvarar 703 miljoner EUR i löpande priser. Dessutom finns 520 miljoner EUR tillgängliga från den outnyttjade delen för 2018. </w:t>
      </w:r>
    </w:p>
    <w:p>
      <w:pPr>
        <w:rPr>
          <w:noProof/>
        </w:rPr>
      </w:pPr>
      <w:r>
        <w:rPr>
          <w:noProof/>
        </w:rPr>
        <w:t>Detta ianspråktagande gäller ett belopp på 1 009,8 miljoner EUR utöver taket för rubrik 3 i den fleråriga budgetramen och är avsett att finansiera stöd till åtgärder för att hantera migrations-, flykting- och säkerhetskrisen. Tillsammans med det ursprungliga budgetförslaget för 2019 hade kommissionen lagt fram ett förslag om ianspråktagande av flexibilitetsmekanismen</w:t>
      </w:r>
      <w:r>
        <w:rPr>
          <w:rStyle w:val="FootnoteReference"/>
          <w:noProof/>
        </w:rPr>
        <w:footnoteReference w:id="3"/>
      </w:r>
      <w:r>
        <w:rPr>
          <w:noProof/>
        </w:rPr>
        <w:t xml:space="preserve"> för samma ändamål. Detta första ianspråktagande, som också omfattade 38,1 miljoner EUR som skulle tas i anspråk utöver taket för rubrik 1b för att finansiera utbyggnaden av stödprogrammet för strukturreformer, upphävs nu och ersätts av det föreliggande förslaget.</w:t>
      </w:r>
    </w:p>
    <w:p>
      <w:pPr>
        <w:rPr>
          <w:noProof/>
        </w:rPr>
      </w:pPr>
      <w:r>
        <w:rPr>
          <w:noProof/>
        </w:rPr>
        <w:t>De preliminära betalningsbemyndiganden som motsvarar det föreslagna ianspråktagandet av flexibilitetsmekanismen har beräknats på grundval av reglerna för förfinansiering, avräkning av förfinansiering och slutbetalningar för de olika typer av åtgärder som ska finansieras, och redovisas i nedanstående tabell:</w:t>
      </w:r>
    </w:p>
    <w:p>
      <w:pPr>
        <w:ind w:left="5040" w:firstLine="720"/>
        <w:jc w:val="left"/>
        <w:rPr>
          <w:noProof/>
        </w:rPr>
      </w:pPr>
      <w:r>
        <w:rPr>
          <w:i/>
          <w:noProof/>
          <w:sz w:val="16"/>
        </w:rPr>
        <w:t>(miljoner euro, löpande priser)</w:t>
      </w:r>
    </w:p>
    <w:tbl>
      <w:tblPr>
        <w:tblW w:w="7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5604"/>
      </w:tblGrid>
      <w:tr>
        <w:trPr>
          <w:jc w:val="center"/>
        </w:trPr>
        <w:tc>
          <w:tcPr>
            <w:tcW w:w="1560" w:type="dxa"/>
            <w:shd w:val="clear" w:color="auto" w:fill="D9D9D9"/>
          </w:tcPr>
          <w:p>
            <w:pPr>
              <w:spacing w:before="30" w:after="30"/>
              <w:jc w:val="center"/>
              <w:rPr>
                <w:b/>
                <w:noProof/>
                <w:sz w:val="16"/>
                <w:szCs w:val="16"/>
              </w:rPr>
            </w:pPr>
            <w:r>
              <w:rPr>
                <w:b/>
                <w:noProof/>
                <w:sz w:val="16"/>
              </w:rPr>
              <w:t>År</w:t>
            </w:r>
          </w:p>
        </w:tc>
        <w:tc>
          <w:tcPr>
            <w:tcW w:w="5604" w:type="dxa"/>
            <w:shd w:val="clear" w:color="auto" w:fill="D9D9D9"/>
          </w:tcPr>
          <w:p>
            <w:pPr>
              <w:spacing w:before="30" w:after="30"/>
              <w:jc w:val="center"/>
              <w:rPr>
                <w:b/>
                <w:noProof/>
                <w:sz w:val="16"/>
                <w:szCs w:val="16"/>
              </w:rPr>
            </w:pPr>
            <w:r>
              <w:rPr>
                <w:b/>
                <w:noProof/>
                <w:sz w:val="16"/>
              </w:rPr>
              <w:t>Betalningsbemyndiganden kopplade till ianspråktagandet av flexibilitetsmekanismen 2019</w:t>
            </w:r>
          </w:p>
        </w:tc>
      </w:tr>
      <w:tr>
        <w:trPr>
          <w:jc w:val="center"/>
        </w:trPr>
        <w:tc>
          <w:tcPr>
            <w:tcW w:w="1560" w:type="dxa"/>
            <w:shd w:val="clear" w:color="auto" w:fill="auto"/>
          </w:tcPr>
          <w:p>
            <w:pPr>
              <w:spacing w:before="30" w:after="30"/>
              <w:jc w:val="center"/>
              <w:rPr>
                <w:noProof/>
                <w:sz w:val="16"/>
                <w:szCs w:val="16"/>
              </w:rPr>
            </w:pPr>
            <w:r>
              <w:rPr>
                <w:noProof/>
                <w:sz w:val="16"/>
              </w:rPr>
              <w:t>2019</w:t>
            </w:r>
          </w:p>
        </w:tc>
        <w:tc>
          <w:tcPr>
            <w:tcW w:w="5604" w:type="dxa"/>
            <w:shd w:val="clear" w:color="auto" w:fill="auto"/>
          </w:tcPr>
          <w:p>
            <w:pPr>
              <w:spacing w:before="30" w:after="30"/>
              <w:jc w:val="right"/>
              <w:rPr>
                <w:noProof/>
                <w:sz w:val="16"/>
                <w:szCs w:val="16"/>
              </w:rPr>
            </w:pPr>
            <w:r>
              <w:rPr>
                <w:noProof/>
                <w:sz w:val="16"/>
              </w:rPr>
              <w:t>508,9</w:t>
            </w:r>
          </w:p>
        </w:tc>
      </w:tr>
      <w:tr>
        <w:trPr>
          <w:jc w:val="center"/>
        </w:trPr>
        <w:tc>
          <w:tcPr>
            <w:tcW w:w="1560" w:type="dxa"/>
            <w:shd w:val="clear" w:color="auto" w:fill="auto"/>
          </w:tcPr>
          <w:p>
            <w:pPr>
              <w:spacing w:before="30" w:after="30"/>
              <w:jc w:val="center"/>
              <w:rPr>
                <w:noProof/>
                <w:sz w:val="16"/>
                <w:szCs w:val="16"/>
              </w:rPr>
            </w:pPr>
            <w:r>
              <w:rPr>
                <w:noProof/>
                <w:sz w:val="16"/>
              </w:rPr>
              <w:t>2020</w:t>
            </w:r>
          </w:p>
        </w:tc>
        <w:tc>
          <w:tcPr>
            <w:tcW w:w="5604" w:type="dxa"/>
            <w:shd w:val="clear" w:color="auto" w:fill="auto"/>
          </w:tcPr>
          <w:p>
            <w:pPr>
              <w:spacing w:before="30" w:after="30"/>
              <w:jc w:val="right"/>
              <w:rPr>
                <w:noProof/>
                <w:sz w:val="16"/>
                <w:szCs w:val="16"/>
              </w:rPr>
            </w:pPr>
            <w:r>
              <w:rPr>
                <w:noProof/>
                <w:sz w:val="16"/>
              </w:rPr>
              <w:t>203,7</w:t>
            </w:r>
          </w:p>
        </w:tc>
      </w:tr>
      <w:tr>
        <w:trPr>
          <w:jc w:val="center"/>
        </w:trPr>
        <w:tc>
          <w:tcPr>
            <w:tcW w:w="1560" w:type="dxa"/>
            <w:shd w:val="clear" w:color="auto" w:fill="auto"/>
          </w:tcPr>
          <w:p>
            <w:pPr>
              <w:spacing w:before="30" w:after="30"/>
              <w:jc w:val="center"/>
              <w:rPr>
                <w:noProof/>
                <w:sz w:val="16"/>
                <w:szCs w:val="16"/>
              </w:rPr>
            </w:pPr>
            <w:r>
              <w:rPr>
                <w:noProof/>
                <w:sz w:val="16"/>
              </w:rPr>
              <w:t>2021</w:t>
            </w:r>
          </w:p>
        </w:tc>
        <w:tc>
          <w:tcPr>
            <w:tcW w:w="5604" w:type="dxa"/>
            <w:shd w:val="clear" w:color="auto" w:fill="auto"/>
          </w:tcPr>
          <w:p>
            <w:pPr>
              <w:spacing w:before="30" w:after="30"/>
              <w:jc w:val="right"/>
              <w:rPr>
                <w:noProof/>
                <w:sz w:val="16"/>
                <w:szCs w:val="16"/>
              </w:rPr>
            </w:pPr>
            <w:r>
              <w:rPr>
                <w:noProof/>
                <w:sz w:val="16"/>
              </w:rPr>
              <w:t>121,4</w:t>
            </w:r>
          </w:p>
        </w:tc>
      </w:tr>
      <w:tr>
        <w:trPr>
          <w:jc w:val="center"/>
        </w:trPr>
        <w:tc>
          <w:tcPr>
            <w:tcW w:w="1560" w:type="dxa"/>
            <w:shd w:val="clear" w:color="auto" w:fill="auto"/>
          </w:tcPr>
          <w:p>
            <w:pPr>
              <w:spacing w:before="30" w:after="30"/>
              <w:jc w:val="center"/>
              <w:rPr>
                <w:noProof/>
                <w:sz w:val="16"/>
                <w:szCs w:val="16"/>
              </w:rPr>
            </w:pPr>
            <w:r>
              <w:rPr>
                <w:noProof/>
                <w:sz w:val="16"/>
              </w:rPr>
              <w:t>2022</w:t>
            </w:r>
          </w:p>
        </w:tc>
        <w:tc>
          <w:tcPr>
            <w:tcW w:w="5604" w:type="dxa"/>
            <w:shd w:val="clear" w:color="auto" w:fill="auto"/>
          </w:tcPr>
          <w:p>
            <w:pPr>
              <w:spacing w:before="30" w:after="30"/>
              <w:jc w:val="right"/>
              <w:rPr>
                <w:noProof/>
                <w:sz w:val="16"/>
                <w:szCs w:val="16"/>
              </w:rPr>
            </w:pPr>
            <w:r>
              <w:rPr>
                <w:noProof/>
                <w:sz w:val="16"/>
              </w:rPr>
              <w:t>122,2</w:t>
            </w:r>
          </w:p>
        </w:tc>
      </w:tr>
      <w:tr>
        <w:trPr>
          <w:jc w:val="center"/>
        </w:trPr>
        <w:tc>
          <w:tcPr>
            <w:tcW w:w="1560" w:type="dxa"/>
            <w:shd w:val="clear" w:color="auto" w:fill="auto"/>
          </w:tcPr>
          <w:p>
            <w:pPr>
              <w:spacing w:before="30" w:after="30"/>
              <w:jc w:val="center"/>
              <w:rPr>
                <w:noProof/>
                <w:sz w:val="16"/>
                <w:szCs w:val="16"/>
              </w:rPr>
            </w:pPr>
            <w:r>
              <w:rPr>
                <w:noProof/>
                <w:sz w:val="16"/>
              </w:rPr>
              <w:t>2023</w:t>
            </w:r>
          </w:p>
        </w:tc>
        <w:tc>
          <w:tcPr>
            <w:tcW w:w="5604" w:type="dxa"/>
            <w:shd w:val="clear" w:color="auto" w:fill="auto"/>
          </w:tcPr>
          <w:p>
            <w:pPr>
              <w:spacing w:before="30" w:after="30"/>
              <w:jc w:val="right"/>
              <w:rPr>
                <w:noProof/>
                <w:sz w:val="16"/>
                <w:szCs w:val="16"/>
              </w:rPr>
            </w:pPr>
            <w:r>
              <w:rPr>
                <w:noProof/>
                <w:sz w:val="16"/>
              </w:rPr>
              <w:t>53,6</w:t>
            </w:r>
          </w:p>
        </w:tc>
      </w:tr>
      <w:tr>
        <w:trPr>
          <w:jc w:val="center"/>
        </w:trPr>
        <w:tc>
          <w:tcPr>
            <w:tcW w:w="1560" w:type="dxa"/>
            <w:shd w:val="clear" w:color="auto" w:fill="D9D9D9"/>
          </w:tcPr>
          <w:p>
            <w:pPr>
              <w:spacing w:before="30" w:after="30"/>
              <w:jc w:val="right"/>
              <w:rPr>
                <w:b/>
                <w:noProof/>
                <w:sz w:val="16"/>
                <w:szCs w:val="16"/>
              </w:rPr>
            </w:pPr>
            <w:r>
              <w:rPr>
                <w:b/>
                <w:noProof/>
                <w:sz w:val="16"/>
              </w:rPr>
              <w:t>Totalt</w:t>
            </w:r>
          </w:p>
        </w:tc>
        <w:tc>
          <w:tcPr>
            <w:tcW w:w="5604" w:type="dxa"/>
            <w:shd w:val="clear" w:color="auto" w:fill="D9D9D9"/>
          </w:tcPr>
          <w:p>
            <w:pPr>
              <w:spacing w:before="30" w:after="30"/>
              <w:jc w:val="right"/>
              <w:rPr>
                <w:b/>
                <w:noProof/>
                <w:sz w:val="16"/>
                <w:szCs w:val="16"/>
              </w:rPr>
            </w:pPr>
            <w:r>
              <w:rPr>
                <w:b/>
                <w:noProof/>
                <w:sz w:val="16"/>
              </w:rPr>
              <w:t>1 009,8</w:t>
            </w:r>
          </w:p>
        </w:tc>
      </w:tr>
    </w:tbl>
    <w:p>
      <w:pPr>
        <w:rPr>
          <w:noProof/>
        </w:rPr>
        <w:sectPr>
          <w:footerReference w:type="default" r:id="rId16"/>
          <w:footerReference w:type="first" r:id="rId17"/>
          <w:footnotePr>
            <w:numRestart w:val="eachSect"/>
          </w:footnotePr>
          <w:pgSz w:w="11907" w:h="16839"/>
          <w:pgMar w:top="1134" w:right="1417" w:bottom="1134" w:left="1417" w:header="709" w:footer="709" w:gutter="0"/>
          <w:cols w:space="708"/>
          <w:docGrid w:linePitch="360"/>
        </w:sectPr>
      </w:pPr>
    </w:p>
    <w:p>
      <w:pPr>
        <w:pStyle w:val="Statut"/>
        <w:rPr>
          <w:noProof/>
        </w:rPr>
      </w:pPr>
      <w:r>
        <w:rPr>
          <w:noProof/>
        </w:rPr>
        <w:lastRenderedPageBreak/>
        <w:t>Förslag till</w:t>
      </w:r>
    </w:p>
    <w:p>
      <w:pPr>
        <w:pStyle w:val="Typedudocument"/>
        <w:rPr>
          <w:noProof/>
        </w:rPr>
      </w:pPr>
      <w:r>
        <w:rPr>
          <w:noProof/>
        </w:rPr>
        <w:t>EUROPAPARLAMENTETS OCH RÅDETS BESLUT</w:t>
      </w:r>
    </w:p>
    <w:p>
      <w:pPr>
        <w:pStyle w:val="Titreobjet"/>
        <w:rPr>
          <w:noProof/>
        </w:rPr>
      </w:pPr>
      <w:r>
        <w:rPr>
          <w:noProof/>
        </w:rPr>
        <w:t>om ianspråktagande av flexibilitetsmekanismen för finansiering av omedelbara budgetåtgärder för att hantera de utmaningar som migration, flyktingströmmar och säkerhetshot innebär</w:t>
      </w:r>
    </w:p>
    <w:p>
      <w:pPr>
        <w:pStyle w:val="Institutionquiagit"/>
        <w:rPr>
          <w:noProof/>
        </w:rPr>
      </w:pPr>
      <w:r>
        <w:rPr>
          <w:noProof/>
        </w:rPr>
        <w:t>EUROPAPARLAMENTET OCH EUROPEISKA UNIONENS RÅD HAR ANTAGIT DETTA BESLUT</w:t>
      </w:r>
    </w:p>
    <w:p>
      <w:pPr>
        <w:rPr>
          <w:noProof/>
        </w:rPr>
      </w:pPr>
      <w:r>
        <w:rPr>
          <w:noProof/>
        </w:rPr>
        <w:t>med beaktande av fördraget om Europeiska unionens funktionssätt,</w:t>
      </w:r>
    </w:p>
    <w:p>
      <w:pPr>
        <w:rPr>
          <w:noProof/>
        </w:rPr>
      </w:pPr>
      <w:r>
        <w:rPr>
          <w:noProof/>
        </w:rPr>
        <w:t>med beaktande av det interinstitutionella avtalet av den 2 december 2013 mellan Europaparlamentet, rådet och kommissionen om budgetdisciplin, samarbete i budgetfrågor och sund ekonomisk förvaltning</w:t>
      </w:r>
      <w:r>
        <w:rPr>
          <w:rStyle w:val="FootnoteReference"/>
          <w:noProof/>
        </w:rPr>
        <w:footnoteReference w:id="4"/>
      </w:r>
      <w:r>
        <w:rPr>
          <w:noProof/>
        </w:rPr>
        <w:t>, särskilt punkt 12,</w:t>
      </w:r>
    </w:p>
    <w:p>
      <w:pPr>
        <w:rPr>
          <w:noProof/>
        </w:rPr>
      </w:pPr>
      <w:r>
        <w:rPr>
          <w:noProof/>
        </w:rPr>
        <w:t>med beaktande av Europeiska kommissionens förslag, och</w:t>
      </w:r>
    </w:p>
    <w:p>
      <w:pPr>
        <w:rPr>
          <w:noProof/>
        </w:rPr>
      </w:pPr>
      <w:r>
        <w:rPr>
          <w:noProof/>
        </w:rPr>
        <w:t xml:space="preserve">av följande skäl: </w:t>
      </w:r>
    </w:p>
    <w:p>
      <w:pPr>
        <w:pStyle w:val="Point0number"/>
        <w:numPr>
          <w:ilvl w:val="0"/>
          <w:numId w:val="6"/>
        </w:numPr>
        <w:spacing w:before="0" w:after="0"/>
        <w:rPr>
          <w:noProof/>
        </w:rPr>
      </w:pPr>
      <w:r>
        <w:rPr>
          <w:noProof/>
        </w:rPr>
        <w:t>Flexibilitetsmekanismen ska göra det möjligt att finansiera klart angivna utgifter som inte kan finansieras inom taken för en eller flera andra rubriker.</w:t>
      </w:r>
    </w:p>
    <w:p>
      <w:pPr>
        <w:pStyle w:val="Point0number"/>
        <w:numPr>
          <w:ilvl w:val="0"/>
          <w:numId w:val="6"/>
        </w:numPr>
        <w:rPr>
          <w:noProof/>
        </w:rPr>
      </w:pPr>
      <w:r>
        <w:rPr>
          <w:noProof/>
        </w:rPr>
        <w:t>I artikel 11 i rådets förordning (EU, Euratom) nr 1311/2013</w:t>
      </w:r>
      <w:r>
        <w:rPr>
          <w:rStyle w:val="FootnoteReference"/>
          <w:noProof/>
        </w:rPr>
        <w:footnoteReference w:id="5"/>
      </w:r>
      <w:r>
        <w:rPr>
          <w:noProof/>
        </w:rPr>
        <w:t xml:space="preserve"> fastställs ett tak för flexibilitetsmekanismen, vilket uppgår till 600 000 000 EUR i 2011 års priser. </w:t>
      </w:r>
    </w:p>
    <w:p>
      <w:pPr>
        <w:pStyle w:val="Point0number"/>
        <w:numPr>
          <w:ilvl w:val="0"/>
          <w:numId w:val="6"/>
        </w:numPr>
        <w:spacing w:before="0" w:after="0"/>
        <w:rPr>
          <w:noProof/>
        </w:rPr>
      </w:pPr>
      <w:r>
        <w:rPr>
          <w:noProof/>
        </w:rPr>
        <w:t>För att hantera de utmaningar som migration, flyktingströmmar och säkerhetshot innebär är det nödvändigt att ytterligare betydande belopp brådskande tas i anspråk för att finansiera sådana åtgärder.</w:t>
      </w:r>
    </w:p>
    <w:p>
      <w:pPr>
        <w:pStyle w:val="Point0number"/>
        <w:rPr>
          <w:noProof/>
        </w:rPr>
      </w:pPr>
      <w:r>
        <w:rPr>
          <w:noProof/>
        </w:rPr>
        <w:t>Efter att ha undersökt alla möjligheter till omfördelning av anslag under utgiftstaket för rubrik 3 (</w:t>
      </w:r>
      <w:r>
        <w:rPr>
          <w:i/>
          <w:noProof/>
        </w:rPr>
        <w:t>Säkerhet och medborgarskap</w:t>
      </w:r>
      <w:r>
        <w:rPr>
          <w:noProof/>
        </w:rPr>
        <w:t>) är det nödvändigt att ta flexibilitetsmekanismen i anspråk, för att komplettera den finansiering som finns tillgänglig i unionens allmänna budget för budgetåret 2019, med 1 009 839 138 EUR utöver taket för rubrik 3 för att finansiera åtgärder på området migration, flyktingar och säkerhet.</w:t>
      </w:r>
    </w:p>
    <w:p>
      <w:pPr>
        <w:pStyle w:val="Point0number"/>
        <w:rPr>
          <w:noProof/>
        </w:rPr>
      </w:pPr>
      <w:r>
        <w:rPr>
          <w:noProof/>
        </w:rPr>
        <w:t>På grundval av den förväntade betalningsprofilen bör de betalningsbemyndiganden som motsvarar ianspråktagandet av flexibilitetsmekanismen fördelas över flera budgetår.</w:t>
      </w:r>
    </w:p>
    <w:p>
      <w:pPr>
        <w:pStyle w:val="Point0number"/>
        <w:rPr>
          <w:noProof/>
        </w:rPr>
      </w:pPr>
      <w:r>
        <w:rPr>
          <w:noProof/>
        </w:rPr>
        <w:t>För att möjliggöra ett snabbt utnyttjande av medlen bör detta beslut tillämpas från och med början av budgetåret 2019.</w:t>
      </w:r>
    </w:p>
    <w:p>
      <w:pPr>
        <w:pStyle w:val="Formuledadoption"/>
        <w:rPr>
          <w:noProof/>
        </w:rPr>
      </w:pPr>
      <w:r>
        <w:rPr>
          <w:noProof/>
        </w:rPr>
        <w:lastRenderedPageBreak/>
        <w:t>HÄRIGENOM FÖRESKRIVS FÖLJANDE.</w:t>
      </w:r>
    </w:p>
    <w:p>
      <w:pPr>
        <w:pStyle w:val="Titrearticle"/>
        <w:rPr>
          <w:noProof/>
        </w:rPr>
      </w:pPr>
      <w:r>
        <w:rPr>
          <w:noProof/>
        </w:rPr>
        <w:t>Artikel 1</w:t>
      </w:r>
    </w:p>
    <w:p>
      <w:pPr>
        <w:pStyle w:val="Point0number"/>
        <w:numPr>
          <w:ilvl w:val="0"/>
          <w:numId w:val="5"/>
        </w:numPr>
        <w:spacing w:before="0" w:after="0"/>
        <w:rPr>
          <w:noProof/>
        </w:rPr>
      </w:pPr>
      <w:r>
        <w:rPr>
          <w:noProof/>
        </w:rPr>
        <w:t>För unionens allmänna budget för budgetåret 2019 ska flexibilitetsmekanismen tas i anspråk för att tillhandahålla ett belopp på 1 009 839 138 EUR i åtagandebemyndiganden under rubrik 3 (</w:t>
      </w:r>
      <w:r>
        <w:rPr>
          <w:i/>
          <w:noProof/>
        </w:rPr>
        <w:t>Säkerhet och medborgarskap</w:t>
      </w:r>
      <w:r>
        <w:rPr>
          <w:noProof/>
        </w:rPr>
        <w:t>).</w:t>
      </w:r>
    </w:p>
    <w:p>
      <w:pPr>
        <w:rPr>
          <w:noProof/>
        </w:rPr>
      </w:pPr>
      <w:r>
        <w:rPr>
          <w:noProof/>
        </w:rPr>
        <w:t>Det belopp som avses i första stycket ska användas till att finansiera åtgärder för att hantera de utmaningar som migration, flyktingströmmar och säkerhetshot innebär.</w:t>
      </w:r>
    </w:p>
    <w:p>
      <w:pPr>
        <w:pStyle w:val="Point0number"/>
        <w:numPr>
          <w:ilvl w:val="0"/>
          <w:numId w:val="5"/>
        </w:numPr>
        <w:spacing w:before="0" w:after="0"/>
        <w:rPr>
          <w:noProof/>
        </w:rPr>
      </w:pPr>
      <w:r>
        <w:rPr>
          <w:noProof/>
        </w:rPr>
        <w:t>På grundval av den förväntade betalningsprofilen ska de betalningsbemyndiganden som motsvarar ianspråktagandet av flexibilitetsmekanismen uppskattas på följande sätt:</w:t>
      </w:r>
    </w:p>
    <w:p>
      <w:pPr>
        <w:pStyle w:val="Point0letter"/>
        <w:tabs>
          <w:tab w:val="clear" w:pos="850"/>
          <w:tab w:val="num" w:pos="426"/>
        </w:tabs>
        <w:ind w:left="426" w:hanging="424"/>
        <w:rPr>
          <w:noProof/>
        </w:rPr>
      </w:pPr>
      <w:r>
        <w:rPr>
          <w:noProof/>
        </w:rPr>
        <w:t>508 897 672 EUR år 2019,</w:t>
      </w:r>
    </w:p>
    <w:p>
      <w:pPr>
        <w:pStyle w:val="Point0letter"/>
        <w:tabs>
          <w:tab w:val="clear" w:pos="850"/>
          <w:tab w:val="num" w:pos="426"/>
        </w:tabs>
        <w:ind w:left="426" w:hanging="424"/>
        <w:rPr>
          <w:noProof/>
        </w:rPr>
      </w:pPr>
      <w:r>
        <w:rPr>
          <w:noProof/>
        </w:rPr>
        <w:t>203 643 836 EUR år 2020,</w:t>
      </w:r>
    </w:p>
    <w:p>
      <w:pPr>
        <w:pStyle w:val="Point0letter"/>
        <w:tabs>
          <w:tab w:val="clear" w:pos="850"/>
          <w:tab w:val="num" w:pos="426"/>
        </w:tabs>
        <w:ind w:left="426" w:hanging="424"/>
        <w:rPr>
          <w:noProof/>
        </w:rPr>
      </w:pPr>
      <w:r>
        <w:rPr>
          <w:noProof/>
        </w:rPr>
        <w:t>121 431 721 EUR år 2021,</w:t>
      </w:r>
    </w:p>
    <w:p>
      <w:pPr>
        <w:pStyle w:val="Point0letter"/>
        <w:tabs>
          <w:tab w:val="clear" w:pos="850"/>
          <w:tab w:val="num" w:pos="426"/>
        </w:tabs>
        <w:ind w:left="426" w:hanging="424"/>
        <w:rPr>
          <w:noProof/>
        </w:rPr>
      </w:pPr>
      <w:r>
        <w:rPr>
          <w:noProof/>
        </w:rPr>
        <w:t>122 227 946 EUR år 2022,</w:t>
      </w:r>
    </w:p>
    <w:p>
      <w:pPr>
        <w:pStyle w:val="Point0letter"/>
        <w:tabs>
          <w:tab w:val="clear" w:pos="850"/>
          <w:tab w:val="num" w:pos="426"/>
        </w:tabs>
        <w:ind w:left="426" w:hanging="424"/>
        <w:rPr>
          <w:noProof/>
        </w:rPr>
      </w:pPr>
      <w:r>
        <w:rPr>
          <w:noProof/>
        </w:rPr>
        <w:t>53 637 963 EUR år 2023.</w:t>
      </w:r>
    </w:p>
    <w:p>
      <w:pPr>
        <w:rPr>
          <w:noProof/>
        </w:rPr>
      </w:pPr>
      <w:r>
        <w:rPr>
          <w:noProof/>
        </w:rPr>
        <w:t>De specifika beloppen för betalningsbemyndigandena för varje budgetår ska godkännas i enlighet med det årliga budgetförfarandet.</w:t>
      </w:r>
    </w:p>
    <w:p>
      <w:pPr>
        <w:pStyle w:val="Titrearticle"/>
        <w:rPr>
          <w:noProof/>
        </w:rPr>
      </w:pPr>
      <w:r>
        <w:rPr>
          <w:noProof/>
        </w:rPr>
        <w:t>Artikel 2</w:t>
      </w:r>
    </w:p>
    <w:p>
      <w:pPr>
        <w:rPr>
          <w:i/>
          <w:noProof/>
        </w:rPr>
      </w:pPr>
      <w:r>
        <w:rPr>
          <w:noProof/>
        </w:rPr>
        <w:t xml:space="preserve">Detta beslut träder i kraft samma dag som det offentliggörs i </w:t>
      </w:r>
      <w:r>
        <w:rPr>
          <w:i/>
          <w:noProof/>
        </w:rPr>
        <w:t>Europeiska unionens officiella tidning</w:t>
      </w:r>
      <w:r>
        <w:rPr>
          <w:noProof/>
        </w:rPr>
        <w:t>.</w:t>
      </w:r>
    </w:p>
    <w:p>
      <w:pPr>
        <w:rPr>
          <w:noProof/>
        </w:rPr>
      </w:pPr>
      <w:r>
        <w:rPr>
          <w:noProof/>
        </w:rPr>
        <w:t>Det ska tillämpas från och med den 1 januari 2019.</w:t>
      </w:r>
    </w:p>
    <w:p>
      <w:pPr>
        <w:rPr>
          <w:i/>
          <w:noProof/>
        </w:rPr>
      </w:pPr>
    </w:p>
    <w:p>
      <w:pPr>
        <w:pStyle w:val="Fait"/>
        <w:rPr>
          <w:noProof/>
        </w:rPr>
      </w:pPr>
      <w:r>
        <w:t>Utfärdat i Bryssel den</w:t>
      </w:r>
    </w:p>
    <w:p>
      <w:pPr>
        <w:pStyle w:val="Institutionquisigne"/>
        <w:rPr>
          <w:noProof/>
        </w:rPr>
      </w:pPr>
      <w:r>
        <w:rPr>
          <w:noProof/>
        </w:rPr>
        <w:t>På Europaparlamentets vägnar</w:t>
      </w:r>
      <w:r>
        <w:rPr>
          <w:noProof/>
        </w:rPr>
        <w:tab/>
        <w:t>På rådets vägnar</w:t>
      </w:r>
    </w:p>
    <w:p>
      <w:pPr>
        <w:pStyle w:val="Personnequisigne"/>
        <w:rPr>
          <w:noProof/>
        </w:rPr>
      </w:pPr>
      <w:r>
        <w:rPr>
          <w:noProof/>
        </w:rPr>
        <w:t>Ordförande</w:t>
      </w:r>
      <w:r>
        <w:rPr>
          <w:noProof/>
        </w:rPr>
        <w:tab/>
        <w:t>Ordförande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3</w:t>
    </w:r>
    <w:r>
      <w:fldChar w:fldCharType="end"/>
    </w:r>
    <w:r>
      <w:tab/>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fr-FR"/>
        </w:rPr>
      </w:pPr>
      <w:r>
        <w:rPr>
          <w:rStyle w:val="FootnoteReference"/>
        </w:rPr>
        <w:footnoteRef/>
      </w:r>
      <w:r>
        <w:rPr>
          <w:lang w:val="fr-FR"/>
        </w:rPr>
        <w:tab/>
        <w:t>EUT L 347, 20.12.2013, s. 884.</w:t>
      </w:r>
    </w:p>
  </w:footnote>
  <w:footnote w:id="2">
    <w:p>
      <w:pPr>
        <w:pStyle w:val="FootnoteText"/>
        <w:rPr>
          <w:lang w:val="fr-FR"/>
        </w:rPr>
      </w:pPr>
      <w:r>
        <w:rPr>
          <w:rStyle w:val="FootnoteReference"/>
        </w:rPr>
        <w:footnoteRef/>
      </w:r>
      <w:r>
        <w:rPr>
          <w:lang w:val="fr-FR"/>
        </w:rPr>
        <w:tab/>
        <w:t>EUT C 373, 20.12.2013, s. 1.</w:t>
      </w:r>
    </w:p>
  </w:footnote>
  <w:footnote w:id="3">
    <w:p>
      <w:pPr>
        <w:pStyle w:val="FootnoteText"/>
      </w:pPr>
      <w:r>
        <w:rPr>
          <w:rStyle w:val="FootnoteReference"/>
        </w:rPr>
        <w:footnoteRef/>
      </w:r>
      <w:r>
        <w:tab/>
        <w:t>COM(2018) 280, 23.5.2018.</w:t>
      </w:r>
    </w:p>
  </w:footnote>
  <w:footnote w:id="4">
    <w:p>
      <w:pPr>
        <w:pStyle w:val="FootnoteText"/>
      </w:pPr>
      <w:r>
        <w:rPr>
          <w:rStyle w:val="FootnoteReference"/>
        </w:rPr>
        <w:footnoteRef/>
      </w:r>
      <w:r>
        <w:tab/>
        <w:t>EUT C 373, 20.12.2013, s. 1.</w:t>
      </w:r>
    </w:p>
  </w:footnote>
  <w:footnote w:id="5">
    <w:p>
      <w:pPr>
        <w:pStyle w:val="FootnoteText"/>
      </w:pPr>
      <w:r>
        <w:rPr>
          <w:rStyle w:val="FootnoteReference"/>
        </w:rPr>
        <w:footnoteRef/>
      </w:r>
      <w:r>
        <w:tab/>
        <w:t>Rådets förordning (EU, Euratom) nr 1311/2013 av den 2 december 2013 om den fleråriga budgetramen för 2014–2020 (EUT L 347, 20.12.2013, s. 884).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F5A3E1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B2AA32C"/>
    <w:lvl w:ilvl="0">
      <w:start w:val="1"/>
      <w:numFmt w:val="decimal"/>
      <w:pStyle w:val="ListNumber3"/>
      <w:lvlText w:val="%1."/>
      <w:lvlJc w:val="left"/>
      <w:pPr>
        <w:tabs>
          <w:tab w:val="num" w:pos="926"/>
        </w:tabs>
        <w:ind w:left="926" w:hanging="360"/>
      </w:pPr>
    </w:lvl>
  </w:abstractNum>
  <w:abstractNum w:abstractNumId="2">
    <w:nsid w:val="FFFFFF7F"/>
    <w:multiLevelType w:val="singleLevel"/>
    <w:tmpl w:val="7A8E05A8"/>
    <w:lvl w:ilvl="0">
      <w:start w:val="1"/>
      <w:numFmt w:val="decimal"/>
      <w:pStyle w:val="ListNumber2"/>
      <w:lvlText w:val="%1."/>
      <w:lvlJc w:val="left"/>
      <w:pPr>
        <w:tabs>
          <w:tab w:val="num" w:pos="643"/>
        </w:tabs>
        <w:ind w:left="643" w:hanging="360"/>
      </w:pPr>
    </w:lvl>
  </w:abstractNum>
  <w:abstractNum w:abstractNumId="3">
    <w:nsid w:val="FFFFFF81"/>
    <w:multiLevelType w:val="singleLevel"/>
    <w:tmpl w:val="334694D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C0C6E7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880952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9561700"/>
    <w:lvl w:ilvl="0">
      <w:start w:val="1"/>
      <w:numFmt w:val="decimal"/>
      <w:pStyle w:val="ListNumber"/>
      <w:lvlText w:val="%1."/>
      <w:lvlJc w:val="left"/>
      <w:pPr>
        <w:tabs>
          <w:tab w:val="num" w:pos="360"/>
        </w:tabs>
        <w:ind w:left="360" w:hanging="360"/>
      </w:pPr>
    </w:lvl>
  </w:abstractNum>
  <w:abstractNum w:abstractNumId="7">
    <w:nsid w:val="FFFFFF89"/>
    <w:multiLevelType w:val="singleLevel"/>
    <w:tmpl w:val="6A8ABE6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28"/>
  <w:hideSpellingErrors/>
  <w:hideGrammaticalErrors/>
  <w:attachedTemplate r:id="rId1"/>
  <w:revisionView w:markup="0"/>
  <w:defaultTabStop w:val="720"/>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10-29 11:16:5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6"/>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04A80FC7-7E67-433C-A667-3E08A9F3BD00"/>
    <w:docVar w:name="LW_COVERPAGE_TYPE" w:val="1"/>
    <w:docVar w:name="LW_CROSSREFERENCE" w:val="&lt;UNUSED&gt;"/>
    <w:docVar w:name="LW_DocType" w:val="COM"/>
    <w:docVar w:name="LW_EMISSION" w:val="16.10.2018"/>
    <w:docVar w:name="LW_EMISSION_ISODATE" w:val="2018-10-16"/>
    <w:docVar w:name="LW_EMISSION_LOCATION" w:val="BRX"/>
    <w:docVar w:name="LW_EMISSION_PREFIX" w:val="Bryssel den "/>
    <w:docVar w:name="LW_EMISSION_SUFFIX" w:val="&lt;EMPTY&gt;"/>
    <w:docVar w:name="LW_ID_DOCMODEL" w:val="SJ-026"/>
    <w:docVar w:name="LW_ID_DOCSIGNATURE" w:val="SJ-026"/>
    <w:docVar w:name="LW_ID_DOCSTRUCTURE" w:val="COM/PL/ORG"/>
    <w:docVar w:name="LW_ID_DOCTYPE" w:val="SJ-026"/>
    <w:docVar w:name="LW_ID_EXP.MOTIFS.NEW" w:val="EM_PL_"/>
    <w:docVar w:name="LW_ID_STATUT" w:val="SJ-026"/>
    <w:docVar w:name="LW_INTERETEEE.CP" w:val="&lt;UNUSED&gt;"/>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lt;UNUSED&gt;"/>
    <w:docVar w:name="LW_REF.II.NEW.CP_NUMBER" w:val="&lt;UNUSED&gt;"/>
    <w:docVar w:name="LW_REF.II.NEW.CP_YEAR" w:val="2018"/>
    <w:docVar w:name="LW_REF.INST.NEW" w:val="COM"/>
    <w:docVar w:name="LW_REF.INST.NEW_ADOPTED" w:val="final"/>
    <w:docVar w:name="LW_REF.INST.NEW_TEXT" w:val="(2018) 70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Förslag till"/>
    <w:docVar w:name="LW_SUPERTITRE" w:val="&lt;UNUSED&gt;"/>
    <w:docVar w:name="LW_TITRE.OBJ.CP" w:val="om ianspråktagande av flexibilitetsmekanismen för finansiering av omedelbara budgetåtgärder för att hantera de utmaningar som migration, flyktingströmmar och säkerhetshot innebär"/>
    <w:docVar w:name="LW_TYPE.DOC.CP" w:val="EUROPAPARLAMENTETS OCH RÅDETS BESLUT"/>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405E367-952F-4E3B-ABBA-6138E379F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4</Pages>
  <Words>725</Words>
  <Characters>4412</Characters>
  <Application>Microsoft Office Word</Application>
  <DocSecurity>0</DocSecurity>
  <Lines>100</Lines>
  <Paragraphs>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17</cp:revision>
  <cp:lastPrinted>2018-10-05T12:09:00Z</cp:lastPrinted>
  <dcterms:created xsi:type="dcterms:W3CDTF">2018-10-23T10:53:00Z</dcterms:created>
  <dcterms:modified xsi:type="dcterms:W3CDTF">2018-10-29T10:16:00Z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SJ-026</vt:lpwstr>
  </property>
  <property fmtid="{D5CDD505-2E9C-101B-9397-08002B2CF9AE}" pid="10" name="DQCStatus">
    <vt:lpwstr>Green (DQC version 03)</vt:lpwstr>
  </property>
</Properties>
</file>