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83BAA27A-26D5-4090-96B7-24B8503996DB" style="width:450.45pt;height:379.6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ANHANG 1</w:t>
      </w:r>
    </w:p>
    <w:p>
      <w:pPr>
        <w:spacing w:after="240"/>
        <w:jc w:val="center"/>
        <w:rPr>
          <w:b/>
          <w:noProof/>
        </w:rPr>
      </w:pPr>
      <w:r>
        <w:rPr>
          <w:b/>
          <w:noProof/>
        </w:rPr>
        <w:t>Zahl der im Jahr 2017 bei der Kommission (im Rahmen des politischen Dialogs und des Subsidiaritätskontrollmechanismus) eingegangenen Stellungnahmen, aufgeschlüsselt nach nationalem Parlament/Kammer</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98"/>
        <w:gridCol w:w="3582"/>
        <w:gridCol w:w="1713"/>
        <w:gridCol w:w="2349"/>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Mitgliedstaat</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Kammer</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Gesamtzahl der Stellungnahmen</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Davon begründete Stellungnahmen</w:t>
            </w:r>
            <w:r>
              <w:rPr>
                <w:b/>
                <w:bCs/>
                <w:noProof/>
                <w:color w:val="000000"/>
                <w:sz w:val="22"/>
                <w:szCs w:val="22"/>
              </w:rPr>
              <w:br/>
            </w:r>
            <w:r>
              <w:rPr>
                <w:b/>
                <w:noProof/>
                <w:sz w:val="22"/>
              </w:rPr>
              <w:t>(Protokoll Nr. 2)</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Portugal</w:t>
            </w:r>
          </w:p>
        </w:tc>
        <w:tc>
          <w:tcPr>
            <w:tcW w:w="3609" w:type="dxa"/>
            <w:shd w:val="clear" w:color="auto" w:fill="auto"/>
            <w:vAlign w:val="center"/>
          </w:tcPr>
          <w:p>
            <w:pPr>
              <w:jc w:val="center"/>
              <w:rPr>
                <w:i/>
                <w:iCs/>
                <w:noProof/>
                <w:color w:val="000000"/>
                <w:sz w:val="22"/>
                <w:szCs w:val="22"/>
              </w:rPr>
            </w:pPr>
            <w:r>
              <w:rPr>
                <w:i/>
                <w:noProof/>
                <w:color w:val="000000"/>
                <w:sz w:val="22"/>
              </w:rPr>
              <w:t>Assembleia da República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Italien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Tschechische Republik</w:t>
            </w:r>
          </w:p>
        </w:tc>
        <w:tc>
          <w:tcPr>
            <w:tcW w:w="3609" w:type="dxa"/>
            <w:shd w:val="clear" w:color="auto" w:fill="auto"/>
            <w:vAlign w:val="center"/>
          </w:tcPr>
          <w:p>
            <w:pPr>
              <w:jc w:val="center"/>
              <w:rPr>
                <w:i/>
                <w:iCs/>
                <w:noProof/>
                <w:color w:val="000000"/>
                <w:sz w:val="22"/>
                <w:szCs w:val="22"/>
              </w:rPr>
            </w:pPr>
            <w:r>
              <w:rPr>
                <w:i/>
                <w:noProof/>
                <w:color w:val="000000"/>
                <w:sz w:val="22"/>
              </w:rPr>
              <w:t>Senát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Italien</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Deutschland</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Rumänien</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Spanien</w:t>
            </w:r>
          </w:p>
        </w:tc>
        <w:tc>
          <w:tcPr>
            <w:tcW w:w="3609" w:type="dxa"/>
            <w:shd w:val="clear" w:color="auto" w:fill="auto"/>
            <w:vAlign w:val="center"/>
          </w:tcPr>
          <w:p>
            <w:pPr>
              <w:jc w:val="center"/>
              <w:rPr>
                <w:noProof/>
                <w:color w:val="000000"/>
                <w:sz w:val="22"/>
                <w:szCs w:val="22"/>
              </w:rPr>
            </w:pPr>
            <w:r>
              <w:rPr>
                <w:i/>
                <w:noProof/>
                <w:color w:val="000000"/>
                <w:sz w:val="22"/>
              </w:rPr>
              <w:t>Las Cortes Generales:</w:t>
            </w:r>
            <w:r>
              <w:rPr>
                <w:noProof/>
                <w:color w:val="000000"/>
                <w:sz w:val="22"/>
                <w:szCs w:val="22"/>
              </w:rPr>
              <w:br/>
            </w:r>
            <w:r>
              <w:rPr>
                <w:i/>
                <w:noProof/>
                <w:color w:val="000000"/>
                <w:sz w:val="22"/>
              </w:rPr>
              <w:t>Senado de España</w:t>
            </w:r>
            <w:r>
              <w:rPr>
                <w:noProof/>
                <w:color w:val="000000"/>
                <w:sz w:val="22"/>
              </w:rPr>
              <w:t xml:space="preserve"> und</w:t>
            </w:r>
            <w:r>
              <w:rPr>
                <w:noProof/>
                <w:color w:val="000000"/>
                <w:sz w:val="22"/>
                <w:szCs w:val="22"/>
              </w:rPr>
              <w:br/>
            </w:r>
            <w:r>
              <w:rPr>
                <w:i/>
                <w:noProof/>
                <w:color w:val="000000"/>
                <w:sz w:val="22"/>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Rumänien</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Frankreich</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Vereinigtes Königreich</w:t>
            </w:r>
          </w:p>
        </w:tc>
        <w:tc>
          <w:tcPr>
            <w:tcW w:w="3609" w:type="dxa"/>
            <w:shd w:val="clear" w:color="auto" w:fill="auto"/>
            <w:vAlign w:val="center"/>
          </w:tcPr>
          <w:p>
            <w:pPr>
              <w:jc w:val="center"/>
              <w:rPr>
                <w:i/>
                <w:iCs/>
                <w:noProof/>
                <w:color w:val="000000"/>
                <w:sz w:val="22"/>
                <w:szCs w:val="22"/>
              </w:rPr>
            </w:pPr>
            <w:r>
              <w:rPr>
                <w:i/>
                <w:noProof/>
                <w:color w:val="000000"/>
                <w:sz w:val="22"/>
              </w:rPr>
              <w:t>House of Lords</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Tschechische Republik</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Schweden</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Frankreich</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Österreich</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Polen</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Ungarn</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Deutschland</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Niederlande</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Polen</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w:t>
            </w:r>
          </w:p>
        </w:tc>
        <w:tc>
          <w:tcPr>
            <w:tcW w:w="3609" w:type="dxa"/>
            <w:shd w:val="clear" w:color="auto" w:fill="auto"/>
            <w:vAlign w:val="center"/>
          </w:tcPr>
          <w:p>
            <w:pPr>
              <w:jc w:val="center"/>
              <w:rPr>
                <w:noProof/>
                <w:color w:val="000000"/>
                <w:sz w:val="22"/>
                <w:szCs w:val="22"/>
              </w:rPr>
            </w:pPr>
            <w:r>
              <w:rPr>
                <w:noProof/>
                <w:color w:val="000000"/>
                <w:sz w:val="22"/>
              </w:rPr>
              <w:t xml:space="preserve">Houses of the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und </w:t>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Dänemark</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Slowakei</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Niederlande</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Zypern</w:t>
            </w:r>
          </w:p>
        </w:tc>
        <w:tc>
          <w:tcPr>
            <w:tcW w:w="3609" w:type="dxa"/>
            <w:shd w:val="clear" w:color="auto" w:fill="auto"/>
            <w:vAlign w:val="center"/>
          </w:tcPr>
          <w:p>
            <w:pPr>
              <w:jc w:val="center"/>
              <w:rPr>
                <w:i/>
                <w:iCs/>
                <w:noProof/>
                <w:color w:val="000000"/>
                <w:sz w:val="22"/>
                <w:szCs w:val="22"/>
              </w:rPr>
            </w:pPr>
            <w:r>
              <w:rPr>
                <w:i/>
                <w:noProof/>
                <w:color w:val="000000"/>
                <w:sz w:val="22"/>
              </w:rPr>
              <w:t>Vouli ton Antiprosopon /</w:t>
            </w:r>
            <w:r>
              <w:rPr>
                <w:i/>
                <w:iCs/>
                <w:noProof/>
                <w:color w:val="000000"/>
                <w:sz w:val="22"/>
                <w:szCs w:val="22"/>
              </w:rPr>
              <w:br/>
            </w:r>
            <w:r>
              <w:rPr>
                <w:i/>
                <w:noProof/>
                <w:color w:val="000000"/>
                <w:sz w:val="22"/>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Vereinigtes Königreich</w:t>
            </w:r>
          </w:p>
        </w:tc>
        <w:tc>
          <w:tcPr>
            <w:tcW w:w="3609" w:type="dxa"/>
            <w:shd w:val="clear" w:color="auto" w:fill="auto"/>
            <w:vAlign w:val="center"/>
          </w:tcPr>
          <w:p>
            <w:pPr>
              <w:jc w:val="center"/>
              <w:rPr>
                <w:noProof/>
                <w:color w:val="000000"/>
                <w:sz w:val="22"/>
                <w:szCs w:val="22"/>
              </w:rPr>
            </w:pPr>
            <w:r>
              <w:rPr>
                <w:i/>
                <w:noProof/>
                <w:color w:val="000000"/>
                <w:sz w:val="22"/>
              </w:rPr>
              <w:t>House of Commons</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Griechenland</w:t>
            </w:r>
          </w:p>
        </w:tc>
        <w:tc>
          <w:tcPr>
            <w:tcW w:w="3609" w:type="dxa"/>
            <w:shd w:val="clear" w:color="auto" w:fill="auto"/>
            <w:vAlign w:val="center"/>
          </w:tcPr>
          <w:p>
            <w:pPr>
              <w:jc w:val="center"/>
              <w:rPr>
                <w:i/>
                <w:iCs/>
                <w:noProof/>
                <w:color w:val="000000"/>
                <w:sz w:val="22"/>
                <w:szCs w:val="22"/>
              </w:rPr>
            </w:pPr>
            <w:r>
              <w:rPr>
                <w:i/>
                <w:noProof/>
                <w:color w:val="000000"/>
                <w:sz w:val="22"/>
              </w:rPr>
              <w:t>Vouli ton Ellinon</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w:t>
            </w:r>
          </w:p>
        </w:tc>
        <w:tc>
          <w:tcPr>
            <w:tcW w:w="3609" w:type="dxa"/>
            <w:shd w:val="clear" w:color="auto" w:fill="auto"/>
            <w:vAlign w:val="center"/>
          </w:tcPr>
          <w:p>
            <w:pPr>
              <w:jc w:val="center"/>
              <w:rPr>
                <w:noProof/>
                <w:color w:val="000000"/>
                <w:sz w:val="22"/>
                <w:szCs w:val="22"/>
              </w:rPr>
            </w:pPr>
            <w:r>
              <w:rPr>
                <w:noProof/>
                <w:color w:val="000000"/>
                <w:sz w:val="22"/>
              </w:rPr>
              <w:t xml:space="preserve">Houses of the </w:t>
            </w:r>
            <w:r>
              <w:rPr>
                <w:i/>
                <w:noProof/>
                <w:color w:val="000000"/>
                <w:sz w:val="22"/>
              </w:rPr>
              <w:t>Oireachtas:</w:t>
            </w:r>
            <w:r>
              <w:rPr>
                <w:noProof/>
                <w:color w:val="000000"/>
                <w:sz w:val="22"/>
                <w:szCs w:val="22"/>
              </w:rPr>
              <w:br/>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Belgien</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Kroatien</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Litauen</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w:t>
            </w:r>
          </w:p>
        </w:tc>
        <w:tc>
          <w:tcPr>
            <w:tcW w:w="3609" w:type="dxa"/>
            <w:shd w:val="clear" w:color="auto" w:fill="auto"/>
            <w:vAlign w:val="center"/>
          </w:tcPr>
          <w:p>
            <w:pPr>
              <w:jc w:val="center"/>
              <w:rPr>
                <w:noProof/>
                <w:color w:val="000000"/>
                <w:sz w:val="22"/>
                <w:szCs w:val="22"/>
              </w:rPr>
            </w:pPr>
            <w:r>
              <w:rPr>
                <w:noProof/>
                <w:color w:val="000000"/>
                <w:sz w:val="22"/>
              </w:rPr>
              <w:t xml:space="preserve">Houses of the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w:t>
            </w:r>
            <w:r>
              <w:rPr>
                <w:i/>
                <w:noProof/>
                <w:color w:val="000000"/>
                <w:sz w:val="22"/>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Österreich</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Belgien</w:t>
            </w:r>
          </w:p>
        </w:tc>
        <w:tc>
          <w:tcPr>
            <w:tcW w:w="3609" w:type="dxa"/>
            <w:shd w:val="clear" w:color="auto" w:fill="auto"/>
            <w:vAlign w:val="center"/>
          </w:tcPr>
          <w:p>
            <w:pPr>
              <w:jc w:val="center"/>
              <w:rPr>
                <w:i/>
                <w:iCs/>
                <w:noProof/>
                <w:color w:val="000000"/>
                <w:sz w:val="22"/>
                <w:szCs w:val="22"/>
              </w:rPr>
            </w:pPr>
            <w:r>
              <w:rPr>
                <w:i/>
                <w:noProof/>
                <w:color w:val="000000"/>
                <w:sz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Bulgarien</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Luxemburg</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Malta</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Slowenien</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Estland</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Finnland</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Lettland</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Slowenien</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INSGESAMT</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ANHANG 2</w:t>
      </w:r>
    </w:p>
    <w:p>
      <w:pPr>
        <w:spacing w:after="240"/>
        <w:jc w:val="center"/>
        <w:rPr>
          <w:b/>
          <w:noProof/>
        </w:rPr>
      </w:pPr>
      <w:r>
        <w:rPr>
          <w:b/>
          <w:noProof/>
        </w:rPr>
        <w:t>Kommissionsdokumente, zu denen die Kommission im Jahr 2017 (im Rahmen des politischen Dialogs und des Subsidiaritätskontrollmechanismus) die meisten Stellungnahmen</w:t>
      </w:r>
      <w:r>
        <w:rPr>
          <w:rStyle w:val="FootnoteReference"/>
          <w:noProof/>
        </w:rPr>
        <w:footnoteReference w:id="4"/>
      </w:r>
      <w:r>
        <w:rPr>
          <w:b/>
          <w:noProof/>
        </w:rPr>
        <w:t xml:space="preserve"> erhielt</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3794"/>
        <w:gridCol w:w="1713"/>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Kommissions-dokument</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Titel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Gesamtzahl der Stellungnahmen</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Davon begründete Stellungnahmen (Protokoll Nr. 2)</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Vorschlag für eine Verordnung des Europäischen Parlaments und des Rates über den </w:t>
            </w:r>
            <w:r>
              <w:rPr>
                <w:b/>
                <w:noProof/>
                <w:color w:val="000000"/>
                <w:sz w:val="22"/>
              </w:rPr>
              <w:t>Elektrizitätsbinnenmarkt</w:t>
            </w:r>
            <w:r>
              <w:rPr>
                <w:noProof/>
                <w:color w:val="000000"/>
                <w:sz w:val="22"/>
              </w:rPr>
              <w:t xml:space="preserve"> (Neufassung)</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zur </w:t>
            </w:r>
            <w:r>
              <w:rPr>
                <w:b/>
                <w:noProof/>
                <w:color w:val="000000"/>
                <w:sz w:val="22"/>
              </w:rPr>
              <w:t>Vereinbarkeit von Beruf und Privatleben für Eltern und pflegende Angehörige</w:t>
            </w:r>
            <w:r>
              <w:rPr>
                <w:noProof/>
                <w:color w:val="000000"/>
                <w:sz w:val="22"/>
              </w:rPr>
              <w:t xml:space="preserve"> und zur Aufhebung der Richtlinie 2010/18/EU des Rates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über </w:t>
            </w:r>
            <w:r>
              <w:rPr>
                <w:b/>
                <w:noProof/>
                <w:color w:val="000000"/>
                <w:sz w:val="22"/>
              </w:rPr>
              <w:t>gemeinsame Vorschriften für den Elektrizitätsbinnenmarkt</w:t>
            </w:r>
            <w:r>
              <w:rPr>
                <w:noProof/>
                <w:color w:val="000000"/>
                <w:sz w:val="22"/>
              </w:rPr>
              <w:t xml:space="preserve"> (Neufassung)</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zur </w:t>
            </w:r>
            <w:r>
              <w:rPr>
                <w:b/>
                <w:noProof/>
                <w:color w:val="000000"/>
                <w:sz w:val="22"/>
              </w:rPr>
              <w:t>Förderung der Nutzung von Energie aus erneuerbaren Quellen</w:t>
            </w:r>
            <w:r>
              <w:rPr>
                <w:noProof/>
                <w:color w:val="000000"/>
                <w:sz w:val="22"/>
              </w:rPr>
              <w:t xml:space="preserve"> (Neufassung)</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Vorschlag für eine Verordnung des Europäischen Parlaments und des Rates über die </w:t>
            </w:r>
            <w:r>
              <w:rPr>
                <w:b/>
                <w:noProof/>
                <w:color w:val="000000"/>
                <w:sz w:val="22"/>
              </w:rPr>
              <w:t>Achtung des Privatlebens und den Schutz personenbezogener Daten in der elektronischen Kommunikation</w:t>
            </w:r>
            <w:r>
              <w:rPr>
                <w:noProof/>
                <w:color w:val="000000"/>
                <w:sz w:val="22"/>
              </w:rPr>
              <w:t xml:space="preserve"> und zur Aufhebung der Richtlinie 2002/58/EG (Verordnung über Privatsphäre und elektronische Kommunikation)</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über eine </w:t>
            </w:r>
            <w:r>
              <w:rPr>
                <w:b/>
                <w:noProof/>
                <w:color w:val="000000"/>
                <w:sz w:val="22"/>
              </w:rPr>
              <w:t>Verhältnismäßigkeitsprüfung vor der Annahme weiterer Reglementierungen für Berufe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Verordnung des Europäischen Parlaments und des Rates zur </w:t>
            </w:r>
            <w:r>
              <w:rPr>
                <w:b/>
                <w:noProof/>
                <w:color w:val="000000"/>
                <w:sz w:val="22"/>
              </w:rPr>
              <w:t>Gründung einer Agentur der Europäischen Union für die Zusammenarbeit der Energieregulierungsbehörden</w:t>
            </w:r>
            <w:r>
              <w:rPr>
                <w:noProof/>
                <w:color w:val="000000"/>
                <w:sz w:val="22"/>
              </w:rPr>
              <w:t xml:space="preserve"> (Neufassung)</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über die Durchsetzung der Richtlinie 2006/123/EG über Dienstleistungen im Binnenmarkt, zur </w:t>
            </w:r>
            <w:r>
              <w:rPr>
                <w:b/>
                <w:noProof/>
                <w:color w:val="000000"/>
                <w:sz w:val="22"/>
              </w:rPr>
              <w:t>Festlegung eines Notifizierungsverfahrens für dienstleistungsbezogene Genehmigungsregelungen und Anforderungen</w:t>
            </w:r>
            <w:r>
              <w:rPr>
                <w:noProof/>
                <w:color w:val="000000"/>
                <w:sz w:val="22"/>
              </w:rPr>
              <w:t xml:space="preserve"> sowie zur Änderung der Richtlinie 2006/123/EG und der Verordnung (EU) Nr. 1024/2012 über die </w:t>
            </w:r>
            <w:r>
              <w:rPr>
                <w:b/>
                <w:noProof/>
                <w:color w:val="000000"/>
                <w:sz w:val="22"/>
              </w:rPr>
              <w:t>Verwaltungszusammenarbeit mit Hilfe des Binnenmarkt-Informationssystems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Verordnung des Europäischen Parlaments und des Rates zur Änderung der Verordnung (EG) Nr. 883/2004 zur </w:t>
            </w:r>
            <w:r>
              <w:rPr>
                <w:b/>
                <w:noProof/>
                <w:color w:val="000000"/>
                <w:sz w:val="22"/>
              </w:rPr>
              <w:t>Koordinierung der Systeme der sozialen Sicherheit</w:t>
            </w:r>
            <w:r>
              <w:rPr>
                <w:noProof/>
                <w:color w:val="000000"/>
                <w:sz w:val="22"/>
              </w:rPr>
              <w:t xml:space="preserve"> und der Verordnung (EG) Nr. 987/2009 zur Festlegung der Modalitäten für die Durchführung der Verordnung (EG) Nr. 883/2004</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color w:val="000000"/>
                <w:sz w:val="22"/>
              </w:rPr>
              <w:t>Arbeitsprogramm der Kommission für 2017</w:t>
            </w:r>
            <w:r>
              <w:rPr>
                <w:noProof/>
                <w:color w:val="000000"/>
                <w:sz w:val="22"/>
              </w:rPr>
              <w:t>: Für ein Europa, das schützt, stärkt und verteidigt.</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zur Änderung der Richtlinie 2010/31/EU über die </w:t>
            </w:r>
            <w:r>
              <w:rPr>
                <w:b/>
                <w:noProof/>
                <w:color w:val="000000"/>
                <w:sz w:val="22"/>
              </w:rPr>
              <w:t>Gesamtenergieeffizienz von Gebäuden</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Richtlinie des Europäischen Parlaments und des Rates über </w:t>
            </w:r>
            <w:r>
              <w:rPr>
                <w:b/>
                <w:noProof/>
                <w:color w:val="000000"/>
                <w:sz w:val="22"/>
              </w:rPr>
              <w:t>präventive Restrukturierungsrahmen, die zweite Chance und Maßnahmen zur Steigerung der Effizienz von Restrukturierungs-, Insolvenz- und Entschuldungsverfahren</w:t>
            </w:r>
            <w:r>
              <w:rPr>
                <w:noProof/>
                <w:color w:val="000000"/>
                <w:sz w:val="22"/>
              </w:rPr>
              <w:t xml:space="preserve"> und zur Änderung der Richtlinie 2012/30/EU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Verordnung des Europäischen Parlaments und des Rates über das </w:t>
            </w:r>
            <w:r>
              <w:rPr>
                <w:b/>
                <w:noProof/>
                <w:color w:val="000000"/>
                <w:sz w:val="22"/>
              </w:rPr>
              <w:t>Governance-System der Energieunion</w:t>
            </w:r>
            <w:r>
              <w:rPr>
                <w:noProof/>
                <w:color w:val="000000"/>
                <w:sz w:val="22"/>
              </w:rPr>
              <w:t xml:space="preserve"> zur Änderung der Richtlinie 94/22/EG, der Richtlinie 98/70/EG, der Richtlinie 2009/31/EG, der Verordnung (EG) Nr. 663/2009, der Verordnung (EG) Nr. 715/2009, der Richtlinie 2009/73/EG, der Richtlinie 2009/119/EG des Rates, der Richtlinie 2010/31/EU, der Richtlinie 2012/27/EU, der Richtlinie 2013/30/EU und der Richtlinie (EU) 2015/652 des Rates und zur Aufhebung der Verordnung (EU) Nr.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Vorschlag für eine Verordnung des Europäischen Parlaments und des Rates zur Änderung der Verordnung (EG) Nr. 561/2006 hinsichtlich der </w:t>
            </w:r>
            <w:r>
              <w:rPr>
                <w:b/>
                <w:noProof/>
                <w:color w:val="000000"/>
                <w:sz w:val="22"/>
              </w:rPr>
              <w:t>Mindestanforderungen in Bezug auf die maximalen täglichen und wöchentlichen Lenkzeiten</w:t>
            </w:r>
            <w:r>
              <w:rPr>
                <w:noProof/>
                <w:color w:val="000000"/>
                <w:sz w:val="22"/>
              </w:rPr>
              <w:t xml:space="preserve">, Mindestfahrtunterbrechungen sowie täglichen und wöchentlichen Ruhezeiten und der Verordnung (EU) Nr. 165/2014 in Bezug auf die Positionsbestimmung mittels </w:t>
            </w:r>
            <w:r>
              <w:rPr>
                <w:b/>
                <w:noProof/>
                <w:color w:val="000000"/>
                <w:sz w:val="22"/>
              </w:rPr>
              <w:t>Fahrtenschreibern</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ANHANG 3</w:t>
      </w:r>
    </w:p>
    <w:p>
      <w:pPr>
        <w:spacing w:after="120"/>
        <w:jc w:val="center"/>
        <w:rPr>
          <w:b/>
          <w:noProof/>
        </w:rPr>
      </w:pPr>
      <w:r>
        <w:rPr>
          <w:b/>
          <w:noProof/>
        </w:rPr>
        <w:t>Zahl der im Jahr 2017 bei der Kommission (im Rahmen des politischen Dialogs und des Subsidiaritätskontrollmechanismus) eingegangenen Stellungnahmen, aufgeschlüsselt nach federführender Kommissionsdienststelle</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6918"/>
        <w:gridCol w:w="2222"/>
      </w:tblGrid>
      <w:tr>
        <w:trPr>
          <w:trHeight w:val="283"/>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Federführende Kommissionsdienststelle</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Gesamtzahl der Stellungnahmen</w:t>
            </w:r>
            <w:r>
              <w:rPr>
                <w:rStyle w:val="FootnoteReference"/>
                <w:rFonts w:ascii="Times New Roman" w:hAnsi="Times New Roman"/>
                <w:noProof/>
                <w:sz w:val="22"/>
              </w:rPr>
              <w:footnoteReference w:id="18"/>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Generalsekretariat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Energie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Binnenmarkt, Industrie, Unternehmertum und KMU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Migration und Inneres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Justiz und Verbraucher</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Mobilität und Verkehr</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283"/>
        </w:trPr>
        <w:tc>
          <w:tcPr>
            <w:tcW w:w="0" w:type="auto"/>
            <w:noWrap/>
          </w:tcPr>
          <w:p>
            <w:pPr>
              <w:rPr>
                <w:rFonts w:ascii="Times New Roman" w:hAnsi="Times New Roman" w:cs="Times New Roman"/>
                <w:noProof/>
                <w:sz w:val="22"/>
              </w:rPr>
            </w:pPr>
            <w:r>
              <w:rPr>
                <w:rFonts w:ascii="Times New Roman" w:hAnsi="Times New Roman"/>
                <w:noProof/>
                <w:sz w:val="22"/>
              </w:rPr>
              <w:t>GD Finanzstabilität, Finanzdienstleistungen und Kapitalmarktunion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Kommunikationsnetze, Inhalte und Technologien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Steuern und Zollunion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Bildung, Jugend, Sport und Kultur</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Beschäftigung, Soziales und Integration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Landwirtschaft und ländliche Entwicklung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Umwelt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Europäischer Auswärtiger Dienst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Handel</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Task Force Artikel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Eurostat – europäische Statistiken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Wettbewerb</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Regionalpolitik und Stadtentwicklung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283"/>
        </w:trPr>
        <w:tc>
          <w:tcPr>
            <w:tcW w:w="0" w:type="auto"/>
            <w:noWrap/>
          </w:tcPr>
          <w:p>
            <w:pPr>
              <w:rPr>
                <w:rFonts w:ascii="Times New Roman" w:hAnsi="Times New Roman" w:cs="Times New Roman"/>
                <w:noProof/>
                <w:sz w:val="22"/>
              </w:rPr>
            </w:pPr>
            <w:r>
              <w:rPr>
                <w:rFonts w:ascii="Times New Roman" w:hAnsi="Times New Roman"/>
                <w:noProof/>
                <w:sz w:val="22"/>
              </w:rPr>
              <w:t>GD Haushalt</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Wirtschaft und Finanzen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Maritime Angelegenheiten und Fischerei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283"/>
        </w:trPr>
        <w:tc>
          <w:tcPr>
            <w:tcW w:w="0" w:type="auto"/>
            <w:noWrap/>
          </w:tcPr>
          <w:p>
            <w:pPr>
              <w:rPr>
                <w:rFonts w:ascii="Times New Roman" w:hAnsi="Times New Roman" w:cs="Times New Roman"/>
                <w:noProof/>
                <w:sz w:val="22"/>
              </w:rPr>
            </w:pPr>
            <w:r>
              <w:rPr>
                <w:rFonts w:ascii="Times New Roman" w:hAnsi="Times New Roman"/>
                <w:noProof/>
                <w:sz w:val="22"/>
              </w:rPr>
              <w:t>GD Internationale Zusammenarbeit und Entwicklung</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Europäische Nachbarschaftspolitik und Erweiterungsverhandlungen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Forschung und Innovation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Gesundheit und Lebensmittelsicherheit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283"/>
        </w:trPr>
        <w:tc>
          <w:tcPr>
            <w:tcW w:w="0" w:type="auto"/>
            <w:noWrap/>
            <w:hideMark/>
          </w:tcPr>
          <w:p>
            <w:pPr>
              <w:rPr>
                <w:rFonts w:ascii="Times New Roman" w:hAnsi="Times New Roman" w:cs="Times New Roman"/>
                <w:noProof/>
                <w:sz w:val="22"/>
              </w:rPr>
            </w:pPr>
            <w:r>
              <w:rPr>
                <w:rFonts w:ascii="Times New Roman" w:hAnsi="Times New Roman"/>
                <w:noProof/>
                <w:sz w:val="22"/>
              </w:rPr>
              <w:t>GD Klimapolitik</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283"/>
        </w:trPr>
        <w:tc>
          <w:tcPr>
            <w:tcW w:w="0" w:type="auto"/>
            <w:vAlign w:val="center"/>
          </w:tcPr>
          <w:p>
            <w:pPr>
              <w:rPr>
                <w:rFonts w:ascii="Times New Roman" w:hAnsi="Times New Roman" w:cs="Times New Roman"/>
                <w:noProof/>
                <w:sz w:val="22"/>
              </w:rPr>
            </w:pPr>
            <w:r>
              <w:rPr>
                <w:rFonts w:ascii="Times New Roman" w:hAnsi="Times New Roman"/>
                <w:noProof/>
                <w:sz w:val="22"/>
              </w:rPr>
              <w:t>INSGESAMT</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Summe der von den nationalen Parlamenten übermittelten Stellungnahmen und begründeten Stellungnahmen.</w:t>
      </w:r>
    </w:p>
  </w:footnote>
  <w:footnote w:id="2">
    <w:p>
      <w:pPr>
        <w:pStyle w:val="FootnoteText"/>
        <w:ind w:left="284" w:hanging="284"/>
      </w:pPr>
      <w:r>
        <w:rPr>
          <w:rStyle w:val="FootnoteReference"/>
        </w:rPr>
        <w:footnoteRef/>
      </w:r>
      <w:r>
        <w:t xml:space="preserve"> </w:t>
      </w:r>
      <w:r>
        <w:tab/>
        <w:t>Um eine begründete Stellungnahme im Sinne des Protokolls Nr. 2 handelt es sich, wenn darin ein Verstoß gegen die Subsidiarität festgestellt wird und diese der Kommission innerhalb von acht Wochen nach Übermittlung des Vorschlags an die nationalen Parlamente übermittelt wird.</w:t>
      </w:r>
    </w:p>
  </w:footnote>
  <w:footnote w:id="3">
    <w:p>
      <w:pPr>
        <w:pStyle w:val="FootnoteText"/>
        <w:ind w:left="284" w:hanging="284"/>
      </w:pPr>
      <w:r>
        <w:rPr>
          <w:rStyle w:val="FootnoteReference"/>
        </w:rPr>
        <w:footnoteRef/>
      </w:r>
      <w:r>
        <w:t xml:space="preserve"> </w:t>
      </w:r>
      <w:r>
        <w:tab/>
        <w:t>Gewertet als 38 gemeinsame Stellungnahmen beider Kammern.</w:t>
      </w:r>
    </w:p>
  </w:footnote>
  <w:footnote w:id="4">
    <w:p>
      <w:pPr>
        <w:pStyle w:val="FootnoteText"/>
        <w:tabs>
          <w:tab w:val="left" w:pos="284"/>
        </w:tabs>
        <w:ind w:left="284" w:hanging="284"/>
      </w:pPr>
      <w:r>
        <w:rPr>
          <w:rStyle w:val="FootnoteReference"/>
        </w:rPr>
        <w:footnoteRef/>
      </w:r>
      <w:r>
        <w:t xml:space="preserve"> </w:t>
      </w:r>
      <w:r>
        <w:tab/>
        <w:t>In der Tabelle sind alle Kommissionsdokumente berücksichtigt, zu denen mindestens sieben Stellungnahmen der nationalen Parlamente eingegangen sind.</w:t>
      </w:r>
    </w:p>
  </w:footnote>
  <w:footnote w:id="5">
    <w:p>
      <w:pPr>
        <w:pStyle w:val="FootnoteText"/>
        <w:ind w:left="284" w:hanging="284"/>
      </w:pPr>
      <w:r>
        <w:rPr>
          <w:rStyle w:val="FootnoteReference"/>
        </w:rPr>
        <w:footnoteRef/>
      </w:r>
      <w:r>
        <w:t xml:space="preserve"> </w:t>
      </w:r>
      <w:r>
        <w:tab/>
        <w:t>Summe der von den nationalen Parlamenten übermittelten Stellungnahmen und begründeten Stellungnahmen.</w:t>
      </w:r>
    </w:p>
  </w:footnote>
  <w:footnote w:id="6">
    <w:p>
      <w:pPr>
        <w:pStyle w:val="FootnoteText"/>
        <w:ind w:left="284" w:hanging="284"/>
      </w:pPr>
      <w:r>
        <w:rPr>
          <w:rStyle w:val="FootnoteReference"/>
        </w:rPr>
        <w:footnoteRef/>
      </w:r>
      <w:r>
        <w:t xml:space="preserve"> </w:t>
      </w:r>
      <w:r>
        <w:tab/>
        <w:t>Um eine begründete Stellungnahme im Sinne des Protokolls Nr. 2 handelt es sich, wenn darin ein Verstoß gegen die Subsidiarität festgestellt wird und diese der Kommission innerhalb von acht Wochen nach Übermittlung des Vorschlags an die nationalen Parlamente übermittelt wird.</w:t>
      </w:r>
    </w:p>
  </w:footnote>
  <w:footnote w:id="7">
    <w:p>
      <w:pPr>
        <w:pStyle w:val="FootnoteText"/>
        <w:ind w:left="284" w:hanging="284"/>
      </w:pPr>
      <w:r>
        <w:rPr>
          <w:rStyle w:val="FootnoteReference"/>
        </w:rPr>
        <w:footnoteRef/>
      </w:r>
      <w:r>
        <w:t xml:space="preserve"> </w:t>
      </w:r>
      <w:r>
        <w:tab/>
        <w:t xml:space="preserve">Eine der Stellungnahmen zu diesem Kommissionsdokument – die des tschechischen </w:t>
      </w:r>
      <w:r>
        <w:rPr>
          <w:i/>
        </w:rPr>
        <w:t>Senát</w:t>
      </w:r>
      <w:r>
        <w:t xml:space="preserve"> – betraf die Dokumente COM(2016) 864, COM(2016) 862, COM(2016) 863 und COM(2016) 861. Eine Stellungnahme – die der portugiesischen </w:t>
      </w:r>
      <w:r>
        <w:rPr>
          <w:i/>
        </w:rPr>
        <w:t xml:space="preserve">Assembleia da República </w:t>
      </w:r>
      <w:r>
        <w:t xml:space="preserve">– betraf die Dokumente COM(2016) 864, COM(2016) 863 und COM(2016) 861. </w:t>
      </w:r>
    </w:p>
  </w:footnote>
  <w:footnote w:id="8">
    <w:p>
      <w:pPr>
        <w:pStyle w:val="FootnoteText"/>
        <w:ind w:left="284" w:hanging="284"/>
      </w:pPr>
      <w:r>
        <w:rPr>
          <w:rStyle w:val="FootnoteReference"/>
        </w:rPr>
        <w:footnoteRef/>
      </w:r>
      <w:r>
        <w:t xml:space="preserve"> </w:t>
      </w:r>
      <w:r>
        <w:tab/>
        <w:t xml:space="preserve">Zwei Stellungnahmen – die der portugiesischen </w:t>
      </w:r>
      <w:r>
        <w:rPr>
          <w:i/>
        </w:rPr>
        <w:t>Assembleia da República</w:t>
      </w:r>
      <w:r>
        <w:t xml:space="preserve"> und der rumänischen </w:t>
      </w:r>
      <w:r>
        <w:rPr>
          <w:i/>
        </w:rPr>
        <w:t>Camera Deputaților</w:t>
      </w:r>
      <w:r>
        <w:t xml:space="preserve"> – betrafen die Dokumente COM(2017) 253 und COM(2017) 252. </w:t>
      </w:r>
    </w:p>
  </w:footnote>
  <w:footnote w:id="9">
    <w:p>
      <w:pPr>
        <w:pStyle w:val="FootnoteText"/>
        <w:ind w:left="284" w:hanging="284"/>
      </w:pPr>
      <w:r>
        <w:rPr>
          <w:rStyle w:val="FootnoteReference"/>
        </w:rPr>
        <w:footnoteRef/>
      </w:r>
      <w:r>
        <w:t xml:space="preserve"> </w:t>
      </w:r>
      <w:r>
        <w:tab/>
        <w:t xml:space="preserve">Eine der Stellungnahmen zu diesem Kommissionsdokument – die der spanischen </w:t>
      </w:r>
      <w:r>
        <w:rPr>
          <w:i/>
        </w:rPr>
        <w:t>Cortes Generales</w:t>
      </w:r>
      <w:r>
        <w:t xml:space="preserve"> – betraf die Dokumente COM(2016) 864 und COM(2016) 767. Eine Stellungnahme – die des tschechischen </w:t>
      </w:r>
      <w:r>
        <w:rPr>
          <w:i/>
        </w:rPr>
        <w:t>Senát</w:t>
      </w:r>
      <w:r>
        <w:t xml:space="preserve"> – betraf die Dokumente COM(2016) 864, COM(2016) 862, COM(2016) 863 und COM(2016) 861. Eine Stellungnahme – die der portugiesischen </w:t>
      </w:r>
      <w:r>
        <w:rPr>
          <w:i/>
        </w:rPr>
        <w:t>Assembleia da República</w:t>
      </w:r>
      <w:r>
        <w:t xml:space="preserve"> – betraf die Dokumente COM(2016) 864, COM(2016) 863 und COM(2016) 861.</w:t>
      </w:r>
    </w:p>
  </w:footnote>
  <w:footnote w:id="10">
    <w:p>
      <w:pPr>
        <w:pStyle w:val="FootnoteText"/>
        <w:ind w:left="284" w:hanging="284"/>
      </w:pPr>
      <w:r>
        <w:rPr>
          <w:rStyle w:val="FootnoteReference"/>
        </w:rPr>
        <w:footnoteRef/>
      </w:r>
      <w:r>
        <w:t xml:space="preserve"> </w:t>
      </w:r>
      <w:r>
        <w:tab/>
        <w:t xml:space="preserve">Eine der Stellungnahmen zu diesem Kommissionsdokument – die des tschechischen </w:t>
      </w:r>
      <w:r>
        <w:rPr>
          <w:i/>
        </w:rPr>
        <w:t>Senát</w:t>
      </w:r>
      <w:r>
        <w:t xml:space="preserve"> – betraf die Dokumente COM(2016) 759 und COM(2016) 767. Eine Stellungnahme – die der tschechischen </w:t>
      </w:r>
      <w:r>
        <w:rPr>
          <w:i/>
        </w:rPr>
        <w:t>Poslanecká sněmovna</w:t>
      </w:r>
      <w:r>
        <w:t xml:space="preserve"> – betraf die Dokumente COM(2016) 759, COM(2016) 767, COM(2016) 761 und COM(2016) 760.</w:t>
      </w:r>
    </w:p>
  </w:footnote>
  <w:footnote w:id="11">
    <w:p>
      <w:pPr>
        <w:pStyle w:val="FootnoteText"/>
        <w:ind w:left="284" w:hanging="284"/>
      </w:pPr>
      <w:r>
        <w:rPr>
          <w:rStyle w:val="FootnoteReference"/>
        </w:rPr>
        <w:footnoteRef/>
      </w:r>
      <w:r>
        <w:t xml:space="preserve"> </w:t>
      </w:r>
      <w:r>
        <w:tab/>
        <w:t xml:space="preserve">Eine der Stellungnahmen zu diesem Kommissionsdokument – die der tschechischen </w:t>
      </w:r>
      <w:r>
        <w:rPr>
          <w:i/>
        </w:rPr>
        <w:t>Poslanecká sněmovna</w:t>
      </w:r>
      <w:r>
        <w:t xml:space="preserve"> – betraf die Dokumente COM(2017) 10, COM(2017) 8 und COM(2017) 7. </w:t>
      </w:r>
    </w:p>
  </w:footnote>
  <w:footnote w:id="12">
    <w:p>
      <w:pPr>
        <w:pStyle w:val="FootnoteText"/>
        <w:ind w:left="284" w:hanging="284"/>
      </w:pPr>
      <w:r>
        <w:rPr>
          <w:rStyle w:val="FootnoteReference"/>
        </w:rPr>
        <w:footnoteRef/>
      </w:r>
      <w:r>
        <w:t xml:space="preserve"> </w:t>
      </w:r>
      <w:r>
        <w:tab/>
        <w:t xml:space="preserve">Eine der Stellungnahmen zu diesem Kommissionsdokument – die der portugiesischen </w:t>
      </w:r>
      <w:r>
        <w:rPr>
          <w:i/>
        </w:rPr>
        <w:t>Assembleia da República</w:t>
      </w:r>
      <w:r>
        <w:t xml:space="preserve"> – betraf die Dokumente COM(2016) 824, COM(2016) 823, COM(2016) 821, COM(2016) 822 und COM(2016) 820. Eine Stellungnahme – die der spanischen </w:t>
      </w:r>
      <w:r>
        <w:rPr>
          <w:i/>
        </w:rPr>
        <w:t>Cortes Generales</w:t>
      </w:r>
      <w:r>
        <w:t xml:space="preserve"> – betraf die Dokumente COM(2016) 824, COM(2016) 823 und COM(2016) 822.</w:t>
      </w:r>
    </w:p>
  </w:footnote>
  <w:footnote w:id="13">
    <w:p>
      <w:pPr>
        <w:pStyle w:val="FootnoteText"/>
        <w:ind w:left="284" w:hanging="284"/>
      </w:pPr>
      <w:r>
        <w:rPr>
          <w:rStyle w:val="FootnoteReference"/>
        </w:rPr>
        <w:footnoteRef/>
      </w:r>
      <w:r>
        <w:t xml:space="preserve"> </w:t>
      </w:r>
      <w:r>
        <w:tab/>
        <w:t xml:space="preserve">Eine der Stellungnahmen zu diesem Kommissionsdokument – die des tschechischen </w:t>
      </w:r>
      <w:r>
        <w:rPr>
          <w:i/>
        </w:rPr>
        <w:t>Senát</w:t>
      </w:r>
      <w:r>
        <w:t xml:space="preserve"> – betraf die Dokumente COM(2016) 864, COM(2016) 862, COM(2016) 863 und COM(2016) 861. Eine Stellungnahme – die der portugiesischen </w:t>
      </w:r>
      <w:r>
        <w:rPr>
          <w:i/>
        </w:rPr>
        <w:t>Assembleia da República</w:t>
      </w:r>
      <w:r>
        <w:t xml:space="preserve"> – betraf die Dokumente COM(2016) 864, COM(2016) 863 und COM(2016) 861. Eine Stellungnahme – die des französischen Senát – betraf die Dokumente COM(2016) 863 und COM(2016) 861. Eine Stellungnahme - die des österreichischen </w:t>
      </w:r>
      <w:r>
        <w:rPr>
          <w:i/>
        </w:rPr>
        <w:t>Bundesrates</w:t>
      </w:r>
      <w:r>
        <w:t xml:space="preserve"> – betraf die Dokumente COM(2016) 862 und COM(2016) 863.</w:t>
      </w:r>
    </w:p>
  </w:footnote>
  <w:footnote w:id="14">
    <w:p>
      <w:pPr>
        <w:pStyle w:val="FootnoteText"/>
        <w:ind w:left="284" w:hanging="284"/>
      </w:pPr>
      <w:r>
        <w:rPr>
          <w:rStyle w:val="FootnoteReference"/>
        </w:rPr>
        <w:footnoteRef/>
      </w:r>
      <w:r>
        <w:t xml:space="preserve"> </w:t>
      </w:r>
      <w:r>
        <w:tab/>
        <w:t xml:space="preserve">Eine der Stellungnahmen zu diesem Kommissionsdokument – die der portugiesischen </w:t>
      </w:r>
      <w:r>
        <w:rPr>
          <w:i/>
        </w:rPr>
        <w:t>Assembleia da República</w:t>
      </w:r>
      <w:r>
        <w:t xml:space="preserve"> – betraf die Dokumente COM(2016) 824, COM(2016) 823, COM(2016) 863, COM(2016) 822 und COM(2016) 820. </w:t>
      </w:r>
    </w:p>
  </w:footnote>
  <w:footnote w:id="15">
    <w:p>
      <w:pPr>
        <w:pStyle w:val="FootnoteText"/>
        <w:ind w:left="284" w:hanging="284"/>
      </w:pPr>
      <w:r>
        <w:rPr>
          <w:rStyle w:val="FootnoteReference"/>
        </w:rPr>
        <w:footnoteRef/>
      </w:r>
      <w:r>
        <w:t xml:space="preserve"> </w:t>
      </w:r>
      <w:r>
        <w:tab/>
        <w:t xml:space="preserve">Zwei Stellungnahmen – die des österreichischen </w:t>
      </w:r>
      <w:r>
        <w:rPr>
          <w:i/>
        </w:rPr>
        <w:t>Bundesrates</w:t>
      </w:r>
      <w:r>
        <w:t xml:space="preserve"> und der portugiesischen </w:t>
      </w:r>
      <w:r>
        <w:rPr>
          <w:i/>
        </w:rPr>
        <w:t>Assembleia da República</w:t>
      </w:r>
      <w:r>
        <w:t xml:space="preserve"> – betrafen die Dokumente COM(2016) 765 und COM(2016) 761. Eine Stellungnahme – die des tschechischen </w:t>
      </w:r>
      <w:r>
        <w:rPr>
          <w:i/>
        </w:rPr>
        <w:t>Senát</w:t>
      </w:r>
      <w:r>
        <w:t xml:space="preserve"> – betraf die Dokumente COM(2017) 277, COM(2016) 765 und COM(2016) 761. </w:t>
      </w:r>
    </w:p>
  </w:footnote>
  <w:footnote w:id="16">
    <w:p>
      <w:pPr>
        <w:pStyle w:val="FootnoteText"/>
        <w:ind w:left="284" w:hanging="284"/>
      </w:pPr>
      <w:r>
        <w:rPr>
          <w:rStyle w:val="FootnoteReference"/>
        </w:rPr>
        <w:footnoteRef/>
      </w:r>
      <w:r>
        <w:t xml:space="preserve"> </w:t>
      </w:r>
      <w:r>
        <w:tab/>
        <w:t xml:space="preserve">Eine der Stellungnahmen zu diesem Kommissionsdokument – die des tschechischen </w:t>
      </w:r>
      <w:r>
        <w:rPr>
          <w:i/>
        </w:rPr>
        <w:t>Senát</w:t>
      </w:r>
      <w:r>
        <w:t xml:space="preserve"> – betraf die Dokumente COM(2016) 759 und COM(2016) 767. Eine Stellungnahme – die der tschechischen </w:t>
      </w:r>
      <w:r>
        <w:rPr>
          <w:i/>
        </w:rPr>
        <w:t>Poslanecká sněmovna</w:t>
      </w:r>
      <w:r>
        <w:t xml:space="preserve"> – betraf die Dokumente COM(2016) 759, COM(2016) 767, COM(2016) 761 und COM(2016) 860. Eine Stellungnahme – die des polnischen </w:t>
      </w:r>
      <w:r>
        <w:rPr>
          <w:i/>
        </w:rPr>
        <w:t>Sejm</w:t>
      </w:r>
      <w:r>
        <w:t xml:space="preserve">– betraf die Dokumente COM(2016) 759 und COM(2016) 860. Eine Stellungnahme – die der spanischen </w:t>
      </w:r>
      <w:r>
        <w:rPr>
          <w:i/>
        </w:rPr>
        <w:t>Cortes Generales</w:t>
      </w:r>
      <w:r>
        <w:t xml:space="preserve"> – betraf die Dokumente COM(2016) 759 und COM(2016) 862. </w:t>
      </w:r>
    </w:p>
  </w:footnote>
  <w:footnote w:id="17">
    <w:p>
      <w:pPr>
        <w:pStyle w:val="FootnoteText"/>
        <w:ind w:left="284" w:hanging="284"/>
      </w:pPr>
      <w:r>
        <w:rPr>
          <w:rStyle w:val="FootnoteReference"/>
        </w:rPr>
        <w:footnoteRef/>
      </w:r>
      <w:r>
        <w:t xml:space="preserve"> </w:t>
      </w:r>
      <w:r>
        <w:tab/>
        <w:t xml:space="preserve">Zwei Stellungnahmen – die des ungarischen </w:t>
      </w:r>
      <w:r>
        <w:rPr>
          <w:i/>
        </w:rPr>
        <w:t>Országgyűlés</w:t>
      </w:r>
      <w:r>
        <w:t xml:space="preserve"> und der portugiesischen </w:t>
      </w:r>
      <w:r>
        <w:rPr>
          <w:i/>
        </w:rPr>
        <w:t>Assembleia da República</w:t>
      </w:r>
      <w:r>
        <w:t xml:space="preserve"> – betrafen die Dokumente COM(2017) 277 und COM(2017) 278. Eine Stellungnahme – die des französischen </w:t>
      </w:r>
      <w:r>
        <w:rPr>
          <w:i/>
        </w:rPr>
        <w:t>Sénat</w:t>
      </w:r>
      <w:r>
        <w:t xml:space="preserve"> – betraf die Dokumente COM(2017) 277, COM(2017) 278 und COM(2017) 281. Eine Stellungnahme – die des tschechischen </w:t>
      </w:r>
      <w:r>
        <w:rPr>
          <w:i/>
        </w:rPr>
        <w:t>Senát</w:t>
      </w:r>
      <w:r>
        <w:t xml:space="preserve"> – betraf die Dokumente COM(2017) 282, COM(2017) 277, COM(2017) 278 und COM(2017) 281.</w:t>
      </w:r>
    </w:p>
  </w:footnote>
  <w:footnote w:id="18">
    <w:p>
      <w:pPr>
        <w:pStyle w:val="FootnoteText"/>
        <w:tabs>
          <w:tab w:val="left" w:pos="284"/>
        </w:tabs>
        <w:ind w:left="284" w:hanging="284"/>
      </w:pPr>
      <w:r>
        <w:rPr>
          <w:rStyle w:val="FootnoteReference"/>
        </w:rPr>
        <w:footnoteRef/>
      </w:r>
      <w:r>
        <w:t xml:space="preserve"> </w:t>
      </w:r>
      <w:r>
        <w:tab/>
        <w:t>Summe der von den nationalen Parlamenten übermittelten Stellungnahmen und begründeten Stellungnahmen.</w:t>
      </w:r>
    </w:p>
  </w:footnote>
  <w:footnote w:id="19">
    <w:p>
      <w:pPr>
        <w:pStyle w:val="FootnoteText"/>
        <w:ind w:left="284" w:hanging="284"/>
      </w:pPr>
      <w:r>
        <w:rPr>
          <w:rStyle w:val="FootnoteReference"/>
        </w:rPr>
        <w:footnoteRef/>
      </w:r>
      <w:r>
        <w:t xml:space="preserve"> </w:t>
      </w:r>
      <w:r>
        <w:tab/>
        <w:t>Der EAD ist keine Dienststelle der Kommission, sondern eine unabhängige Einrichtung.</w:t>
      </w:r>
    </w:p>
  </w:footnote>
  <w:footnote w:id="20">
    <w:p>
      <w:pPr>
        <w:pStyle w:val="FootnoteText"/>
        <w:ind w:left="284" w:hanging="284"/>
      </w:pPr>
      <w:r>
        <w:rPr>
          <w:rStyle w:val="FootnoteReference"/>
        </w:rPr>
        <w:footnoteRef/>
      </w:r>
      <w:r>
        <w:t xml:space="preserve"> </w:t>
      </w:r>
      <w:r>
        <w:tab/>
        <w:t>Die Task Force Artikel 50 ist keine Dienststelle der Kommission, sondern eine unabhängige Einrichtung.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w:docVar w:name="LW_ANNEX_NBR_FIRST" w:val="1"/>
    <w:docVar w:name="LW_ANNEX_NBR_LAST" w:val="3"/>
    <w:docVar w:name="LW_ANNEX_UNIQUE" w:val="0"/>
    <w:docVar w:name="LW_CORRIGENDUM" w:val="&lt;UNUSED&gt;"/>
    <w:docVar w:name="LW_COVERPAGE_EXISTS" w:val="True"/>
    <w:docVar w:name="LW_COVERPAGE_GUID" w:val="83BAA27A-26D5-4090-96B7-24B8503996DB"/>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ÜBER DIE BEZIEHUNGEN ZWISCHEN DER EUROPÄISCHEN KOMMISSION UND DEN NATIONALEN PARLAMENTEN"/>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ÄNGE_x000b_"/>
    <w:docVar w:name="LW_TYPEACTEPRINCIPAL.CP" w:val="BERICHTS DER K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de-DE"/>
    </w:rPr>
  </w:style>
  <w:style w:type="character" w:customStyle="1" w:styleId="HeaderChar">
    <w:name w:val="Header Char"/>
    <w:basedOn w:val="DefaultParagraphFont"/>
    <w:link w:val="Header"/>
    <w:uiPriority w:val="99"/>
    <w:rPr>
      <w:sz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de-D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de-DE"/>
    </w:rPr>
  </w:style>
  <w:style w:type="character" w:customStyle="1" w:styleId="HeaderChar">
    <w:name w:val="Header Char"/>
    <w:basedOn w:val="DefaultParagraphFont"/>
    <w:link w:val="Header"/>
    <w:uiPriority w:val="99"/>
    <w:rPr>
      <w:sz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de-D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E185D78C-AD8C-44D8-9F36-C303026A0844}">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0D61C8E-61D8-48E1-A8A1-D7C9F052D3FF}">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993</Words>
  <Characters>6198</Characters>
  <Application>Microsoft Office Word</Application>
  <DocSecurity>0</DocSecurity>
  <PresentationFormat>Microsoft Word 14.0</PresentationFormat>
  <Lines>442</Lines>
  <Paragraphs>359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11</cp:revision>
  <dcterms:created xsi:type="dcterms:W3CDTF">2018-08-29T10:28:00Z</dcterms:created>
  <dcterms:modified xsi:type="dcterms:W3CDTF">2018-10-16T14:35:00Z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