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02680DB-871D-40CB-B865-98CAF304A9AF" style="width:450.8pt;height:379.4pt">
            <v:imagedata r:id="rId11" o:title=""/>
          </v:shape>
        </w:pict>
      </w:r>
    </w:p>
    <w:bookmarkEnd w:id="0"/>
    <w:p>
      <w:pPr>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pPr>
        <w:spacing w:after="240"/>
        <w:jc w:val="center"/>
        <w:rPr>
          <w:b/>
          <w:noProof/>
          <w:u w:val="single"/>
        </w:rPr>
      </w:pPr>
      <w:bookmarkStart w:id="1" w:name="_GoBack"/>
      <w:bookmarkEnd w:id="1"/>
      <w:r>
        <w:rPr>
          <w:b/>
          <w:noProof/>
          <w:u w:val="single"/>
        </w:rPr>
        <w:lastRenderedPageBreak/>
        <w:t>PRÍLOHA 1</w:t>
      </w:r>
    </w:p>
    <w:p>
      <w:pPr>
        <w:spacing w:after="240"/>
        <w:jc w:val="center"/>
        <w:rPr>
          <w:b/>
          <w:noProof/>
        </w:rPr>
      </w:pPr>
      <w:r>
        <w:rPr>
          <w:b/>
          <w:noProof/>
        </w:rPr>
        <w:t>Počet stanovísk doručených Komisii v roku 2017 podľa národných parlamentov/komôr (v rámci politického dialógu a postupu kontroly dodržiavania zásady subsidiarity)</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9"/>
        <w:gridCol w:w="3609"/>
        <w:gridCol w:w="1660"/>
        <w:gridCol w:w="2364"/>
      </w:tblGrid>
      <w:tr>
        <w:trPr>
          <w:cantSplit/>
          <w:tblHeader/>
        </w:trPr>
        <w:tc>
          <w:tcPr>
            <w:tcW w:w="1909" w:type="dxa"/>
            <w:shd w:val="clear" w:color="auto" w:fill="auto"/>
            <w:vAlign w:val="center"/>
          </w:tcPr>
          <w:p>
            <w:pPr>
              <w:spacing w:before="60" w:after="60"/>
              <w:jc w:val="center"/>
              <w:rPr>
                <w:b/>
                <w:bCs/>
                <w:noProof/>
                <w:color w:val="000000"/>
                <w:sz w:val="22"/>
                <w:szCs w:val="22"/>
              </w:rPr>
            </w:pPr>
            <w:r>
              <w:rPr>
                <w:b/>
                <w:noProof/>
                <w:color w:val="000000"/>
                <w:sz w:val="22"/>
              </w:rPr>
              <w:t>Členský štát</w:t>
            </w:r>
          </w:p>
        </w:tc>
        <w:tc>
          <w:tcPr>
            <w:tcW w:w="3609" w:type="dxa"/>
            <w:shd w:val="clear" w:color="auto" w:fill="auto"/>
            <w:vAlign w:val="center"/>
          </w:tcPr>
          <w:p>
            <w:pPr>
              <w:spacing w:before="60" w:after="60"/>
              <w:jc w:val="center"/>
              <w:rPr>
                <w:b/>
                <w:bCs/>
                <w:noProof/>
                <w:color w:val="000000"/>
                <w:sz w:val="22"/>
                <w:szCs w:val="22"/>
              </w:rPr>
            </w:pPr>
            <w:r>
              <w:rPr>
                <w:b/>
                <w:noProof/>
                <w:color w:val="000000"/>
                <w:sz w:val="22"/>
              </w:rPr>
              <w:t>Komora</w:t>
            </w:r>
          </w:p>
        </w:tc>
        <w:tc>
          <w:tcPr>
            <w:tcW w:w="1660" w:type="dxa"/>
            <w:shd w:val="clear" w:color="auto" w:fill="auto"/>
            <w:vAlign w:val="center"/>
          </w:tcPr>
          <w:p>
            <w:pPr>
              <w:spacing w:before="60" w:after="60"/>
              <w:jc w:val="center"/>
              <w:rPr>
                <w:b/>
                <w:bCs/>
                <w:noProof/>
                <w:color w:val="000000"/>
                <w:sz w:val="22"/>
                <w:szCs w:val="22"/>
              </w:rPr>
            </w:pPr>
            <w:r>
              <w:rPr>
                <w:b/>
                <w:noProof/>
                <w:color w:val="000000"/>
                <w:sz w:val="22"/>
              </w:rPr>
              <w:t>Celkový</w:t>
            </w:r>
            <w:r>
              <w:rPr>
                <w:b/>
                <w:bCs/>
                <w:noProof/>
                <w:color w:val="000000"/>
                <w:sz w:val="22"/>
                <w:szCs w:val="22"/>
              </w:rPr>
              <w:br/>
            </w:r>
            <w:r>
              <w:rPr>
                <w:b/>
                <w:noProof/>
                <w:color w:val="000000"/>
                <w:sz w:val="22"/>
              </w:rPr>
              <w:t>počet</w:t>
            </w:r>
            <w:r>
              <w:rPr>
                <w:b/>
                <w:bCs/>
                <w:noProof/>
                <w:color w:val="000000"/>
                <w:sz w:val="22"/>
                <w:szCs w:val="22"/>
              </w:rPr>
              <w:br/>
            </w:r>
            <w:r>
              <w:rPr>
                <w:b/>
                <w:noProof/>
                <w:color w:val="000000"/>
                <w:sz w:val="22"/>
              </w:rPr>
              <w:t>stanovísk</w:t>
            </w:r>
            <w:r>
              <w:rPr>
                <w:rStyle w:val="FootnoteReference"/>
                <w:noProof/>
                <w:sz w:val="22"/>
              </w:rPr>
              <w:footnoteReference w:id="1"/>
            </w:r>
          </w:p>
        </w:tc>
        <w:tc>
          <w:tcPr>
            <w:tcW w:w="2364" w:type="dxa"/>
            <w:shd w:val="clear" w:color="auto" w:fill="auto"/>
            <w:vAlign w:val="center"/>
          </w:tcPr>
          <w:p>
            <w:pPr>
              <w:spacing w:before="60" w:after="60"/>
              <w:jc w:val="center"/>
              <w:rPr>
                <w:b/>
                <w:bCs/>
                <w:noProof/>
                <w:color w:val="000000"/>
                <w:sz w:val="22"/>
                <w:szCs w:val="22"/>
              </w:rPr>
            </w:pPr>
            <w:r>
              <w:rPr>
                <w:b/>
                <w:noProof/>
                <w:color w:val="000000"/>
                <w:sz w:val="22"/>
              </w:rPr>
              <w:t>Počet stanovísk,</w:t>
            </w:r>
            <w:r>
              <w:rPr>
                <w:b/>
                <w:bCs/>
                <w:noProof/>
                <w:color w:val="000000"/>
                <w:sz w:val="22"/>
                <w:szCs w:val="22"/>
              </w:rPr>
              <w:br/>
            </w:r>
            <w:r>
              <w:rPr>
                <w:b/>
                <w:noProof/>
                <w:color w:val="000000"/>
                <w:sz w:val="22"/>
              </w:rPr>
              <w:t>ktoré boli</w:t>
            </w:r>
            <w:r>
              <w:rPr>
                <w:b/>
                <w:bCs/>
                <w:noProof/>
                <w:color w:val="000000"/>
                <w:sz w:val="22"/>
                <w:szCs w:val="22"/>
              </w:rPr>
              <w:br/>
            </w:r>
            <w:r>
              <w:rPr>
                <w:b/>
                <w:noProof/>
                <w:color w:val="000000"/>
                <w:sz w:val="22"/>
              </w:rPr>
              <w:t>odôvodnené stanoviská</w:t>
            </w:r>
            <w:r>
              <w:rPr>
                <w:b/>
                <w:bCs/>
                <w:noProof/>
                <w:color w:val="000000"/>
                <w:sz w:val="22"/>
                <w:szCs w:val="22"/>
              </w:rPr>
              <w:br/>
            </w:r>
            <w:r>
              <w:rPr>
                <w:b/>
                <w:noProof/>
                <w:sz w:val="22"/>
              </w:rPr>
              <w:t>(protokol č. 2)</w:t>
            </w:r>
            <w:r>
              <w:rPr>
                <w:rStyle w:val="FootnoteReference"/>
                <w:noProof/>
                <w:sz w:val="22"/>
              </w:rPr>
              <w:footnoteReference w:id="2"/>
            </w:r>
          </w:p>
        </w:tc>
      </w:tr>
      <w:tr>
        <w:trPr>
          <w:cantSplit/>
        </w:trPr>
        <w:tc>
          <w:tcPr>
            <w:tcW w:w="1909" w:type="dxa"/>
            <w:shd w:val="clear" w:color="auto" w:fill="auto"/>
            <w:vAlign w:val="center"/>
          </w:tcPr>
          <w:p>
            <w:pPr>
              <w:jc w:val="center"/>
              <w:rPr>
                <w:noProof/>
                <w:color w:val="000000"/>
                <w:sz w:val="22"/>
                <w:szCs w:val="22"/>
              </w:rPr>
            </w:pPr>
            <w:r>
              <w:rPr>
                <w:noProof/>
                <w:color w:val="000000"/>
                <w:sz w:val="22"/>
              </w:rPr>
              <w:t>Portugalsko</w:t>
            </w:r>
          </w:p>
        </w:tc>
        <w:tc>
          <w:tcPr>
            <w:tcW w:w="3609" w:type="dxa"/>
            <w:shd w:val="clear" w:color="auto" w:fill="auto"/>
            <w:vAlign w:val="center"/>
          </w:tcPr>
          <w:p>
            <w:pPr>
              <w:jc w:val="center"/>
              <w:rPr>
                <w:i/>
                <w:iCs/>
                <w:noProof/>
                <w:color w:val="000000"/>
                <w:sz w:val="22"/>
                <w:szCs w:val="22"/>
              </w:rPr>
            </w:pPr>
            <w:r>
              <w:rPr>
                <w:i/>
                <w:noProof/>
                <w:color w:val="000000"/>
                <w:sz w:val="22"/>
              </w:rPr>
              <w:t>Assembleia da República</w:t>
            </w:r>
          </w:p>
        </w:tc>
        <w:tc>
          <w:tcPr>
            <w:tcW w:w="1660" w:type="dxa"/>
            <w:shd w:val="clear" w:color="auto" w:fill="auto"/>
            <w:vAlign w:val="center"/>
          </w:tcPr>
          <w:p>
            <w:pPr>
              <w:jc w:val="center"/>
              <w:rPr>
                <w:noProof/>
                <w:color w:val="000000"/>
                <w:sz w:val="22"/>
                <w:szCs w:val="22"/>
              </w:rPr>
            </w:pPr>
            <w:r>
              <w:rPr>
                <w:noProof/>
                <w:color w:val="000000"/>
                <w:sz w:val="22"/>
              </w:rPr>
              <w:t>64</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 xml:space="preserve">Taliansko </w:t>
            </w:r>
          </w:p>
        </w:tc>
        <w:tc>
          <w:tcPr>
            <w:tcW w:w="3609" w:type="dxa"/>
            <w:shd w:val="clear" w:color="auto" w:fill="auto"/>
            <w:vAlign w:val="center"/>
          </w:tcPr>
          <w:p>
            <w:pPr>
              <w:jc w:val="center"/>
              <w:rPr>
                <w:i/>
                <w:iCs/>
                <w:noProof/>
                <w:color w:val="000000"/>
                <w:sz w:val="22"/>
                <w:szCs w:val="22"/>
              </w:rPr>
            </w:pPr>
            <w:r>
              <w:rPr>
                <w:i/>
                <w:noProof/>
                <w:color w:val="000000"/>
                <w:sz w:val="22"/>
              </w:rPr>
              <w:t>Senato della Repubblica</w:t>
            </w:r>
          </w:p>
        </w:tc>
        <w:tc>
          <w:tcPr>
            <w:tcW w:w="1660" w:type="dxa"/>
            <w:shd w:val="clear" w:color="auto" w:fill="auto"/>
            <w:vAlign w:val="center"/>
          </w:tcPr>
          <w:p>
            <w:pPr>
              <w:jc w:val="center"/>
              <w:rPr>
                <w:noProof/>
                <w:color w:val="000000"/>
                <w:sz w:val="22"/>
                <w:szCs w:val="22"/>
              </w:rPr>
            </w:pPr>
            <w:r>
              <w:rPr>
                <w:noProof/>
                <w:color w:val="000000"/>
                <w:sz w:val="22"/>
              </w:rPr>
              <w:t>56</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Česká republika</w:t>
            </w:r>
          </w:p>
        </w:tc>
        <w:tc>
          <w:tcPr>
            <w:tcW w:w="3609" w:type="dxa"/>
            <w:shd w:val="clear" w:color="auto" w:fill="auto"/>
            <w:vAlign w:val="center"/>
          </w:tcPr>
          <w:p>
            <w:pPr>
              <w:jc w:val="center"/>
              <w:rPr>
                <w:i/>
                <w:iCs/>
                <w:noProof/>
                <w:color w:val="000000"/>
                <w:sz w:val="22"/>
                <w:szCs w:val="22"/>
              </w:rPr>
            </w:pPr>
            <w:r>
              <w:rPr>
                <w:i/>
                <w:noProof/>
                <w:color w:val="000000"/>
                <w:sz w:val="22"/>
              </w:rPr>
              <w:t>Senát</w:t>
            </w:r>
          </w:p>
        </w:tc>
        <w:tc>
          <w:tcPr>
            <w:tcW w:w="1660" w:type="dxa"/>
            <w:shd w:val="clear" w:color="auto" w:fill="auto"/>
            <w:vAlign w:val="center"/>
          </w:tcPr>
          <w:p>
            <w:pPr>
              <w:jc w:val="center"/>
              <w:rPr>
                <w:noProof/>
                <w:color w:val="000000"/>
                <w:sz w:val="22"/>
                <w:szCs w:val="22"/>
              </w:rPr>
            </w:pPr>
            <w:r>
              <w:rPr>
                <w:noProof/>
                <w:color w:val="000000"/>
                <w:sz w:val="22"/>
              </w:rPr>
              <w:t>53</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Taliansko</w:t>
            </w:r>
          </w:p>
        </w:tc>
        <w:tc>
          <w:tcPr>
            <w:tcW w:w="3609" w:type="dxa"/>
            <w:shd w:val="clear" w:color="auto" w:fill="auto"/>
            <w:vAlign w:val="center"/>
          </w:tcPr>
          <w:p>
            <w:pPr>
              <w:jc w:val="center"/>
              <w:rPr>
                <w:i/>
                <w:iCs/>
                <w:noProof/>
                <w:color w:val="000000"/>
                <w:sz w:val="22"/>
                <w:szCs w:val="22"/>
              </w:rPr>
            </w:pPr>
            <w:r>
              <w:rPr>
                <w:i/>
                <w:noProof/>
                <w:color w:val="000000"/>
                <w:sz w:val="22"/>
              </w:rPr>
              <w:t>Camera dei Deputati</w:t>
            </w:r>
          </w:p>
        </w:tc>
        <w:tc>
          <w:tcPr>
            <w:tcW w:w="1660" w:type="dxa"/>
            <w:shd w:val="clear" w:color="auto" w:fill="auto"/>
            <w:vAlign w:val="center"/>
          </w:tcPr>
          <w:p>
            <w:pPr>
              <w:jc w:val="center"/>
              <w:rPr>
                <w:noProof/>
                <w:color w:val="000000"/>
                <w:sz w:val="22"/>
                <w:szCs w:val="22"/>
              </w:rPr>
            </w:pPr>
            <w:r>
              <w:rPr>
                <w:noProof/>
                <w:color w:val="000000"/>
                <w:sz w:val="22"/>
              </w:rPr>
              <w:t>45</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Nemecko</w:t>
            </w:r>
          </w:p>
        </w:tc>
        <w:tc>
          <w:tcPr>
            <w:tcW w:w="3609" w:type="dxa"/>
            <w:shd w:val="clear" w:color="auto" w:fill="auto"/>
            <w:vAlign w:val="center"/>
          </w:tcPr>
          <w:p>
            <w:pPr>
              <w:jc w:val="center"/>
              <w:rPr>
                <w:i/>
                <w:iCs/>
                <w:noProof/>
                <w:color w:val="000000"/>
                <w:sz w:val="22"/>
                <w:szCs w:val="22"/>
              </w:rPr>
            </w:pPr>
            <w:r>
              <w:rPr>
                <w:i/>
                <w:noProof/>
                <w:color w:val="000000"/>
                <w:sz w:val="22"/>
              </w:rPr>
              <w:t>Bundesrat</w:t>
            </w:r>
          </w:p>
        </w:tc>
        <w:tc>
          <w:tcPr>
            <w:tcW w:w="1660" w:type="dxa"/>
            <w:shd w:val="clear" w:color="auto" w:fill="auto"/>
            <w:vAlign w:val="center"/>
          </w:tcPr>
          <w:p>
            <w:pPr>
              <w:jc w:val="center"/>
              <w:rPr>
                <w:noProof/>
                <w:color w:val="000000"/>
                <w:sz w:val="22"/>
                <w:szCs w:val="22"/>
              </w:rPr>
            </w:pPr>
            <w:r>
              <w:rPr>
                <w:noProof/>
                <w:color w:val="000000"/>
                <w:sz w:val="22"/>
              </w:rPr>
              <w:t>43</w:t>
            </w:r>
          </w:p>
        </w:tc>
        <w:tc>
          <w:tcPr>
            <w:tcW w:w="2364" w:type="dxa"/>
            <w:shd w:val="clear" w:color="auto" w:fill="auto"/>
            <w:vAlign w:val="center"/>
          </w:tcPr>
          <w:p>
            <w:pPr>
              <w:jc w:val="center"/>
              <w:rPr>
                <w:noProof/>
                <w:color w:val="000000"/>
                <w:sz w:val="22"/>
                <w:szCs w:val="22"/>
              </w:rPr>
            </w:pPr>
            <w:r>
              <w:rPr>
                <w:noProof/>
                <w:color w:val="000000"/>
                <w:sz w:val="22"/>
              </w:rPr>
              <w:t>3</w:t>
            </w:r>
          </w:p>
        </w:tc>
      </w:tr>
      <w:tr>
        <w:trPr>
          <w:cantSplit/>
        </w:trPr>
        <w:tc>
          <w:tcPr>
            <w:tcW w:w="1909" w:type="dxa"/>
            <w:shd w:val="clear" w:color="auto" w:fill="auto"/>
            <w:vAlign w:val="center"/>
          </w:tcPr>
          <w:p>
            <w:pPr>
              <w:jc w:val="center"/>
              <w:rPr>
                <w:noProof/>
                <w:color w:val="000000"/>
                <w:sz w:val="22"/>
                <w:szCs w:val="22"/>
              </w:rPr>
            </w:pPr>
            <w:r>
              <w:rPr>
                <w:noProof/>
                <w:color w:val="000000"/>
                <w:sz w:val="22"/>
              </w:rPr>
              <w:t>Rumunsko</w:t>
            </w:r>
          </w:p>
        </w:tc>
        <w:tc>
          <w:tcPr>
            <w:tcW w:w="3609" w:type="dxa"/>
            <w:shd w:val="clear" w:color="auto" w:fill="auto"/>
            <w:vAlign w:val="center"/>
          </w:tcPr>
          <w:p>
            <w:pPr>
              <w:jc w:val="center"/>
              <w:rPr>
                <w:i/>
                <w:iCs/>
                <w:noProof/>
                <w:color w:val="000000"/>
                <w:sz w:val="22"/>
                <w:szCs w:val="22"/>
              </w:rPr>
            </w:pPr>
            <w:r>
              <w:rPr>
                <w:i/>
                <w:noProof/>
                <w:color w:val="000000"/>
                <w:sz w:val="22"/>
              </w:rPr>
              <w:t>Camera Deputaților</w:t>
            </w:r>
          </w:p>
        </w:tc>
        <w:tc>
          <w:tcPr>
            <w:tcW w:w="1660" w:type="dxa"/>
            <w:shd w:val="clear" w:color="auto" w:fill="auto"/>
            <w:vAlign w:val="center"/>
          </w:tcPr>
          <w:p>
            <w:pPr>
              <w:jc w:val="center"/>
              <w:rPr>
                <w:noProof/>
                <w:color w:val="000000"/>
                <w:sz w:val="22"/>
                <w:szCs w:val="22"/>
              </w:rPr>
            </w:pPr>
            <w:r>
              <w:rPr>
                <w:noProof/>
                <w:color w:val="000000"/>
                <w:sz w:val="22"/>
              </w:rPr>
              <w:t>41</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Španielsko</w:t>
            </w:r>
          </w:p>
        </w:tc>
        <w:tc>
          <w:tcPr>
            <w:tcW w:w="3609" w:type="dxa"/>
            <w:shd w:val="clear" w:color="auto" w:fill="auto"/>
            <w:vAlign w:val="center"/>
          </w:tcPr>
          <w:p>
            <w:pPr>
              <w:jc w:val="center"/>
              <w:rPr>
                <w:noProof/>
                <w:color w:val="000000"/>
                <w:sz w:val="22"/>
                <w:szCs w:val="22"/>
              </w:rPr>
            </w:pPr>
            <w:r>
              <w:rPr>
                <w:i/>
                <w:noProof/>
                <w:color w:val="000000"/>
                <w:sz w:val="22"/>
              </w:rPr>
              <w:t>Las Cortes Generales:</w:t>
            </w:r>
            <w:r>
              <w:rPr>
                <w:noProof/>
                <w:color w:val="000000"/>
                <w:sz w:val="22"/>
                <w:szCs w:val="22"/>
              </w:rPr>
              <w:br/>
            </w:r>
            <w:r>
              <w:rPr>
                <w:i/>
                <w:noProof/>
                <w:color w:val="000000"/>
                <w:sz w:val="22"/>
              </w:rPr>
              <w:t>Senado de España</w:t>
            </w:r>
            <w:r>
              <w:rPr>
                <w:noProof/>
                <w:color w:val="000000"/>
                <w:sz w:val="22"/>
              </w:rPr>
              <w:t xml:space="preserve"> a</w:t>
            </w:r>
            <w:r>
              <w:rPr>
                <w:noProof/>
                <w:color w:val="000000"/>
                <w:sz w:val="22"/>
                <w:szCs w:val="22"/>
              </w:rPr>
              <w:br/>
            </w:r>
            <w:r>
              <w:rPr>
                <w:i/>
                <w:noProof/>
                <w:color w:val="000000"/>
                <w:sz w:val="22"/>
              </w:rPr>
              <w:t>Congreso de los Diputados</w:t>
            </w:r>
          </w:p>
        </w:tc>
        <w:tc>
          <w:tcPr>
            <w:tcW w:w="1660" w:type="dxa"/>
            <w:shd w:val="clear" w:color="auto" w:fill="auto"/>
            <w:vAlign w:val="center"/>
          </w:tcPr>
          <w:p>
            <w:pPr>
              <w:jc w:val="center"/>
              <w:rPr>
                <w:noProof/>
                <w:color w:val="000000"/>
                <w:sz w:val="22"/>
                <w:szCs w:val="22"/>
              </w:rPr>
            </w:pPr>
            <w:r>
              <w:rPr>
                <w:noProof/>
                <w:color w:val="000000"/>
                <w:sz w:val="22"/>
              </w:rPr>
              <w:t>38</w:t>
            </w:r>
            <w:r>
              <w:rPr>
                <w:rStyle w:val="FootnoteReference"/>
                <w:noProof/>
                <w:color w:val="000000"/>
                <w:sz w:val="22"/>
              </w:rPr>
              <w:footnoteReference w:id="3"/>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Rumunsko</w:t>
            </w:r>
          </w:p>
        </w:tc>
        <w:tc>
          <w:tcPr>
            <w:tcW w:w="3609" w:type="dxa"/>
            <w:shd w:val="clear" w:color="auto" w:fill="auto"/>
            <w:vAlign w:val="center"/>
          </w:tcPr>
          <w:p>
            <w:pPr>
              <w:jc w:val="center"/>
              <w:rPr>
                <w:i/>
                <w:iCs/>
                <w:noProof/>
                <w:color w:val="000000"/>
                <w:sz w:val="22"/>
                <w:szCs w:val="22"/>
              </w:rPr>
            </w:pPr>
            <w:r>
              <w:rPr>
                <w:i/>
                <w:noProof/>
                <w:color w:val="000000"/>
                <w:sz w:val="22"/>
              </w:rPr>
              <w:t>Senatul</w:t>
            </w:r>
          </w:p>
        </w:tc>
        <w:tc>
          <w:tcPr>
            <w:tcW w:w="1660" w:type="dxa"/>
            <w:shd w:val="clear" w:color="auto" w:fill="auto"/>
            <w:vAlign w:val="center"/>
          </w:tcPr>
          <w:p>
            <w:pPr>
              <w:jc w:val="center"/>
              <w:rPr>
                <w:noProof/>
                <w:color w:val="000000"/>
                <w:sz w:val="22"/>
                <w:szCs w:val="22"/>
              </w:rPr>
            </w:pPr>
            <w:r>
              <w:rPr>
                <w:noProof/>
                <w:color w:val="000000"/>
                <w:sz w:val="22"/>
              </w:rPr>
              <w:t>33</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Francúzsko</w:t>
            </w:r>
          </w:p>
        </w:tc>
        <w:tc>
          <w:tcPr>
            <w:tcW w:w="3609" w:type="dxa"/>
            <w:shd w:val="clear" w:color="auto" w:fill="auto"/>
            <w:vAlign w:val="center"/>
          </w:tcPr>
          <w:p>
            <w:pPr>
              <w:jc w:val="center"/>
              <w:rPr>
                <w:i/>
                <w:iCs/>
                <w:noProof/>
                <w:color w:val="000000"/>
                <w:sz w:val="22"/>
                <w:szCs w:val="22"/>
              </w:rPr>
            </w:pPr>
            <w:r>
              <w:rPr>
                <w:i/>
                <w:noProof/>
                <w:color w:val="000000"/>
                <w:sz w:val="22"/>
              </w:rPr>
              <w:t xml:space="preserve">Sénat  </w:t>
            </w:r>
          </w:p>
        </w:tc>
        <w:tc>
          <w:tcPr>
            <w:tcW w:w="1660" w:type="dxa"/>
            <w:shd w:val="clear" w:color="auto" w:fill="auto"/>
            <w:vAlign w:val="center"/>
          </w:tcPr>
          <w:p>
            <w:pPr>
              <w:jc w:val="center"/>
              <w:rPr>
                <w:noProof/>
                <w:color w:val="000000"/>
                <w:sz w:val="22"/>
                <w:szCs w:val="22"/>
              </w:rPr>
            </w:pPr>
            <w:r>
              <w:rPr>
                <w:noProof/>
                <w:color w:val="000000"/>
                <w:sz w:val="22"/>
              </w:rPr>
              <w:t>29</w:t>
            </w:r>
          </w:p>
        </w:tc>
        <w:tc>
          <w:tcPr>
            <w:tcW w:w="2364" w:type="dxa"/>
            <w:shd w:val="clear" w:color="auto" w:fill="auto"/>
            <w:vAlign w:val="center"/>
          </w:tcPr>
          <w:p>
            <w:pPr>
              <w:jc w:val="center"/>
              <w:rPr>
                <w:noProof/>
                <w:color w:val="000000"/>
                <w:sz w:val="22"/>
                <w:szCs w:val="22"/>
              </w:rPr>
            </w:pPr>
            <w:r>
              <w:rPr>
                <w:noProof/>
                <w:color w:val="000000"/>
                <w:sz w:val="22"/>
              </w:rPr>
              <w:t>7</w:t>
            </w:r>
          </w:p>
        </w:tc>
      </w:tr>
      <w:tr>
        <w:trPr>
          <w:cantSplit/>
        </w:trPr>
        <w:tc>
          <w:tcPr>
            <w:tcW w:w="1909" w:type="dxa"/>
            <w:shd w:val="clear" w:color="auto" w:fill="auto"/>
            <w:vAlign w:val="center"/>
          </w:tcPr>
          <w:p>
            <w:pPr>
              <w:jc w:val="center"/>
              <w:rPr>
                <w:noProof/>
                <w:color w:val="000000"/>
                <w:sz w:val="22"/>
                <w:szCs w:val="22"/>
              </w:rPr>
            </w:pPr>
            <w:r>
              <w:rPr>
                <w:noProof/>
                <w:color w:val="000000"/>
                <w:sz w:val="22"/>
              </w:rPr>
              <w:t>Spojené kráľovstvo</w:t>
            </w:r>
          </w:p>
        </w:tc>
        <w:tc>
          <w:tcPr>
            <w:tcW w:w="3609" w:type="dxa"/>
            <w:shd w:val="clear" w:color="auto" w:fill="auto"/>
            <w:vAlign w:val="center"/>
          </w:tcPr>
          <w:p>
            <w:pPr>
              <w:jc w:val="center"/>
              <w:rPr>
                <w:i/>
                <w:iCs/>
                <w:noProof/>
                <w:color w:val="000000"/>
                <w:sz w:val="22"/>
                <w:szCs w:val="22"/>
              </w:rPr>
            </w:pPr>
            <w:r>
              <w:rPr>
                <w:i/>
                <w:noProof/>
                <w:color w:val="000000"/>
                <w:sz w:val="22"/>
              </w:rPr>
              <w:t>House of Lords</w:t>
            </w:r>
          </w:p>
        </w:tc>
        <w:tc>
          <w:tcPr>
            <w:tcW w:w="1660" w:type="dxa"/>
            <w:shd w:val="clear" w:color="auto" w:fill="auto"/>
            <w:vAlign w:val="center"/>
          </w:tcPr>
          <w:p>
            <w:pPr>
              <w:jc w:val="center"/>
              <w:rPr>
                <w:noProof/>
                <w:color w:val="000000"/>
                <w:sz w:val="22"/>
                <w:szCs w:val="22"/>
              </w:rPr>
            </w:pPr>
            <w:r>
              <w:rPr>
                <w:noProof/>
                <w:color w:val="000000"/>
                <w:sz w:val="22"/>
              </w:rPr>
              <w:t>22</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Česká republika</w:t>
            </w:r>
          </w:p>
        </w:tc>
        <w:tc>
          <w:tcPr>
            <w:tcW w:w="3609" w:type="dxa"/>
            <w:shd w:val="clear" w:color="auto" w:fill="auto"/>
            <w:vAlign w:val="center"/>
          </w:tcPr>
          <w:p>
            <w:pPr>
              <w:jc w:val="center"/>
              <w:rPr>
                <w:i/>
                <w:iCs/>
                <w:noProof/>
                <w:color w:val="000000"/>
                <w:sz w:val="22"/>
                <w:szCs w:val="22"/>
              </w:rPr>
            </w:pPr>
            <w:r>
              <w:rPr>
                <w:i/>
                <w:noProof/>
                <w:color w:val="000000"/>
                <w:sz w:val="22"/>
              </w:rPr>
              <w:t>Poslanecká sněmovna</w:t>
            </w:r>
          </w:p>
        </w:tc>
        <w:tc>
          <w:tcPr>
            <w:tcW w:w="1660" w:type="dxa"/>
            <w:shd w:val="clear" w:color="auto" w:fill="auto"/>
            <w:vAlign w:val="center"/>
          </w:tcPr>
          <w:p>
            <w:pPr>
              <w:jc w:val="center"/>
              <w:rPr>
                <w:noProof/>
                <w:color w:val="000000"/>
                <w:sz w:val="22"/>
                <w:szCs w:val="22"/>
              </w:rPr>
            </w:pPr>
            <w:r>
              <w:rPr>
                <w:noProof/>
                <w:color w:val="000000"/>
                <w:sz w:val="22"/>
              </w:rPr>
              <w:t>17</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Švédsko</w:t>
            </w:r>
          </w:p>
        </w:tc>
        <w:tc>
          <w:tcPr>
            <w:tcW w:w="3609" w:type="dxa"/>
            <w:shd w:val="clear" w:color="auto" w:fill="auto"/>
            <w:vAlign w:val="center"/>
          </w:tcPr>
          <w:p>
            <w:pPr>
              <w:jc w:val="center"/>
              <w:rPr>
                <w:i/>
                <w:iCs/>
                <w:noProof/>
                <w:color w:val="000000"/>
                <w:sz w:val="22"/>
                <w:szCs w:val="22"/>
              </w:rPr>
            </w:pPr>
            <w:r>
              <w:rPr>
                <w:i/>
                <w:noProof/>
                <w:color w:val="000000"/>
                <w:sz w:val="22"/>
              </w:rPr>
              <w:t>Riksdag</w:t>
            </w:r>
          </w:p>
        </w:tc>
        <w:tc>
          <w:tcPr>
            <w:tcW w:w="1660" w:type="dxa"/>
            <w:shd w:val="clear" w:color="auto" w:fill="auto"/>
            <w:vAlign w:val="center"/>
          </w:tcPr>
          <w:p>
            <w:pPr>
              <w:jc w:val="center"/>
              <w:rPr>
                <w:noProof/>
                <w:color w:val="000000"/>
                <w:sz w:val="22"/>
                <w:szCs w:val="22"/>
              </w:rPr>
            </w:pPr>
            <w:r>
              <w:rPr>
                <w:noProof/>
                <w:color w:val="000000"/>
                <w:sz w:val="22"/>
              </w:rPr>
              <w:t>17</w:t>
            </w:r>
          </w:p>
        </w:tc>
        <w:tc>
          <w:tcPr>
            <w:tcW w:w="2364" w:type="dxa"/>
            <w:shd w:val="clear" w:color="auto" w:fill="auto"/>
            <w:vAlign w:val="center"/>
          </w:tcPr>
          <w:p>
            <w:pPr>
              <w:jc w:val="center"/>
              <w:rPr>
                <w:noProof/>
                <w:color w:val="000000"/>
                <w:sz w:val="22"/>
                <w:szCs w:val="22"/>
              </w:rPr>
            </w:pPr>
            <w:r>
              <w:rPr>
                <w:noProof/>
                <w:color w:val="000000"/>
                <w:sz w:val="22"/>
              </w:rPr>
              <w:t>4</w:t>
            </w:r>
          </w:p>
        </w:tc>
      </w:tr>
      <w:tr>
        <w:trPr>
          <w:cantSplit/>
        </w:trPr>
        <w:tc>
          <w:tcPr>
            <w:tcW w:w="1909" w:type="dxa"/>
            <w:shd w:val="clear" w:color="auto" w:fill="auto"/>
            <w:vAlign w:val="center"/>
          </w:tcPr>
          <w:p>
            <w:pPr>
              <w:jc w:val="center"/>
              <w:rPr>
                <w:noProof/>
                <w:color w:val="000000"/>
                <w:sz w:val="22"/>
                <w:szCs w:val="22"/>
              </w:rPr>
            </w:pPr>
            <w:r>
              <w:rPr>
                <w:noProof/>
                <w:color w:val="000000"/>
                <w:sz w:val="22"/>
              </w:rPr>
              <w:t>Francúzsko</w:t>
            </w:r>
          </w:p>
        </w:tc>
        <w:tc>
          <w:tcPr>
            <w:tcW w:w="3609" w:type="dxa"/>
            <w:shd w:val="clear" w:color="auto" w:fill="auto"/>
            <w:vAlign w:val="center"/>
          </w:tcPr>
          <w:p>
            <w:pPr>
              <w:jc w:val="center"/>
              <w:rPr>
                <w:i/>
                <w:iCs/>
                <w:noProof/>
                <w:color w:val="000000"/>
                <w:sz w:val="22"/>
                <w:szCs w:val="22"/>
              </w:rPr>
            </w:pPr>
            <w:r>
              <w:rPr>
                <w:i/>
                <w:noProof/>
                <w:color w:val="000000"/>
                <w:sz w:val="22"/>
              </w:rPr>
              <w:t>Assemblée nationale</w:t>
            </w:r>
          </w:p>
        </w:tc>
        <w:tc>
          <w:tcPr>
            <w:tcW w:w="1660" w:type="dxa"/>
            <w:shd w:val="clear" w:color="auto" w:fill="auto"/>
            <w:vAlign w:val="center"/>
          </w:tcPr>
          <w:p>
            <w:pPr>
              <w:jc w:val="center"/>
              <w:rPr>
                <w:noProof/>
                <w:color w:val="000000"/>
                <w:sz w:val="22"/>
                <w:szCs w:val="22"/>
              </w:rPr>
            </w:pPr>
            <w:r>
              <w:rPr>
                <w:noProof/>
                <w:color w:val="000000"/>
                <w:sz w:val="22"/>
              </w:rPr>
              <w:t>16</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Rakúsko</w:t>
            </w:r>
          </w:p>
        </w:tc>
        <w:tc>
          <w:tcPr>
            <w:tcW w:w="3609" w:type="dxa"/>
            <w:shd w:val="clear" w:color="auto" w:fill="auto"/>
            <w:vAlign w:val="center"/>
          </w:tcPr>
          <w:p>
            <w:pPr>
              <w:jc w:val="center"/>
              <w:rPr>
                <w:i/>
                <w:iCs/>
                <w:noProof/>
                <w:color w:val="000000"/>
                <w:sz w:val="22"/>
                <w:szCs w:val="22"/>
              </w:rPr>
            </w:pPr>
            <w:r>
              <w:rPr>
                <w:i/>
                <w:noProof/>
                <w:color w:val="000000"/>
                <w:sz w:val="22"/>
              </w:rPr>
              <w:t>Bundesrat</w:t>
            </w:r>
          </w:p>
        </w:tc>
        <w:tc>
          <w:tcPr>
            <w:tcW w:w="1660" w:type="dxa"/>
            <w:shd w:val="clear" w:color="auto" w:fill="auto"/>
            <w:vAlign w:val="center"/>
          </w:tcPr>
          <w:p>
            <w:pPr>
              <w:jc w:val="center"/>
              <w:rPr>
                <w:noProof/>
                <w:color w:val="000000"/>
                <w:sz w:val="22"/>
                <w:szCs w:val="22"/>
              </w:rPr>
            </w:pPr>
            <w:r>
              <w:rPr>
                <w:noProof/>
                <w:color w:val="000000"/>
                <w:sz w:val="22"/>
              </w:rPr>
              <w:t>14</w:t>
            </w:r>
          </w:p>
        </w:tc>
        <w:tc>
          <w:tcPr>
            <w:tcW w:w="2364" w:type="dxa"/>
            <w:shd w:val="clear" w:color="auto" w:fill="auto"/>
            <w:vAlign w:val="center"/>
          </w:tcPr>
          <w:p>
            <w:pPr>
              <w:jc w:val="center"/>
              <w:rPr>
                <w:noProof/>
                <w:color w:val="000000"/>
                <w:sz w:val="22"/>
                <w:szCs w:val="22"/>
              </w:rPr>
            </w:pPr>
            <w:r>
              <w:rPr>
                <w:noProof/>
                <w:color w:val="000000"/>
                <w:sz w:val="22"/>
              </w:rPr>
              <w:t>6</w:t>
            </w:r>
          </w:p>
        </w:tc>
      </w:tr>
      <w:tr>
        <w:trPr>
          <w:cantSplit/>
        </w:trPr>
        <w:tc>
          <w:tcPr>
            <w:tcW w:w="1909" w:type="dxa"/>
            <w:shd w:val="clear" w:color="auto" w:fill="auto"/>
            <w:vAlign w:val="center"/>
          </w:tcPr>
          <w:p>
            <w:pPr>
              <w:jc w:val="center"/>
              <w:rPr>
                <w:noProof/>
                <w:color w:val="000000"/>
                <w:sz w:val="22"/>
                <w:szCs w:val="22"/>
              </w:rPr>
            </w:pPr>
            <w:r>
              <w:rPr>
                <w:noProof/>
                <w:color w:val="000000"/>
                <w:sz w:val="22"/>
              </w:rPr>
              <w:t>Poľsko</w:t>
            </w:r>
          </w:p>
        </w:tc>
        <w:tc>
          <w:tcPr>
            <w:tcW w:w="3609" w:type="dxa"/>
            <w:shd w:val="clear" w:color="auto" w:fill="auto"/>
            <w:vAlign w:val="center"/>
          </w:tcPr>
          <w:p>
            <w:pPr>
              <w:jc w:val="center"/>
              <w:rPr>
                <w:i/>
                <w:iCs/>
                <w:noProof/>
                <w:color w:val="000000"/>
                <w:sz w:val="22"/>
                <w:szCs w:val="22"/>
              </w:rPr>
            </w:pPr>
            <w:r>
              <w:rPr>
                <w:i/>
                <w:noProof/>
                <w:color w:val="000000"/>
                <w:sz w:val="22"/>
              </w:rPr>
              <w:t>Senat Rzeczypospolitej Polskiej</w:t>
            </w:r>
          </w:p>
        </w:tc>
        <w:tc>
          <w:tcPr>
            <w:tcW w:w="1660" w:type="dxa"/>
            <w:shd w:val="clear" w:color="auto" w:fill="auto"/>
            <w:vAlign w:val="center"/>
          </w:tcPr>
          <w:p>
            <w:pPr>
              <w:jc w:val="center"/>
              <w:rPr>
                <w:noProof/>
                <w:color w:val="000000"/>
                <w:sz w:val="22"/>
                <w:szCs w:val="22"/>
              </w:rPr>
            </w:pPr>
            <w:r>
              <w:rPr>
                <w:noProof/>
                <w:color w:val="000000"/>
                <w:sz w:val="22"/>
              </w:rPr>
              <w:t>14</w:t>
            </w:r>
          </w:p>
        </w:tc>
        <w:tc>
          <w:tcPr>
            <w:tcW w:w="2364" w:type="dxa"/>
            <w:shd w:val="clear" w:color="auto" w:fill="auto"/>
            <w:vAlign w:val="center"/>
          </w:tcPr>
          <w:p>
            <w:pPr>
              <w:jc w:val="center"/>
              <w:rPr>
                <w:noProof/>
                <w:color w:val="000000"/>
                <w:sz w:val="22"/>
                <w:szCs w:val="22"/>
              </w:rPr>
            </w:pPr>
            <w:r>
              <w:rPr>
                <w:noProof/>
                <w:color w:val="000000"/>
                <w:sz w:val="22"/>
              </w:rPr>
              <w:t>4</w:t>
            </w:r>
          </w:p>
        </w:tc>
      </w:tr>
      <w:tr>
        <w:trPr>
          <w:cantSplit/>
        </w:trPr>
        <w:tc>
          <w:tcPr>
            <w:tcW w:w="1909" w:type="dxa"/>
            <w:shd w:val="clear" w:color="auto" w:fill="auto"/>
            <w:vAlign w:val="center"/>
          </w:tcPr>
          <w:p>
            <w:pPr>
              <w:jc w:val="center"/>
              <w:rPr>
                <w:noProof/>
                <w:color w:val="000000"/>
                <w:sz w:val="22"/>
                <w:szCs w:val="22"/>
              </w:rPr>
            </w:pPr>
            <w:r>
              <w:rPr>
                <w:noProof/>
                <w:color w:val="000000"/>
                <w:sz w:val="22"/>
              </w:rPr>
              <w:t>Maďarsko</w:t>
            </w:r>
          </w:p>
        </w:tc>
        <w:tc>
          <w:tcPr>
            <w:tcW w:w="3609" w:type="dxa"/>
            <w:shd w:val="clear" w:color="auto" w:fill="auto"/>
            <w:vAlign w:val="center"/>
          </w:tcPr>
          <w:p>
            <w:pPr>
              <w:jc w:val="center"/>
              <w:rPr>
                <w:i/>
                <w:iCs/>
                <w:noProof/>
                <w:color w:val="000000"/>
                <w:sz w:val="22"/>
                <w:szCs w:val="22"/>
              </w:rPr>
            </w:pPr>
            <w:r>
              <w:rPr>
                <w:i/>
                <w:noProof/>
                <w:color w:val="000000"/>
                <w:sz w:val="22"/>
              </w:rPr>
              <w:t>Országgyűlés</w:t>
            </w:r>
          </w:p>
        </w:tc>
        <w:tc>
          <w:tcPr>
            <w:tcW w:w="1660" w:type="dxa"/>
            <w:shd w:val="clear" w:color="auto" w:fill="auto"/>
            <w:vAlign w:val="center"/>
          </w:tcPr>
          <w:p>
            <w:pPr>
              <w:jc w:val="center"/>
              <w:rPr>
                <w:noProof/>
                <w:color w:val="000000"/>
                <w:sz w:val="22"/>
                <w:szCs w:val="22"/>
              </w:rPr>
            </w:pPr>
            <w:r>
              <w:rPr>
                <w:noProof/>
                <w:color w:val="000000"/>
                <w:sz w:val="22"/>
              </w:rPr>
              <w:t>8</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Nemecko</w:t>
            </w:r>
          </w:p>
        </w:tc>
        <w:tc>
          <w:tcPr>
            <w:tcW w:w="3609" w:type="dxa"/>
            <w:shd w:val="clear" w:color="auto" w:fill="auto"/>
            <w:vAlign w:val="center"/>
          </w:tcPr>
          <w:p>
            <w:pPr>
              <w:jc w:val="center"/>
              <w:rPr>
                <w:i/>
                <w:iCs/>
                <w:noProof/>
                <w:color w:val="000000"/>
                <w:sz w:val="22"/>
                <w:szCs w:val="22"/>
              </w:rPr>
            </w:pPr>
            <w:r>
              <w:rPr>
                <w:i/>
                <w:noProof/>
                <w:color w:val="000000"/>
                <w:sz w:val="22"/>
              </w:rPr>
              <w:t>Bundestag</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6</w:t>
            </w:r>
          </w:p>
        </w:tc>
      </w:tr>
      <w:tr>
        <w:trPr>
          <w:cantSplit/>
        </w:trPr>
        <w:tc>
          <w:tcPr>
            <w:tcW w:w="1909" w:type="dxa"/>
            <w:shd w:val="clear" w:color="auto" w:fill="auto"/>
            <w:vAlign w:val="center"/>
          </w:tcPr>
          <w:p>
            <w:pPr>
              <w:jc w:val="center"/>
              <w:rPr>
                <w:noProof/>
                <w:color w:val="000000"/>
                <w:sz w:val="22"/>
                <w:szCs w:val="22"/>
              </w:rPr>
            </w:pPr>
            <w:r>
              <w:rPr>
                <w:noProof/>
                <w:color w:val="000000"/>
                <w:sz w:val="22"/>
              </w:rPr>
              <w:t>Holandsko</w:t>
            </w:r>
          </w:p>
        </w:tc>
        <w:tc>
          <w:tcPr>
            <w:tcW w:w="3609" w:type="dxa"/>
            <w:shd w:val="clear" w:color="auto" w:fill="auto"/>
            <w:vAlign w:val="center"/>
          </w:tcPr>
          <w:p>
            <w:pPr>
              <w:jc w:val="center"/>
              <w:rPr>
                <w:i/>
                <w:iCs/>
                <w:noProof/>
                <w:color w:val="000000"/>
                <w:sz w:val="22"/>
                <w:szCs w:val="22"/>
              </w:rPr>
            </w:pPr>
            <w:r>
              <w:rPr>
                <w:i/>
                <w:noProof/>
                <w:color w:val="000000"/>
                <w:sz w:val="22"/>
              </w:rPr>
              <w:t>Eerste Kamer</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Poľsko</w:t>
            </w:r>
          </w:p>
        </w:tc>
        <w:tc>
          <w:tcPr>
            <w:tcW w:w="3609" w:type="dxa"/>
            <w:shd w:val="clear" w:color="auto" w:fill="auto"/>
            <w:vAlign w:val="center"/>
          </w:tcPr>
          <w:p>
            <w:pPr>
              <w:jc w:val="center"/>
              <w:rPr>
                <w:i/>
                <w:iCs/>
                <w:noProof/>
                <w:color w:val="000000"/>
                <w:sz w:val="22"/>
                <w:szCs w:val="22"/>
              </w:rPr>
            </w:pPr>
            <w:r>
              <w:rPr>
                <w:i/>
                <w:noProof/>
                <w:color w:val="000000"/>
                <w:sz w:val="22"/>
              </w:rPr>
              <w:t>Sejm Rzeczypospolitej Polskiej</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Írsko</w:t>
            </w:r>
          </w:p>
        </w:tc>
        <w:tc>
          <w:tcPr>
            <w:tcW w:w="3609" w:type="dxa"/>
            <w:shd w:val="clear" w:color="auto" w:fill="auto"/>
            <w:vAlign w:val="center"/>
          </w:tcPr>
          <w:p>
            <w:pPr>
              <w:jc w:val="center"/>
              <w:rPr>
                <w:noProof/>
                <w:color w:val="000000"/>
                <w:sz w:val="22"/>
                <w:szCs w:val="22"/>
              </w:rPr>
            </w:pPr>
            <w:r>
              <w:rPr>
                <w:noProof/>
                <w:color w:val="000000"/>
                <w:sz w:val="22"/>
              </w:rPr>
              <w:t xml:space="preserve">Komory parlamentu </w:t>
            </w:r>
            <w:r>
              <w:rPr>
                <w:i/>
                <w:noProof/>
                <w:color w:val="000000"/>
                <w:sz w:val="22"/>
              </w:rPr>
              <w:t>Oireachtas:</w:t>
            </w:r>
            <w:r>
              <w:rPr>
                <w:noProof/>
                <w:color w:val="000000"/>
                <w:sz w:val="22"/>
                <w:szCs w:val="22"/>
              </w:rPr>
              <w:br/>
            </w:r>
            <w:r>
              <w:rPr>
                <w:i/>
                <w:noProof/>
                <w:color w:val="000000"/>
                <w:sz w:val="22"/>
              </w:rPr>
              <w:t>Dáil</w:t>
            </w:r>
            <w:r>
              <w:rPr>
                <w:noProof/>
                <w:color w:val="000000"/>
                <w:sz w:val="22"/>
              </w:rPr>
              <w:t xml:space="preserve"> a </w:t>
            </w:r>
            <w:r>
              <w:rPr>
                <w:i/>
                <w:noProof/>
                <w:color w:val="000000"/>
                <w:sz w:val="22"/>
              </w:rPr>
              <w:t xml:space="preserve">Seanad Éireann </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Dánsko</w:t>
            </w:r>
          </w:p>
        </w:tc>
        <w:tc>
          <w:tcPr>
            <w:tcW w:w="3609" w:type="dxa"/>
            <w:shd w:val="clear" w:color="auto" w:fill="auto"/>
            <w:vAlign w:val="center"/>
          </w:tcPr>
          <w:p>
            <w:pPr>
              <w:jc w:val="center"/>
              <w:rPr>
                <w:i/>
                <w:iCs/>
                <w:noProof/>
                <w:color w:val="000000"/>
                <w:sz w:val="22"/>
                <w:szCs w:val="22"/>
              </w:rPr>
            </w:pPr>
            <w:r>
              <w:rPr>
                <w:i/>
                <w:noProof/>
                <w:color w:val="000000"/>
                <w:sz w:val="22"/>
              </w:rPr>
              <w:t>Folketing</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Slovensko</w:t>
            </w:r>
          </w:p>
        </w:tc>
        <w:tc>
          <w:tcPr>
            <w:tcW w:w="3609" w:type="dxa"/>
            <w:shd w:val="clear" w:color="auto" w:fill="auto"/>
            <w:vAlign w:val="center"/>
          </w:tcPr>
          <w:p>
            <w:pPr>
              <w:jc w:val="center"/>
              <w:rPr>
                <w:i/>
                <w:iCs/>
                <w:noProof/>
                <w:color w:val="000000"/>
                <w:sz w:val="22"/>
                <w:szCs w:val="22"/>
              </w:rPr>
            </w:pPr>
            <w:r>
              <w:rPr>
                <w:i/>
                <w:noProof/>
                <w:color w:val="000000"/>
                <w:sz w:val="22"/>
              </w:rPr>
              <w:t>Národná rada</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Holandsko</w:t>
            </w:r>
          </w:p>
        </w:tc>
        <w:tc>
          <w:tcPr>
            <w:tcW w:w="3609" w:type="dxa"/>
            <w:shd w:val="clear" w:color="auto" w:fill="auto"/>
            <w:vAlign w:val="center"/>
          </w:tcPr>
          <w:p>
            <w:pPr>
              <w:jc w:val="center"/>
              <w:rPr>
                <w:i/>
                <w:iCs/>
                <w:noProof/>
                <w:color w:val="000000"/>
                <w:sz w:val="22"/>
                <w:szCs w:val="22"/>
              </w:rPr>
            </w:pPr>
            <w:r>
              <w:rPr>
                <w:i/>
                <w:noProof/>
                <w:color w:val="000000"/>
                <w:sz w:val="22"/>
              </w:rPr>
              <w:t>Tweede Kamer</w:t>
            </w:r>
          </w:p>
        </w:tc>
        <w:tc>
          <w:tcPr>
            <w:tcW w:w="1660" w:type="dxa"/>
            <w:shd w:val="clear" w:color="auto" w:fill="auto"/>
            <w:vAlign w:val="center"/>
          </w:tcPr>
          <w:p>
            <w:pPr>
              <w:jc w:val="center"/>
              <w:rPr>
                <w:noProof/>
                <w:color w:val="000000"/>
                <w:sz w:val="22"/>
                <w:szCs w:val="22"/>
              </w:rPr>
            </w:pPr>
            <w:r>
              <w:rPr>
                <w:noProof/>
                <w:color w:val="000000"/>
                <w:sz w:val="22"/>
              </w:rPr>
              <w:t>5</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Cyprus</w:t>
            </w:r>
          </w:p>
        </w:tc>
        <w:tc>
          <w:tcPr>
            <w:tcW w:w="3609" w:type="dxa"/>
            <w:shd w:val="clear" w:color="auto" w:fill="auto"/>
            <w:vAlign w:val="center"/>
          </w:tcPr>
          <w:p>
            <w:pPr>
              <w:jc w:val="center"/>
              <w:rPr>
                <w:i/>
                <w:iCs/>
                <w:noProof/>
                <w:color w:val="000000"/>
                <w:sz w:val="22"/>
                <w:szCs w:val="22"/>
              </w:rPr>
            </w:pPr>
            <w:r>
              <w:rPr>
                <w:i/>
                <w:noProof/>
                <w:color w:val="000000"/>
                <w:sz w:val="22"/>
              </w:rPr>
              <w:t>Vouli ton Antiprosopon/</w:t>
            </w:r>
            <w:r>
              <w:rPr>
                <w:i/>
                <w:iCs/>
                <w:noProof/>
                <w:color w:val="000000"/>
                <w:sz w:val="22"/>
                <w:szCs w:val="22"/>
              </w:rPr>
              <w:br/>
            </w:r>
            <w:r>
              <w:rPr>
                <w:i/>
                <w:noProof/>
                <w:color w:val="000000"/>
                <w:sz w:val="22"/>
              </w:rPr>
              <w:t>Βουλή των Αντιπροσώπων</w:t>
            </w:r>
          </w:p>
        </w:tc>
        <w:tc>
          <w:tcPr>
            <w:tcW w:w="1660" w:type="dxa"/>
            <w:shd w:val="clear" w:color="auto" w:fill="auto"/>
            <w:vAlign w:val="center"/>
          </w:tcPr>
          <w:p>
            <w:pPr>
              <w:jc w:val="center"/>
              <w:rPr>
                <w:noProof/>
                <w:color w:val="000000"/>
                <w:sz w:val="22"/>
                <w:szCs w:val="22"/>
              </w:rPr>
            </w:pPr>
            <w:r>
              <w:rPr>
                <w:noProof/>
                <w:color w:val="000000"/>
                <w:sz w:val="22"/>
              </w:rPr>
              <w:t>4</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Spojené kráľovstvo</w:t>
            </w:r>
          </w:p>
        </w:tc>
        <w:tc>
          <w:tcPr>
            <w:tcW w:w="3609" w:type="dxa"/>
            <w:shd w:val="clear" w:color="auto" w:fill="auto"/>
            <w:vAlign w:val="center"/>
          </w:tcPr>
          <w:p>
            <w:pPr>
              <w:jc w:val="center"/>
              <w:rPr>
                <w:noProof/>
                <w:color w:val="000000"/>
                <w:sz w:val="22"/>
                <w:szCs w:val="22"/>
              </w:rPr>
            </w:pPr>
            <w:r>
              <w:rPr>
                <w:noProof/>
                <w:color w:val="000000"/>
                <w:sz w:val="22"/>
              </w:rPr>
              <w:t>House of Commons</w:t>
            </w:r>
          </w:p>
        </w:tc>
        <w:tc>
          <w:tcPr>
            <w:tcW w:w="1660" w:type="dxa"/>
            <w:shd w:val="clear" w:color="auto" w:fill="auto"/>
            <w:vAlign w:val="center"/>
          </w:tcPr>
          <w:p>
            <w:pPr>
              <w:jc w:val="center"/>
              <w:rPr>
                <w:noProof/>
                <w:color w:val="000000"/>
                <w:sz w:val="22"/>
                <w:szCs w:val="22"/>
              </w:rPr>
            </w:pPr>
            <w:r>
              <w:rPr>
                <w:noProof/>
                <w:color w:val="000000"/>
                <w:sz w:val="22"/>
              </w:rPr>
              <w:t>3</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Grécko</w:t>
            </w:r>
          </w:p>
        </w:tc>
        <w:tc>
          <w:tcPr>
            <w:tcW w:w="3609" w:type="dxa"/>
            <w:shd w:val="clear" w:color="auto" w:fill="auto"/>
            <w:vAlign w:val="center"/>
          </w:tcPr>
          <w:p>
            <w:pPr>
              <w:jc w:val="center"/>
              <w:rPr>
                <w:i/>
                <w:iCs/>
                <w:noProof/>
                <w:color w:val="000000"/>
                <w:sz w:val="22"/>
                <w:szCs w:val="22"/>
              </w:rPr>
            </w:pPr>
            <w:r>
              <w:rPr>
                <w:i/>
                <w:noProof/>
                <w:color w:val="000000"/>
                <w:sz w:val="22"/>
              </w:rPr>
              <w:t>Vouli ton Ellinon</w:t>
            </w:r>
          </w:p>
        </w:tc>
        <w:tc>
          <w:tcPr>
            <w:tcW w:w="1660" w:type="dxa"/>
            <w:shd w:val="clear" w:color="auto" w:fill="auto"/>
            <w:vAlign w:val="center"/>
          </w:tcPr>
          <w:p>
            <w:pPr>
              <w:jc w:val="center"/>
              <w:rPr>
                <w:noProof/>
                <w:color w:val="000000"/>
                <w:sz w:val="22"/>
                <w:szCs w:val="22"/>
              </w:rPr>
            </w:pPr>
            <w:r>
              <w:rPr>
                <w:noProof/>
                <w:color w:val="000000"/>
                <w:sz w:val="22"/>
              </w:rPr>
              <w:t>3</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Írsko</w:t>
            </w:r>
          </w:p>
        </w:tc>
        <w:tc>
          <w:tcPr>
            <w:tcW w:w="3609" w:type="dxa"/>
            <w:shd w:val="clear" w:color="auto" w:fill="auto"/>
            <w:vAlign w:val="center"/>
          </w:tcPr>
          <w:p>
            <w:pPr>
              <w:jc w:val="center"/>
              <w:rPr>
                <w:noProof/>
                <w:color w:val="000000"/>
                <w:sz w:val="22"/>
                <w:szCs w:val="22"/>
              </w:rPr>
            </w:pPr>
            <w:r>
              <w:rPr>
                <w:noProof/>
                <w:color w:val="000000"/>
                <w:sz w:val="22"/>
              </w:rPr>
              <w:t xml:space="preserve">Komory parlamentu </w:t>
            </w:r>
            <w:r>
              <w:rPr>
                <w:i/>
                <w:noProof/>
                <w:color w:val="000000"/>
                <w:sz w:val="22"/>
              </w:rPr>
              <w:t>Oireachtas:</w:t>
            </w:r>
            <w:r>
              <w:rPr>
                <w:noProof/>
                <w:color w:val="000000"/>
                <w:sz w:val="22"/>
                <w:szCs w:val="22"/>
              </w:rPr>
              <w:br/>
            </w:r>
            <w:r>
              <w:rPr>
                <w:i/>
                <w:noProof/>
                <w:color w:val="000000"/>
                <w:sz w:val="22"/>
              </w:rPr>
              <w:t xml:space="preserve">Seanad Éireann </w:t>
            </w:r>
          </w:p>
        </w:tc>
        <w:tc>
          <w:tcPr>
            <w:tcW w:w="1660" w:type="dxa"/>
            <w:shd w:val="clear" w:color="auto" w:fill="auto"/>
            <w:vAlign w:val="center"/>
          </w:tcPr>
          <w:p>
            <w:pPr>
              <w:jc w:val="center"/>
              <w:rPr>
                <w:noProof/>
                <w:color w:val="000000"/>
                <w:sz w:val="22"/>
                <w:szCs w:val="22"/>
              </w:rPr>
            </w:pPr>
            <w:r>
              <w:rPr>
                <w:noProof/>
                <w:color w:val="000000"/>
                <w:sz w:val="22"/>
              </w:rPr>
              <w:t>2</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Belgicko</w:t>
            </w:r>
          </w:p>
        </w:tc>
        <w:tc>
          <w:tcPr>
            <w:tcW w:w="3609" w:type="dxa"/>
            <w:shd w:val="clear" w:color="auto" w:fill="auto"/>
            <w:vAlign w:val="center"/>
          </w:tcPr>
          <w:p>
            <w:pPr>
              <w:jc w:val="center"/>
              <w:rPr>
                <w:i/>
                <w:iCs/>
                <w:noProof/>
                <w:color w:val="000000"/>
                <w:sz w:val="22"/>
                <w:szCs w:val="22"/>
              </w:rPr>
            </w:pPr>
            <w:r>
              <w:rPr>
                <w:i/>
                <w:noProof/>
                <w:color w:val="000000"/>
                <w:sz w:val="22"/>
              </w:rPr>
              <w:t>Chambre des Représentants de Belgique/Belgische Kamer van volksvertegenwoordigers</w:t>
            </w:r>
          </w:p>
        </w:tc>
        <w:tc>
          <w:tcPr>
            <w:tcW w:w="1660" w:type="dxa"/>
            <w:shd w:val="clear" w:color="auto" w:fill="auto"/>
            <w:vAlign w:val="center"/>
          </w:tcPr>
          <w:p>
            <w:pPr>
              <w:jc w:val="center"/>
              <w:rPr>
                <w:noProof/>
                <w:color w:val="000000"/>
                <w:sz w:val="22"/>
                <w:szCs w:val="22"/>
              </w:rPr>
            </w:pPr>
            <w:r>
              <w:rPr>
                <w:noProof/>
                <w:color w:val="000000"/>
                <w:sz w:val="22"/>
              </w:rPr>
              <w:t>2</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Chorvátsko</w:t>
            </w:r>
          </w:p>
        </w:tc>
        <w:tc>
          <w:tcPr>
            <w:tcW w:w="3609" w:type="dxa"/>
            <w:shd w:val="clear" w:color="auto" w:fill="auto"/>
            <w:vAlign w:val="center"/>
          </w:tcPr>
          <w:p>
            <w:pPr>
              <w:jc w:val="center"/>
              <w:rPr>
                <w:i/>
                <w:iCs/>
                <w:noProof/>
                <w:color w:val="000000"/>
                <w:sz w:val="22"/>
                <w:szCs w:val="22"/>
              </w:rPr>
            </w:pPr>
            <w:r>
              <w:rPr>
                <w:i/>
                <w:noProof/>
                <w:color w:val="000000"/>
                <w:sz w:val="22"/>
              </w:rPr>
              <w:t xml:space="preserve">Hrvatski Sabor </w:t>
            </w:r>
          </w:p>
        </w:tc>
        <w:tc>
          <w:tcPr>
            <w:tcW w:w="1660" w:type="dxa"/>
            <w:shd w:val="clear" w:color="auto" w:fill="auto"/>
            <w:vAlign w:val="center"/>
          </w:tcPr>
          <w:p>
            <w:pPr>
              <w:jc w:val="center"/>
              <w:rPr>
                <w:noProof/>
                <w:color w:val="000000"/>
                <w:sz w:val="22"/>
                <w:szCs w:val="22"/>
              </w:rPr>
            </w:pPr>
            <w:r>
              <w:rPr>
                <w:noProof/>
                <w:color w:val="000000"/>
                <w:sz w:val="22"/>
              </w:rPr>
              <w:t>2</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Litva</w:t>
            </w:r>
          </w:p>
        </w:tc>
        <w:tc>
          <w:tcPr>
            <w:tcW w:w="3609" w:type="dxa"/>
            <w:shd w:val="clear" w:color="auto" w:fill="auto"/>
            <w:vAlign w:val="center"/>
          </w:tcPr>
          <w:p>
            <w:pPr>
              <w:jc w:val="center"/>
              <w:rPr>
                <w:i/>
                <w:iCs/>
                <w:noProof/>
                <w:color w:val="000000"/>
                <w:sz w:val="22"/>
                <w:szCs w:val="22"/>
              </w:rPr>
            </w:pPr>
            <w:r>
              <w:rPr>
                <w:i/>
                <w:noProof/>
                <w:color w:val="000000"/>
                <w:sz w:val="22"/>
              </w:rPr>
              <w:t>Seimas</w:t>
            </w:r>
          </w:p>
        </w:tc>
        <w:tc>
          <w:tcPr>
            <w:tcW w:w="1660" w:type="dxa"/>
            <w:shd w:val="clear" w:color="auto" w:fill="auto"/>
            <w:vAlign w:val="center"/>
          </w:tcPr>
          <w:p>
            <w:pPr>
              <w:jc w:val="center"/>
              <w:rPr>
                <w:noProof/>
                <w:color w:val="000000"/>
                <w:sz w:val="22"/>
                <w:szCs w:val="22"/>
              </w:rPr>
            </w:pPr>
            <w:r>
              <w:rPr>
                <w:noProof/>
                <w:color w:val="000000"/>
                <w:sz w:val="22"/>
              </w:rPr>
              <w:t>2</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Írsko</w:t>
            </w:r>
          </w:p>
        </w:tc>
        <w:tc>
          <w:tcPr>
            <w:tcW w:w="3609" w:type="dxa"/>
            <w:shd w:val="clear" w:color="auto" w:fill="auto"/>
            <w:vAlign w:val="center"/>
          </w:tcPr>
          <w:p>
            <w:pPr>
              <w:jc w:val="center"/>
              <w:rPr>
                <w:noProof/>
                <w:color w:val="000000"/>
                <w:sz w:val="22"/>
                <w:szCs w:val="22"/>
              </w:rPr>
            </w:pPr>
            <w:r>
              <w:rPr>
                <w:noProof/>
                <w:color w:val="000000"/>
                <w:sz w:val="22"/>
              </w:rPr>
              <w:t xml:space="preserve">Komory parlamentu </w:t>
            </w:r>
            <w:r>
              <w:rPr>
                <w:i/>
                <w:noProof/>
                <w:color w:val="000000"/>
                <w:sz w:val="22"/>
              </w:rPr>
              <w:t>Oireachtas:</w:t>
            </w:r>
            <w:r>
              <w:rPr>
                <w:noProof/>
                <w:color w:val="000000"/>
                <w:sz w:val="22"/>
                <w:szCs w:val="22"/>
              </w:rPr>
              <w:br/>
            </w:r>
            <w:r>
              <w:rPr>
                <w:i/>
                <w:noProof/>
                <w:color w:val="000000"/>
                <w:sz w:val="22"/>
              </w:rPr>
              <w:t>Dáil</w:t>
            </w:r>
            <w:r>
              <w:rPr>
                <w:noProof/>
                <w:color w:val="000000"/>
                <w:sz w:val="22"/>
              </w:rPr>
              <w:t xml:space="preserve"> </w:t>
            </w:r>
            <w:r>
              <w:rPr>
                <w:i/>
                <w:noProof/>
                <w:color w:val="000000"/>
                <w:sz w:val="22"/>
              </w:rPr>
              <w:t xml:space="preserve">Éireann </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Rakúsko</w:t>
            </w:r>
          </w:p>
        </w:tc>
        <w:tc>
          <w:tcPr>
            <w:tcW w:w="3609" w:type="dxa"/>
            <w:shd w:val="clear" w:color="auto" w:fill="auto"/>
            <w:vAlign w:val="center"/>
          </w:tcPr>
          <w:p>
            <w:pPr>
              <w:jc w:val="center"/>
              <w:rPr>
                <w:i/>
                <w:iCs/>
                <w:noProof/>
                <w:color w:val="000000"/>
                <w:sz w:val="22"/>
                <w:szCs w:val="22"/>
              </w:rPr>
            </w:pPr>
            <w:r>
              <w:rPr>
                <w:i/>
                <w:noProof/>
                <w:color w:val="000000"/>
                <w:sz w:val="22"/>
              </w:rPr>
              <w:t>Nationalrat</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Belgicko</w:t>
            </w:r>
          </w:p>
        </w:tc>
        <w:tc>
          <w:tcPr>
            <w:tcW w:w="3609" w:type="dxa"/>
            <w:shd w:val="clear" w:color="auto" w:fill="auto"/>
            <w:vAlign w:val="center"/>
          </w:tcPr>
          <w:p>
            <w:pPr>
              <w:jc w:val="center"/>
              <w:rPr>
                <w:i/>
                <w:iCs/>
                <w:noProof/>
                <w:color w:val="000000"/>
                <w:sz w:val="22"/>
                <w:szCs w:val="22"/>
              </w:rPr>
            </w:pPr>
            <w:r>
              <w:rPr>
                <w:i/>
                <w:noProof/>
                <w:color w:val="000000"/>
                <w:sz w:val="22"/>
              </w:rPr>
              <w:t>Sénat de Belgique/Belgische Senaat</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Bulharsko</w:t>
            </w:r>
          </w:p>
        </w:tc>
        <w:tc>
          <w:tcPr>
            <w:tcW w:w="3609" w:type="dxa"/>
            <w:shd w:val="clear" w:color="auto" w:fill="auto"/>
            <w:vAlign w:val="center"/>
          </w:tcPr>
          <w:p>
            <w:pPr>
              <w:jc w:val="center"/>
              <w:rPr>
                <w:i/>
                <w:iCs/>
                <w:noProof/>
                <w:color w:val="000000"/>
                <w:sz w:val="22"/>
                <w:szCs w:val="22"/>
              </w:rPr>
            </w:pPr>
            <w:r>
              <w:rPr>
                <w:i/>
                <w:noProof/>
                <w:color w:val="000000"/>
                <w:sz w:val="22"/>
              </w:rPr>
              <w:t>Narodno Sabranie</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Luxembursko</w:t>
            </w:r>
          </w:p>
        </w:tc>
        <w:tc>
          <w:tcPr>
            <w:tcW w:w="3609" w:type="dxa"/>
            <w:shd w:val="clear" w:color="auto" w:fill="auto"/>
            <w:vAlign w:val="center"/>
          </w:tcPr>
          <w:p>
            <w:pPr>
              <w:jc w:val="center"/>
              <w:rPr>
                <w:i/>
                <w:iCs/>
                <w:noProof/>
                <w:color w:val="000000"/>
                <w:sz w:val="22"/>
                <w:szCs w:val="22"/>
              </w:rPr>
            </w:pPr>
            <w:r>
              <w:rPr>
                <w:i/>
                <w:noProof/>
                <w:color w:val="000000"/>
                <w:sz w:val="22"/>
              </w:rPr>
              <w:t>Chambre des Députés</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Malta</w:t>
            </w:r>
          </w:p>
        </w:tc>
        <w:tc>
          <w:tcPr>
            <w:tcW w:w="3609" w:type="dxa"/>
            <w:shd w:val="clear" w:color="auto" w:fill="auto"/>
            <w:vAlign w:val="center"/>
          </w:tcPr>
          <w:p>
            <w:pPr>
              <w:jc w:val="center"/>
              <w:rPr>
                <w:i/>
                <w:iCs/>
                <w:noProof/>
                <w:color w:val="000000"/>
                <w:sz w:val="22"/>
                <w:szCs w:val="22"/>
              </w:rPr>
            </w:pPr>
            <w:r>
              <w:rPr>
                <w:i/>
                <w:noProof/>
                <w:color w:val="000000"/>
                <w:sz w:val="22"/>
              </w:rPr>
              <w:t>Kamra tad-Deputati</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Slovinsko</w:t>
            </w:r>
          </w:p>
        </w:tc>
        <w:tc>
          <w:tcPr>
            <w:tcW w:w="3609" w:type="dxa"/>
            <w:shd w:val="clear" w:color="auto" w:fill="auto"/>
            <w:vAlign w:val="center"/>
          </w:tcPr>
          <w:p>
            <w:pPr>
              <w:jc w:val="center"/>
              <w:rPr>
                <w:i/>
                <w:iCs/>
                <w:noProof/>
                <w:color w:val="000000"/>
                <w:sz w:val="22"/>
                <w:szCs w:val="22"/>
              </w:rPr>
            </w:pPr>
            <w:r>
              <w:rPr>
                <w:i/>
                <w:noProof/>
                <w:color w:val="000000"/>
                <w:sz w:val="22"/>
              </w:rPr>
              <w:t>Državni svet</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Estónsko</w:t>
            </w:r>
          </w:p>
        </w:tc>
        <w:tc>
          <w:tcPr>
            <w:tcW w:w="3609" w:type="dxa"/>
            <w:shd w:val="clear" w:color="auto" w:fill="auto"/>
            <w:vAlign w:val="center"/>
          </w:tcPr>
          <w:p>
            <w:pPr>
              <w:jc w:val="center"/>
              <w:rPr>
                <w:i/>
                <w:iCs/>
                <w:noProof/>
                <w:color w:val="000000"/>
                <w:sz w:val="22"/>
                <w:szCs w:val="22"/>
              </w:rPr>
            </w:pPr>
            <w:r>
              <w:rPr>
                <w:i/>
                <w:noProof/>
                <w:color w:val="000000"/>
                <w:sz w:val="22"/>
              </w:rPr>
              <w:t>Riigikogu</w:t>
            </w:r>
          </w:p>
        </w:tc>
        <w:tc>
          <w:tcPr>
            <w:tcW w:w="1660" w:type="dxa"/>
            <w:shd w:val="clear" w:color="auto" w:fill="auto"/>
            <w:vAlign w:val="center"/>
          </w:tcPr>
          <w:p>
            <w:pPr>
              <w:jc w:val="center"/>
              <w:rPr>
                <w:noProof/>
                <w:color w:val="000000"/>
                <w:sz w:val="22"/>
                <w:szCs w:val="22"/>
              </w:rPr>
            </w:pPr>
            <w:r>
              <w:rPr>
                <w:noProof/>
                <w:color w:val="000000"/>
                <w:sz w:val="22"/>
              </w:rPr>
              <w:t>0</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Fínsko</w:t>
            </w:r>
          </w:p>
        </w:tc>
        <w:tc>
          <w:tcPr>
            <w:tcW w:w="3609" w:type="dxa"/>
            <w:shd w:val="clear" w:color="auto" w:fill="auto"/>
            <w:vAlign w:val="center"/>
          </w:tcPr>
          <w:p>
            <w:pPr>
              <w:jc w:val="center"/>
              <w:rPr>
                <w:i/>
                <w:iCs/>
                <w:noProof/>
                <w:color w:val="000000"/>
                <w:sz w:val="22"/>
                <w:szCs w:val="22"/>
              </w:rPr>
            </w:pPr>
            <w:r>
              <w:rPr>
                <w:i/>
                <w:noProof/>
                <w:color w:val="000000"/>
                <w:sz w:val="22"/>
              </w:rPr>
              <w:t>Eduskunta</w:t>
            </w:r>
          </w:p>
        </w:tc>
        <w:tc>
          <w:tcPr>
            <w:tcW w:w="1660" w:type="dxa"/>
            <w:shd w:val="clear" w:color="auto" w:fill="auto"/>
            <w:vAlign w:val="center"/>
          </w:tcPr>
          <w:p>
            <w:pPr>
              <w:jc w:val="center"/>
              <w:rPr>
                <w:noProof/>
                <w:color w:val="000000"/>
                <w:sz w:val="22"/>
                <w:szCs w:val="22"/>
              </w:rPr>
            </w:pPr>
            <w:r>
              <w:rPr>
                <w:noProof/>
                <w:color w:val="000000"/>
                <w:sz w:val="22"/>
              </w:rPr>
              <w:t>0</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Lotyšsko</w:t>
            </w:r>
          </w:p>
        </w:tc>
        <w:tc>
          <w:tcPr>
            <w:tcW w:w="3609" w:type="dxa"/>
            <w:shd w:val="clear" w:color="auto" w:fill="auto"/>
            <w:vAlign w:val="center"/>
          </w:tcPr>
          <w:p>
            <w:pPr>
              <w:jc w:val="center"/>
              <w:rPr>
                <w:i/>
                <w:iCs/>
                <w:noProof/>
                <w:color w:val="000000"/>
                <w:sz w:val="22"/>
                <w:szCs w:val="22"/>
              </w:rPr>
            </w:pPr>
            <w:r>
              <w:rPr>
                <w:i/>
                <w:noProof/>
                <w:color w:val="000000"/>
                <w:sz w:val="22"/>
              </w:rPr>
              <w:t>Saeima</w:t>
            </w:r>
          </w:p>
        </w:tc>
        <w:tc>
          <w:tcPr>
            <w:tcW w:w="1660" w:type="dxa"/>
            <w:shd w:val="clear" w:color="auto" w:fill="auto"/>
            <w:vAlign w:val="center"/>
          </w:tcPr>
          <w:p>
            <w:pPr>
              <w:jc w:val="center"/>
              <w:rPr>
                <w:noProof/>
                <w:color w:val="000000"/>
                <w:sz w:val="22"/>
                <w:szCs w:val="22"/>
              </w:rPr>
            </w:pPr>
            <w:r>
              <w:rPr>
                <w:noProof/>
                <w:color w:val="000000"/>
                <w:sz w:val="22"/>
              </w:rPr>
              <w:t>0</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Slovinsko</w:t>
            </w:r>
          </w:p>
        </w:tc>
        <w:tc>
          <w:tcPr>
            <w:tcW w:w="3609" w:type="dxa"/>
            <w:shd w:val="clear" w:color="auto" w:fill="auto"/>
            <w:vAlign w:val="center"/>
          </w:tcPr>
          <w:p>
            <w:pPr>
              <w:jc w:val="center"/>
              <w:rPr>
                <w:i/>
                <w:iCs/>
                <w:noProof/>
                <w:color w:val="000000"/>
                <w:sz w:val="22"/>
                <w:szCs w:val="22"/>
              </w:rPr>
            </w:pPr>
            <w:r>
              <w:rPr>
                <w:i/>
                <w:noProof/>
                <w:color w:val="000000"/>
                <w:sz w:val="22"/>
              </w:rPr>
              <w:t>Državni zbor</w:t>
            </w:r>
          </w:p>
        </w:tc>
        <w:tc>
          <w:tcPr>
            <w:tcW w:w="1660" w:type="dxa"/>
            <w:shd w:val="clear" w:color="auto" w:fill="auto"/>
            <w:vAlign w:val="center"/>
          </w:tcPr>
          <w:p>
            <w:pPr>
              <w:jc w:val="center"/>
              <w:rPr>
                <w:noProof/>
                <w:color w:val="000000"/>
                <w:sz w:val="22"/>
                <w:szCs w:val="22"/>
              </w:rPr>
            </w:pPr>
            <w:r>
              <w:rPr>
                <w:noProof/>
                <w:color w:val="000000"/>
                <w:sz w:val="22"/>
              </w:rPr>
              <w:t>0</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5518" w:type="dxa"/>
            <w:gridSpan w:val="2"/>
            <w:shd w:val="clear" w:color="auto" w:fill="auto"/>
            <w:vAlign w:val="center"/>
          </w:tcPr>
          <w:p>
            <w:pPr>
              <w:jc w:val="center"/>
              <w:rPr>
                <w:b/>
                <w:noProof/>
                <w:sz w:val="22"/>
                <w:szCs w:val="22"/>
              </w:rPr>
            </w:pPr>
            <w:r>
              <w:rPr>
                <w:b/>
                <w:noProof/>
                <w:sz w:val="22"/>
              </w:rPr>
              <w:t>SPOLU</w:t>
            </w:r>
          </w:p>
        </w:tc>
        <w:tc>
          <w:tcPr>
            <w:tcW w:w="1660" w:type="dxa"/>
            <w:shd w:val="clear" w:color="auto" w:fill="auto"/>
          </w:tcPr>
          <w:p>
            <w:pPr>
              <w:jc w:val="center"/>
              <w:rPr>
                <w:b/>
                <w:noProof/>
                <w:sz w:val="22"/>
                <w:szCs w:val="22"/>
              </w:rPr>
            </w:pPr>
            <w:r>
              <w:rPr>
                <w:b/>
                <w:noProof/>
                <w:sz w:val="22"/>
              </w:rPr>
              <w:t>576</w:t>
            </w:r>
          </w:p>
        </w:tc>
        <w:tc>
          <w:tcPr>
            <w:tcW w:w="2364" w:type="dxa"/>
            <w:shd w:val="clear" w:color="auto" w:fill="auto"/>
          </w:tcPr>
          <w:p>
            <w:pPr>
              <w:jc w:val="center"/>
              <w:rPr>
                <w:b/>
                <w:noProof/>
                <w:sz w:val="22"/>
                <w:szCs w:val="22"/>
              </w:rPr>
            </w:pPr>
            <w:r>
              <w:rPr>
                <w:b/>
                <w:noProof/>
                <w:sz w:val="22"/>
              </w:rPr>
              <w:t>52</w:t>
            </w:r>
          </w:p>
        </w:tc>
      </w:tr>
    </w:tbl>
    <w:p>
      <w:pPr>
        <w:rPr>
          <w:b/>
          <w:noProof/>
          <w:u w:val="single"/>
        </w:rPr>
      </w:pPr>
    </w:p>
    <w:p>
      <w:pPr>
        <w:jc w:val="left"/>
        <w:rPr>
          <w:b/>
          <w:noProof/>
          <w:u w:val="single"/>
        </w:rPr>
      </w:pPr>
      <w:r>
        <w:rPr>
          <w:noProof/>
        </w:rPr>
        <w:br w:type="page"/>
      </w:r>
    </w:p>
    <w:p>
      <w:pPr>
        <w:spacing w:after="240"/>
        <w:jc w:val="center"/>
        <w:rPr>
          <w:b/>
          <w:noProof/>
          <w:u w:val="single"/>
        </w:rPr>
      </w:pPr>
      <w:r>
        <w:rPr>
          <w:b/>
          <w:noProof/>
          <w:u w:val="single"/>
        </w:rPr>
        <w:t>PRÍLOHA 2</w:t>
      </w:r>
    </w:p>
    <w:p>
      <w:pPr>
        <w:spacing w:after="240"/>
        <w:jc w:val="center"/>
        <w:rPr>
          <w:b/>
          <w:noProof/>
        </w:rPr>
      </w:pPr>
      <w:r>
        <w:rPr>
          <w:b/>
          <w:noProof/>
        </w:rPr>
        <w:t>Dokumenty Komisie, ku ktorým dostala Komisia v roku 2017 najvyšší počet stanovísk</w:t>
      </w:r>
      <w:r>
        <w:rPr>
          <w:rStyle w:val="FootnoteReference"/>
          <w:noProof/>
        </w:rPr>
        <w:footnoteReference w:id="4"/>
      </w:r>
      <w:r>
        <w:rPr>
          <w:b/>
          <w:noProof/>
        </w:rPr>
        <w:t xml:space="preserve"> (v rámci politického dialógu a postupu kontroly dodržiavania zásady subsidiarity)</w:t>
      </w:r>
    </w:p>
    <w:tbl>
      <w:tblPr>
        <w:tblW w:w="9679" w:type="dxa"/>
        <w:tblInd w:w="-34" w:type="dxa"/>
        <w:tblCellMar>
          <w:top w:w="57" w:type="dxa"/>
          <w:left w:w="57" w:type="dxa"/>
          <w:bottom w:w="57" w:type="dxa"/>
          <w:right w:w="57" w:type="dxa"/>
        </w:tblCellMar>
        <w:tblLook w:val="04A0" w:firstRow="1" w:lastRow="0" w:firstColumn="1" w:lastColumn="0" w:noHBand="0" w:noVBand="1"/>
      </w:tblPr>
      <w:tblGrid>
        <w:gridCol w:w="534"/>
        <w:gridCol w:w="1883"/>
        <w:gridCol w:w="4343"/>
        <w:gridCol w:w="1164"/>
        <w:gridCol w:w="1755"/>
      </w:tblGrid>
      <w:tr>
        <w:trPr>
          <w:cantSplit/>
          <w:tblHeader/>
        </w:trPr>
        <w:tc>
          <w:tcPr>
            <w:tcW w:w="534" w:type="dxa"/>
            <w:tcBorders>
              <w:top w:val="single" w:sz="4" w:space="0" w:color="auto"/>
              <w:left w:val="single" w:sz="4" w:space="0" w:color="auto"/>
              <w:bottom w:val="single" w:sz="4" w:space="0" w:color="auto"/>
            </w:tcBorders>
            <w:shd w:val="clear" w:color="auto" w:fill="auto"/>
            <w:noWrap/>
            <w:vAlign w:val="center"/>
            <w:hideMark/>
          </w:tcPr>
          <w:p>
            <w:pPr>
              <w:jc w:val="center"/>
              <w:rPr>
                <w:noProof/>
                <w:color w:val="000000"/>
                <w:sz w:val="22"/>
                <w:szCs w:val="22"/>
              </w:rPr>
            </w:pPr>
          </w:p>
        </w:tc>
        <w:tc>
          <w:tcPr>
            <w:tcW w:w="1883" w:type="dxa"/>
            <w:tcBorders>
              <w:top w:val="single" w:sz="4" w:space="0" w:color="auto"/>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Dokument</w:t>
            </w:r>
            <w:r>
              <w:rPr>
                <w:b/>
                <w:bCs/>
                <w:noProof/>
                <w:color w:val="000000"/>
                <w:sz w:val="22"/>
                <w:szCs w:val="22"/>
              </w:rPr>
              <w:br/>
            </w:r>
            <w:r>
              <w:rPr>
                <w:b/>
                <w:noProof/>
                <w:color w:val="000000"/>
                <w:sz w:val="22"/>
              </w:rPr>
              <w:t>Komisie</w:t>
            </w:r>
          </w:p>
        </w:tc>
        <w:tc>
          <w:tcPr>
            <w:tcW w:w="4343"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Názov</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Celkový</w:t>
            </w:r>
            <w:r>
              <w:rPr>
                <w:b/>
                <w:bCs/>
                <w:noProof/>
                <w:color w:val="000000"/>
                <w:sz w:val="22"/>
                <w:szCs w:val="22"/>
              </w:rPr>
              <w:br/>
            </w:r>
            <w:r>
              <w:rPr>
                <w:b/>
                <w:noProof/>
                <w:color w:val="000000"/>
                <w:sz w:val="22"/>
              </w:rPr>
              <w:t>počet</w:t>
            </w:r>
            <w:r>
              <w:rPr>
                <w:b/>
                <w:bCs/>
                <w:noProof/>
                <w:color w:val="000000"/>
                <w:sz w:val="22"/>
                <w:szCs w:val="22"/>
              </w:rPr>
              <w:br/>
            </w:r>
            <w:r>
              <w:rPr>
                <w:b/>
                <w:bCs/>
                <w:noProof/>
                <w:color w:val="000000"/>
                <w:sz w:val="22"/>
                <w:szCs w:val="22"/>
              </w:rPr>
              <w:br/>
            </w:r>
            <w:r>
              <w:rPr>
                <w:b/>
                <w:noProof/>
                <w:color w:val="000000"/>
                <w:sz w:val="22"/>
              </w:rPr>
              <w:t>stanovísk</w:t>
            </w:r>
            <w:r>
              <w:rPr>
                <w:rStyle w:val="FootnoteReference"/>
                <w:b/>
                <w:noProof/>
                <w:color w:val="000000"/>
                <w:sz w:val="22"/>
              </w:rPr>
              <w:footnoteReference w:id="5"/>
            </w:r>
          </w:p>
        </w:tc>
        <w:tc>
          <w:tcPr>
            <w:tcW w:w="1755"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Počet stanovísk,</w:t>
            </w:r>
            <w:r>
              <w:rPr>
                <w:b/>
                <w:bCs/>
                <w:noProof/>
                <w:color w:val="000000"/>
                <w:sz w:val="22"/>
                <w:szCs w:val="22"/>
              </w:rPr>
              <w:br/>
            </w:r>
            <w:r>
              <w:rPr>
                <w:b/>
                <w:noProof/>
                <w:color w:val="000000"/>
                <w:sz w:val="22"/>
              </w:rPr>
              <w:t>ktoré boli</w:t>
            </w:r>
            <w:r>
              <w:rPr>
                <w:b/>
                <w:bCs/>
                <w:noProof/>
                <w:color w:val="000000"/>
                <w:sz w:val="22"/>
                <w:szCs w:val="22"/>
              </w:rPr>
              <w:br/>
            </w:r>
            <w:r>
              <w:rPr>
                <w:b/>
                <w:noProof/>
                <w:color w:val="000000"/>
                <w:sz w:val="22"/>
              </w:rPr>
              <w:t>odôvodnené stanoviská</w:t>
            </w:r>
            <w:r>
              <w:rPr>
                <w:b/>
                <w:bCs/>
                <w:noProof/>
                <w:color w:val="000000"/>
                <w:sz w:val="22"/>
                <w:szCs w:val="22"/>
              </w:rPr>
              <w:br/>
            </w:r>
            <w:r>
              <w:rPr>
                <w:b/>
                <w:noProof/>
                <w:color w:val="000000"/>
                <w:sz w:val="22"/>
              </w:rPr>
              <w:t>(protokol č. 2)</w:t>
            </w:r>
            <w:r>
              <w:rPr>
                <w:rStyle w:val="FootnoteReference"/>
                <w:b/>
                <w:noProof/>
                <w:color w:val="000000"/>
                <w:sz w:val="22"/>
              </w:rPr>
              <w:footnoteReference w:id="6"/>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COM(2016) 861</w:t>
            </w:r>
          </w:p>
        </w:tc>
        <w:tc>
          <w:tcPr>
            <w:tcW w:w="4343" w:type="dxa"/>
            <w:tcBorders>
              <w:top w:val="single" w:sz="4" w:space="0" w:color="auto"/>
              <w:left w:val="nil"/>
              <w:bottom w:val="single" w:sz="4" w:space="0" w:color="auto"/>
              <w:right w:val="single" w:sz="4" w:space="0" w:color="auto"/>
            </w:tcBorders>
            <w:shd w:val="clear" w:color="auto" w:fill="auto"/>
            <w:hideMark/>
          </w:tcPr>
          <w:p>
            <w:pPr>
              <w:jc w:val="left"/>
              <w:rPr>
                <w:noProof/>
                <w:color w:val="000000"/>
                <w:sz w:val="22"/>
                <w:szCs w:val="22"/>
              </w:rPr>
            </w:pPr>
            <w:r>
              <w:rPr>
                <w:noProof/>
                <w:color w:val="000000"/>
                <w:sz w:val="22"/>
              </w:rPr>
              <w:t>Návrh nariadenia Európskeho parlamentu a Rady o </w:t>
            </w:r>
            <w:r>
              <w:rPr>
                <w:b/>
                <w:noProof/>
                <w:color w:val="000000"/>
                <w:sz w:val="22"/>
              </w:rPr>
              <w:t>vnútornom trhu s elektrinou</w:t>
            </w:r>
            <w:r>
              <w:rPr>
                <w:noProof/>
                <w:color w:val="000000"/>
                <w:sz w:val="22"/>
              </w:rPr>
              <w:t xml:space="preserve"> (prepracované znenie)</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16</w:t>
            </w:r>
            <w:r>
              <w:rPr>
                <w:rStyle w:val="FootnoteReference"/>
                <w:noProof/>
                <w:color w:val="000000"/>
                <w:sz w:val="22"/>
              </w:rPr>
              <w:footnoteReference w:id="7"/>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11</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2</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COM(2017) 253</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Návrh smernice Európskeho parlamentu a Rady o </w:t>
            </w:r>
            <w:r>
              <w:rPr>
                <w:b/>
                <w:noProof/>
                <w:color w:val="000000"/>
                <w:sz w:val="22"/>
              </w:rPr>
              <w:t>rovnováhe medzi pracovným a súkromným životom rodičov a opatrovateľov</w:t>
            </w:r>
            <w:r>
              <w:rPr>
                <w:noProof/>
                <w:color w:val="000000"/>
                <w:sz w:val="22"/>
              </w:rPr>
              <w:t>, ktorou sa zrušuje smernica Rady 2010/18/EÚ</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10</w:t>
            </w:r>
            <w:r>
              <w:rPr>
                <w:rStyle w:val="FootnoteReference"/>
                <w:noProof/>
                <w:color w:val="000000"/>
                <w:sz w:val="22"/>
              </w:rPr>
              <w:footnoteReference w:id="8"/>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4</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3</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864</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Návrh smernice Európskeho parlamentu a Rady o </w:t>
            </w:r>
            <w:r>
              <w:rPr>
                <w:b/>
                <w:noProof/>
                <w:color w:val="000000"/>
                <w:sz w:val="22"/>
              </w:rPr>
              <w:t>spoločných pravidlách pre vnútorný trh s elektrinou</w:t>
            </w:r>
            <w:r>
              <w:rPr>
                <w:noProof/>
                <w:color w:val="000000"/>
                <w:sz w:val="22"/>
              </w:rPr>
              <w:t xml:space="preserve"> (prepracované znenie)</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10</w:t>
            </w:r>
            <w:r>
              <w:rPr>
                <w:rStyle w:val="FootnoteReference"/>
                <w:noProof/>
                <w:color w:val="000000"/>
                <w:sz w:val="22"/>
              </w:rPr>
              <w:footnoteReference w:id="9"/>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3</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4</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767</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Návrh smernice Európskeho parlamentu a Rady o </w:t>
            </w:r>
            <w:r>
              <w:rPr>
                <w:b/>
                <w:noProof/>
                <w:color w:val="000000"/>
                <w:sz w:val="22"/>
              </w:rPr>
              <w:t>podpore využívania energie z obnoviteľných zdrojov</w:t>
            </w:r>
            <w:r>
              <w:rPr>
                <w:noProof/>
                <w:color w:val="000000"/>
                <w:sz w:val="22"/>
              </w:rPr>
              <w:t xml:space="preserve"> (prepracované znenie)</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10</w:t>
            </w:r>
            <w:r>
              <w:rPr>
                <w:rStyle w:val="FootnoteReference"/>
                <w:noProof/>
                <w:color w:val="000000"/>
                <w:sz w:val="22"/>
              </w:rPr>
              <w:footnoteReference w:id="10"/>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5</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COM(2017) 10</w:t>
            </w:r>
          </w:p>
        </w:tc>
        <w:tc>
          <w:tcPr>
            <w:tcW w:w="4343" w:type="dxa"/>
            <w:tcBorders>
              <w:top w:val="single" w:sz="4" w:space="0" w:color="auto"/>
              <w:left w:val="nil"/>
              <w:bottom w:val="single" w:sz="4" w:space="0" w:color="auto"/>
              <w:right w:val="single" w:sz="4" w:space="0" w:color="auto"/>
            </w:tcBorders>
            <w:shd w:val="clear" w:color="auto" w:fill="auto"/>
            <w:hideMark/>
          </w:tcPr>
          <w:p>
            <w:pPr>
              <w:jc w:val="left"/>
              <w:rPr>
                <w:noProof/>
                <w:color w:val="000000"/>
                <w:sz w:val="22"/>
                <w:szCs w:val="22"/>
              </w:rPr>
            </w:pPr>
            <w:r>
              <w:rPr>
                <w:noProof/>
                <w:color w:val="000000"/>
                <w:sz w:val="22"/>
              </w:rPr>
              <w:t>Návrh nariadenia Európskeho parlamentu a Rady o </w:t>
            </w:r>
            <w:r>
              <w:rPr>
                <w:b/>
                <w:noProof/>
                <w:color w:val="000000"/>
                <w:sz w:val="22"/>
              </w:rPr>
              <w:t>rešpektovaní súkromného života a ochrane osobných údajov v elektronických komunikáciách</w:t>
            </w:r>
            <w:r>
              <w:rPr>
                <w:noProof/>
                <w:color w:val="000000"/>
                <w:sz w:val="22"/>
              </w:rPr>
              <w:t xml:space="preserve"> a o zrušení smernice 2002/58/ES (smernica o súkromí a elektronických komunikáciách)</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10</w:t>
            </w:r>
            <w:r>
              <w:rPr>
                <w:rStyle w:val="FootnoteReference"/>
                <w:noProof/>
                <w:color w:val="000000"/>
                <w:sz w:val="22"/>
              </w:rPr>
              <w:footnoteReference w:id="11"/>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6</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822</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Návrh smernice Európskeho parlamentu a Rady o </w:t>
            </w:r>
            <w:r>
              <w:rPr>
                <w:b/>
                <w:noProof/>
                <w:color w:val="000000"/>
                <w:sz w:val="22"/>
              </w:rPr>
              <w:t>teste proporcionality pred prijatím novej regulácie povolaní</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9</w:t>
            </w:r>
            <w:r>
              <w:rPr>
                <w:rStyle w:val="FootnoteReference"/>
                <w:noProof/>
                <w:color w:val="000000"/>
                <w:sz w:val="22"/>
              </w:rPr>
              <w:footnoteReference w:id="12"/>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5</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7</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863</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Návrh nariadenia Európskeho parlamentu a Rady, ktorým sa zriaďuje </w:t>
            </w:r>
            <w:r>
              <w:rPr>
                <w:b/>
                <w:noProof/>
                <w:color w:val="000000"/>
                <w:sz w:val="22"/>
              </w:rPr>
              <w:t>Agentúra Európskej únie pre spoluprácu regulačných orgánov v oblasti energetiky</w:t>
            </w:r>
            <w:r>
              <w:rPr>
                <w:noProof/>
                <w:color w:val="000000"/>
                <w:sz w:val="22"/>
              </w:rPr>
              <w:t xml:space="preserve"> (prepracované znenie)</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9</w:t>
            </w:r>
            <w:r>
              <w:rPr>
                <w:rStyle w:val="FootnoteReference"/>
                <w:noProof/>
                <w:color w:val="000000"/>
                <w:sz w:val="22"/>
              </w:rPr>
              <w:footnoteReference w:id="13"/>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3</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8</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821</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Návrh smernice Európskeho parlamentu a Rady o presadzovaní smernice 2006/123/ES o službách na vnútornom trhu, ktorou sa stanovuje </w:t>
            </w:r>
            <w:r>
              <w:rPr>
                <w:b/>
                <w:noProof/>
                <w:color w:val="000000"/>
                <w:sz w:val="22"/>
              </w:rPr>
              <w:t>postup oznamovania pre systémy udeľovania povolení a požiadavky súvisiace so službami</w:t>
            </w:r>
            <w:r>
              <w:rPr>
                <w:noProof/>
                <w:color w:val="000000"/>
                <w:sz w:val="22"/>
              </w:rPr>
              <w:t xml:space="preserve"> a ktorou sa mení smernica 2006/123/ES a nariadenie (EÚ) č. 1024/2012 o </w:t>
            </w:r>
            <w:r>
              <w:rPr>
                <w:b/>
                <w:noProof/>
                <w:color w:val="000000"/>
                <w:sz w:val="22"/>
              </w:rPr>
              <w:t>administratívnej spolupráci prostredníctvom informačného systému o vnútornom trhu</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8</w:t>
            </w:r>
            <w:r>
              <w:rPr>
                <w:rStyle w:val="FootnoteReference"/>
                <w:noProof/>
                <w:color w:val="000000"/>
                <w:sz w:val="22"/>
              </w:rPr>
              <w:footnoteReference w:id="14"/>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4</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9</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815</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Návrh nariadenia Európskeho parlamentu a Rady, ktorým sa mení nariadenie (ES) č. 883/2004 o </w:t>
            </w:r>
            <w:r>
              <w:rPr>
                <w:b/>
                <w:noProof/>
                <w:color w:val="000000"/>
                <w:sz w:val="22"/>
              </w:rPr>
              <w:t>koordinácii systémov sociálneho zabezpečenia</w:t>
            </w:r>
            <w:r>
              <w:rPr>
                <w:noProof/>
                <w:color w:val="000000"/>
                <w:sz w:val="22"/>
              </w:rPr>
              <w:t xml:space="preserve"> a nariadenie (ES) č. 987/2009, ktorým sa stanovuje postup vykonávania nariadenia (ES) č. 883/2004</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10</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710</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b/>
                <w:noProof/>
              </w:rPr>
              <w:t>Pracovný program Komisie na rok 2017</w:t>
            </w:r>
            <w:r>
              <w:rPr>
                <w:noProof/>
              </w:rPr>
              <w:t>:</w:t>
            </w:r>
            <w:r>
              <w:rPr>
                <w:noProof/>
                <w:color w:val="000000"/>
                <w:sz w:val="22"/>
              </w:rPr>
              <w:t xml:space="preserve"> Vytvorenie Európy, ktorá chráni, posilňuje a obraňuje</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11</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765</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Návrh smernice Európskeho parlamentu a Rady, ktorou sa mení smernica 2010/31/EÚ o </w:t>
            </w:r>
            <w:r>
              <w:rPr>
                <w:b/>
                <w:noProof/>
                <w:color w:val="000000"/>
                <w:sz w:val="22"/>
              </w:rPr>
              <w:t>energetickej hospodárnosti budov</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r>
              <w:rPr>
                <w:rStyle w:val="FootnoteReference"/>
                <w:noProof/>
                <w:color w:val="000000"/>
                <w:sz w:val="22"/>
              </w:rPr>
              <w:footnoteReference w:id="15"/>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2</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12</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723</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Návrh smernice Európskeho parlamentu a Rady o </w:t>
            </w:r>
            <w:r>
              <w:rPr>
                <w:b/>
                <w:noProof/>
                <w:color w:val="000000"/>
                <w:sz w:val="22"/>
              </w:rPr>
              <w:t>rámcoch</w:t>
            </w:r>
            <w:r>
              <w:rPr>
                <w:noProof/>
                <w:color w:val="000000"/>
                <w:sz w:val="22"/>
              </w:rPr>
              <w:t xml:space="preserve"> </w:t>
            </w:r>
            <w:r>
              <w:rPr>
                <w:b/>
                <w:noProof/>
                <w:color w:val="000000"/>
                <w:sz w:val="22"/>
              </w:rPr>
              <w:t>preventívnej reštrukturalizácie, druhej šanci a opatreniach na zvýšenie účinnosti postupov reštrukturalizácie, platobnej neschopnosti a oddlženia</w:t>
            </w:r>
            <w:r>
              <w:rPr>
                <w:noProof/>
                <w:color w:val="000000"/>
                <w:sz w:val="22"/>
              </w:rPr>
              <w:t xml:space="preserve"> a o zmene smernice 2012/30/EÚ</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2</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13</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759</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Návrh nariadenia Európskeho parlamentu a Rady o </w:t>
            </w:r>
            <w:r>
              <w:rPr>
                <w:b/>
                <w:noProof/>
                <w:color w:val="000000"/>
                <w:sz w:val="22"/>
              </w:rPr>
              <w:t>riadení energetickej únie</w:t>
            </w:r>
            <w:r>
              <w:rPr>
                <w:noProof/>
                <w:color w:val="000000"/>
                <w:sz w:val="22"/>
              </w:rPr>
              <w:t>, ktorým sa mení smernica 94/22/ES, smernica 98/70/ES, smernica 2009/31/ES, nariadenie (ES) č. 663/2009, nariadenie (ES) č. 715/2009, smernica 2009/73/ES, smernica Rady 2009/119/ES, smernica 2010/31/EÚ, smernica 2012/27/EÚ, smernica 2013/30/EÚ a smernica Rady (EÚ) 2015/652 a ktorým sa zrušuje nariadenie (EÚ) č. 525/2013</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r>
              <w:rPr>
                <w:rStyle w:val="FootnoteReference"/>
                <w:noProof/>
                <w:color w:val="000000"/>
                <w:sz w:val="22"/>
              </w:rPr>
              <w:footnoteReference w:id="16"/>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14</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COM(2017) 277</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Návrh nariadenia Európskeho parlamentu a Rady, ktorým sa mení nariadenie (ES) č. 561/2006, pokiaľ ide o </w:t>
            </w:r>
            <w:r>
              <w:rPr>
                <w:b/>
                <w:noProof/>
                <w:color w:val="000000"/>
                <w:sz w:val="22"/>
              </w:rPr>
              <w:t>minimálne požiadavky na maximálne denné a týždenné časy jazdy</w:t>
            </w:r>
            <w:r>
              <w:rPr>
                <w:noProof/>
                <w:color w:val="000000"/>
                <w:sz w:val="22"/>
              </w:rPr>
              <w:t xml:space="preserve">, minimálne prestávky a časy denného a týždenného odpočinku, a nariadenie (EÚ) č. 165/2014, pokiaľ ide o určovanie polohy prostredníctvom </w:t>
            </w:r>
            <w:r>
              <w:rPr>
                <w:b/>
                <w:noProof/>
                <w:color w:val="000000"/>
                <w:sz w:val="22"/>
              </w:rPr>
              <w:t>tachografov</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r>
              <w:rPr>
                <w:rStyle w:val="FootnoteReference"/>
                <w:noProof/>
                <w:color w:val="000000"/>
                <w:sz w:val="22"/>
              </w:rPr>
              <w:footnoteReference w:id="17"/>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bl>
    <w:p>
      <w:pPr>
        <w:rPr>
          <w:b/>
          <w:noProof/>
        </w:rPr>
      </w:pPr>
      <w:r>
        <w:rPr>
          <w:noProof/>
        </w:rPr>
        <w:br w:type="page"/>
      </w:r>
    </w:p>
    <w:p>
      <w:pPr>
        <w:spacing w:after="240"/>
        <w:jc w:val="center"/>
        <w:rPr>
          <w:b/>
          <w:noProof/>
          <w:u w:val="single"/>
        </w:rPr>
      </w:pPr>
      <w:r>
        <w:rPr>
          <w:b/>
          <w:noProof/>
          <w:u w:val="single"/>
        </w:rPr>
        <w:t>PRÍLOHA 3</w:t>
      </w:r>
    </w:p>
    <w:p>
      <w:pPr>
        <w:spacing w:after="240"/>
        <w:jc w:val="center"/>
        <w:rPr>
          <w:b/>
          <w:noProof/>
        </w:rPr>
      </w:pPr>
      <w:r>
        <w:rPr>
          <w:b/>
          <w:noProof/>
        </w:rPr>
        <w:t>Počet stanovísk doručených Komisii v roku 2017 podľa hlavných útvarov Komisie (v rámci politického dialógu a postupu kontroly dodržiavania zásady subsidiarity)</w:t>
      </w: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6934"/>
        <w:gridCol w:w="2206"/>
      </w:tblGrid>
      <w:tr>
        <w:trPr>
          <w:trHeight w:val="340"/>
        </w:trPr>
        <w:tc>
          <w:tcPr>
            <w:tcW w:w="0" w:type="auto"/>
            <w:vAlign w:val="center"/>
          </w:tcPr>
          <w:p>
            <w:pPr>
              <w:jc w:val="center"/>
              <w:rPr>
                <w:rFonts w:ascii="Times New Roman" w:hAnsi="Times New Roman" w:cs="Times New Roman"/>
                <w:b/>
                <w:noProof/>
                <w:sz w:val="22"/>
              </w:rPr>
            </w:pPr>
            <w:r>
              <w:rPr>
                <w:rFonts w:ascii="Times New Roman" w:hAnsi="Times New Roman"/>
                <w:b/>
                <w:noProof/>
                <w:sz w:val="22"/>
              </w:rPr>
              <w:t>Hlavný útvar Komisie</w:t>
            </w:r>
          </w:p>
        </w:tc>
        <w:tc>
          <w:tcPr>
            <w:tcW w:w="2234" w:type="dxa"/>
            <w:vAlign w:val="center"/>
          </w:tcPr>
          <w:p>
            <w:pPr>
              <w:jc w:val="center"/>
              <w:rPr>
                <w:rFonts w:ascii="Times New Roman" w:hAnsi="Times New Roman" w:cs="Times New Roman"/>
                <w:b/>
                <w:noProof/>
                <w:sz w:val="22"/>
              </w:rPr>
            </w:pPr>
            <w:r>
              <w:rPr>
                <w:rFonts w:ascii="Times New Roman" w:hAnsi="Times New Roman"/>
                <w:b/>
                <w:noProof/>
                <w:sz w:val="22"/>
              </w:rPr>
              <w:t>Celkový počet</w:t>
            </w:r>
            <w:r>
              <w:rPr>
                <w:rFonts w:ascii="Times New Roman" w:hAnsi="Times New Roman" w:cs="Times New Roman"/>
                <w:b/>
                <w:noProof/>
                <w:sz w:val="22"/>
              </w:rPr>
              <w:br/>
            </w:r>
            <w:r>
              <w:rPr>
                <w:rFonts w:ascii="Times New Roman" w:hAnsi="Times New Roman"/>
                <w:b/>
                <w:noProof/>
                <w:sz w:val="22"/>
              </w:rPr>
              <w:t>stanovísk</w:t>
            </w:r>
            <w:r>
              <w:rPr>
                <w:rStyle w:val="FootnoteReference"/>
                <w:rFonts w:ascii="Times New Roman" w:hAnsi="Times New Roman"/>
                <w:noProof/>
                <w:sz w:val="22"/>
              </w:rPr>
              <w:footnoteReference w:id="18"/>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Generálny sekretariát</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101</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GR pre energetiku</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65</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GR pre vnútorný trh, priemysel, podnikanie a MSP (GROW)</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52</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GR pre migráciu a vnútorné záležitosti</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41</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GR pre spravodlivosť a spotrebiteľov</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38</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GR pre mobilitu a dopravu</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36</w:t>
            </w:r>
          </w:p>
        </w:tc>
      </w:tr>
      <w:tr>
        <w:trPr>
          <w:trHeight w:val="340"/>
        </w:trPr>
        <w:tc>
          <w:tcPr>
            <w:tcW w:w="0" w:type="auto"/>
            <w:noWrap/>
          </w:tcPr>
          <w:p>
            <w:pPr>
              <w:rPr>
                <w:rFonts w:ascii="Times New Roman" w:hAnsi="Times New Roman" w:cs="Times New Roman"/>
                <w:noProof/>
                <w:sz w:val="22"/>
              </w:rPr>
            </w:pPr>
            <w:r>
              <w:rPr>
                <w:rFonts w:ascii="Times New Roman" w:hAnsi="Times New Roman"/>
                <w:noProof/>
                <w:sz w:val="22"/>
              </w:rPr>
              <w:t>GR pre finančnú stabilitu, finančné služby a úniu kapitálových trhov (FISMA)</w:t>
            </w:r>
          </w:p>
        </w:tc>
        <w:tc>
          <w:tcPr>
            <w:tcW w:w="2234" w:type="dxa"/>
            <w:noWrap/>
          </w:tcPr>
          <w:p>
            <w:pPr>
              <w:jc w:val="center"/>
              <w:rPr>
                <w:rFonts w:ascii="Times New Roman" w:hAnsi="Times New Roman" w:cs="Times New Roman"/>
                <w:noProof/>
                <w:sz w:val="22"/>
              </w:rPr>
            </w:pPr>
            <w:r>
              <w:rPr>
                <w:rFonts w:ascii="Times New Roman" w:hAnsi="Times New Roman"/>
                <w:noProof/>
                <w:sz w:val="22"/>
              </w:rPr>
              <w:t>33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GR pre komunikačné siete, obsah a technológie</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32</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GR pre dane a colnú úniu</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29</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GR pre vzdelávanie, mládež, šport a kultúru</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25</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GR pre zamestnanosť, sociálne záležitosti a začlenenie</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22</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GR pre poľnohospodárstvo a rozvoj vidieka</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15</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GR pre životné prostredie</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11</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Európska služba pre vonkajšiu činnosť</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10</w:t>
            </w:r>
            <w:r>
              <w:rPr>
                <w:rStyle w:val="FootnoteReference"/>
                <w:rFonts w:ascii="Times New Roman" w:hAnsi="Times New Roman"/>
                <w:noProof/>
                <w:sz w:val="22"/>
              </w:rPr>
              <w:footnoteReference w:id="19"/>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GR pre obchod</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10</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Osobitná skupina podľa článku 50</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9</w:t>
            </w:r>
            <w:r>
              <w:rPr>
                <w:rStyle w:val="FootnoteReference"/>
                <w:rFonts w:ascii="Times New Roman" w:hAnsi="Times New Roman"/>
                <w:noProof/>
                <w:sz w:val="22"/>
              </w:rPr>
              <w:footnoteReference w:id="20"/>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GR Eurostat – Európska štatistika</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8</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GR pre hospodársku súťaž</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6</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GR pre regionálnu a mestskú politiku</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6</w:t>
            </w:r>
          </w:p>
        </w:tc>
      </w:tr>
      <w:tr>
        <w:trPr>
          <w:trHeight w:val="340"/>
        </w:trPr>
        <w:tc>
          <w:tcPr>
            <w:tcW w:w="0" w:type="auto"/>
            <w:noWrap/>
          </w:tcPr>
          <w:p>
            <w:pPr>
              <w:rPr>
                <w:rFonts w:ascii="Times New Roman" w:hAnsi="Times New Roman" w:cs="Times New Roman"/>
                <w:noProof/>
                <w:sz w:val="22"/>
              </w:rPr>
            </w:pPr>
            <w:r>
              <w:rPr>
                <w:rFonts w:ascii="Times New Roman" w:hAnsi="Times New Roman"/>
                <w:noProof/>
                <w:sz w:val="22"/>
              </w:rPr>
              <w:t>GR pre rozpočet</w:t>
            </w:r>
          </w:p>
        </w:tc>
        <w:tc>
          <w:tcPr>
            <w:tcW w:w="2234" w:type="dxa"/>
            <w:noWrap/>
          </w:tcPr>
          <w:p>
            <w:pPr>
              <w:jc w:val="center"/>
              <w:rPr>
                <w:rFonts w:ascii="Times New Roman" w:hAnsi="Times New Roman" w:cs="Times New Roman"/>
                <w:noProof/>
                <w:sz w:val="22"/>
              </w:rPr>
            </w:pPr>
            <w:r>
              <w:rPr>
                <w:rFonts w:ascii="Times New Roman" w:hAnsi="Times New Roman"/>
                <w:noProof/>
                <w:sz w:val="22"/>
              </w:rPr>
              <w:t>5</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GR pre hospodárske a finančné záležitosti</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4</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GR pre námorné záležitosti a rybárstvo</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4</w:t>
            </w:r>
          </w:p>
        </w:tc>
      </w:tr>
      <w:tr>
        <w:trPr>
          <w:trHeight w:val="340"/>
        </w:trPr>
        <w:tc>
          <w:tcPr>
            <w:tcW w:w="0" w:type="auto"/>
            <w:noWrap/>
          </w:tcPr>
          <w:p>
            <w:pPr>
              <w:rPr>
                <w:rFonts w:ascii="Times New Roman" w:hAnsi="Times New Roman" w:cs="Times New Roman"/>
                <w:noProof/>
                <w:sz w:val="22"/>
              </w:rPr>
            </w:pPr>
            <w:r>
              <w:rPr>
                <w:rFonts w:ascii="Times New Roman" w:hAnsi="Times New Roman"/>
                <w:noProof/>
                <w:sz w:val="22"/>
              </w:rPr>
              <w:t>GR pre medzinárodnú spoluprácu a rozvoj</w:t>
            </w:r>
          </w:p>
        </w:tc>
        <w:tc>
          <w:tcPr>
            <w:tcW w:w="2234" w:type="dxa"/>
            <w:noWrap/>
          </w:tcPr>
          <w:p>
            <w:pPr>
              <w:jc w:val="center"/>
              <w:rPr>
                <w:rFonts w:ascii="Times New Roman" w:hAnsi="Times New Roman" w:cs="Times New Roman"/>
                <w:noProof/>
                <w:sz w:val="22"/>
              </w:rPr>
            </w:pPr>
            <w:r>
              <w:rPr>
                <w:rFonts w:ascii="Times New Roman" w:hAnsi="Times New Roman"/>
                <w:noProof/>
                <w:sz w:val="22"/>
              </w:rPr>
              <w:t>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GR pre európsku susedskú politiku a rokovania o rozšírení</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GR pre výskum a inováciu (RTD)</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GR pre zdravie a bezpečnosť potravín</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GR pre oblasť klímy</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2</w:t>
            </w:r>
          </w:p>
        </w:tc>
      </w:tr>
      <w:tr>
        <w:trPr>
          <w:trHeight w:val="340"/>
        </w:trPr>
        <w:tc>
          <w:tcPr>
            <w:tcW w:w="0" w:type="auto"/>
            <w:vAlign w:val="center"/>
          </w:tcPr>
          <w:p>
            <w:pPr>
              <w:rPr>
                <w:rFonts w:ascii="Times New Roman" w:hAnsi="Times New Roman" w:cs="Times New Roman"/>
                <w:noProof/>
                <w:sz w:val="22"/>
              </w:rPr>
            </w:pPr>
            <w:r>
              <w:rPr>
                <w:rFonts w:ascii="Times New Roman" w:hAnsi="Times New Roman"/>
                <w:noProof/>
                <w:sz w:val="22"/>
              </w:rPr>
              <w:t>SPOLU</w:t>
            </w:r>
          </w:p>
        </w:tc>
        <w:tc>
          <w:tcPr>
            <w:tcW w:w="2234" w:type="dxa"/>
            <w:vAlign w:val="center"/>
          </w:tcPr>
          <w:p>
            <w:pPr>
              <w:jc w:val="center"/>
              <w:rPr>
                <w:rFonts w:ascii="Times New Roman" w:hAnsi="Times New Roman" w:cs="Times New Roman"/>
                <w:b/>
                <w:noProof/>
                <w:sz w:val="22"/>
              </w:rPr>
            </w:pPr>
            <w:r>
              <w:rPr>
                <w:rFonts w:ascii="Times New Roman" w:hAnsi="Times New Roman"/>
                <w:b/>
                <w:noProof/>
                <w:sz w:val="22"/>
              </w:rPr>
              <w:t>576</w:t>
            </w:r>
          </w:p>
        </w:tc>
      </w:tr>
    </w:tbl>
    <w:p>
      <w:pPr>
        <w:rPr>
          <w:noProof/>
          <w:sz w:val="4"/>
          <w:szCs w:val="4"/>
        </w:rPr>
      </w:pPr>
    </w:p>
    <w:sectPr>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6" w:h="16838" w:code="9"/>
      <w:pgMar w:top="1134" w:right="1440" w:bottom="1134" w:left="1440" w:header="425"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3814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284" w:hanging="284"/>
      </w:pPr>
      <w:r>
        <w:rPr>
          <w:rStyle w:val="FootnoteReference"/>
        </w:rPr>
        <w:footnoteRef/>
      </w:r>
      <w:r>
        <w:t xml:space="preserve"> </w:t>
      </w:r>
      <w:r>
        <w:tab/>
        <w:t>Vrátane stanovísk aj odôvodnených stanovísk prijatých od národných parlamentov.</w:t>
      </w:r>
    </w:p>
  </w:footnote>
  <w:footnote w:id="2">
    <w:p>
      <w:pPr>
        <w:pStyle w:val="FootnoteText"/>
        <w:ind w:left="284" w:hanging="284"/>
      </w:pPr>
      <w:r>
        <w:rPr>
          <w:rStyle w:val="FootnoteReference"/>
        </w:rPr>
        <w:footnoteRef/>
      </w:r>
      <w:r>
        <w:t xml:space="preserve"> </w:t>
      </w:r>
      <w:r>
        <w:tab/>
        <w:t>Na to, aby sa stanovisko považovalo za odôvodnené stanovisko podľa vymedzenia v protokole č. 2, sa v ňom musí jasne uvádzať porušenie zásady subsidiarity a musí sa zaslať Komisii do ôsmich týždňov po postúpení legislatívneho návrhu národným parlamentom.</w:t>
      </w:r>
    </w:p>
  </w:footnote>
  <w:footnote w:id="3">
    <w:p>
      <w:pPr>
        <w:pStyle w:val="FootnoteText"/>
        <w:ind w:left="284" w:hanging="284"/>
      </w:pPr>
      <w:r>
        <w:rPr>
          <w:rStyle w:val="FootnoteReference"/>
        </w:rPr>
        <w:footnoteRef/>
      </w:r>
      <w:r>
        <w:t xml:space="preserve"> </w:t>
      </w:r>
      <w:r>
        <w:tab/>
        <w:t>Započítané ako tridsaťosem spoločných stanovísk od dvoch snemovní.</w:t>
      </w:r>
    </w:p>
  </w:footnote>
  <w:footnote w:id="4">
    <w:p>
      <w:pPr>
        <w:pStyle w:val="FootnoteText"/>
        <w:tabs>
          <w:tab w:val="left" w:pos="284"/>
        </w:tabs>
        <w:ind w:left="284" w:hanging="284"/>
      </w:pPr>
      <w:r>
        <w:rPr>
          <w:rStyle w:val="FootnoteReference"/>
        </w:rPr>
        <w:footnoteRef/>
      </w:r>
      <w:r>
        <w:t xml:space="preserve"> </w:t>
      </w:r>
      <w:r>
        <w:tab/>
        <w:t>V tabuľke sa uvádzajú všetky dokumenty Komisie, ku ktorým Komisia dostala aspoň sedem stanovísk, v poradí podľa počtu stanovísk.</w:t>
      </w:r>
    </w:p>
  </w:footnote>
  <w:footnote w:id="5">
    <w:p>
      <w:pPr>
        <w:pStyle w:val="FootnoteText"/>
        <w:ind w:left="284" w:hanging="284"/>
      </w:pPr>
      <w:r>
        <w:rPr>
          <w:rStyle w:val="FootnoteReference"/>
        </w:rPr>
        <w:footnoteRef/>
      </w:r>
      <w:r>
        <w:t xml:space="preserve"> </w:t>
      </w:r>
      <w:r>
        <w:tab/>
        <w:t>Vrátane stanovísk aj odôvodnených stanovísk prijatých od národných parlamentov.</w:t>
      </w:r>
    </w:p>
  </w:footnote>
  <w:footnote w:id="6">
    <w:p>
      <w:pPr>
        <w:pStyle w:val="FootnoteText"/>
        <w:ind w:left="284" w:hanging="284"/>
      </w:pPr>
      <w:r>
        <w:rPr>
          <w:rStyle w:val="FootnoteReference"/>
        </w:rPr>
        <w:footnoteRef/>
      </w:r>
      <w:r>
        <w:t xml:space="preserve"> </w:t>
      </w:r>
      <w:r>
        <w:tab/>
        <w:t>Na to, aby sa stanovisko považovalo za odôvodnené stanovisko podľa vymedzenia v protokole č. 2, sa v ňom musí jasne uvádzať porušenie zásady subsidiarity a musí sa zaslať Komisii do ôsmich týždňov po postúpení legislatívneho návrhu národným parlamentom.</w:t>
      </w:r>
    </w:p>
  </w:footnote>
  <w:footnote w:id="7">
    <w:p>
      <w:pPr>
        <w:pStyle w:val="FootnoteText"/>
        <w:ind w:left="284" w:hanging="284"/>
      </w:pPr>
      <w:r>
        <w:rPr>
          <w:rStyle w:val="FootnoteReference"/>
        </w:rPr>
        <w:footnoteRef/>
      </w:r>
      <w:r>
        <w:t xml:space="preserve"> </w:t>
      </w:r>
      <w:r>
        <w:tab/>
        <w:t xml:space="preserve">Jedno zo stanovísk týkajúcich sa tohto dokumentu Komisie, od českého </w:t>
      </w:r>
      <w:r>
        <w:rPr>
          <w:i/>
        </w:rPr>
        <w:t>Senátu</w:t>
      </w:r>
      <w:r>
        <w:t xml:space="preserve">, sa spoločne týkalo dokumentov COM(2016) 864, COM(2016) 862, COM(2016) 863 a COM(2016) 861. Jedno stanovisko, od portugalskej </w:t>
      </w:r>
      <w:r>
        <w:rPr>
          <w:i/>
        </w:rPr>
        <w:t>Assembleia da República</w:t>
      </w:r>
      <w:r>
        <w:t xml:space="preserve">, sa spoločne týkalo dokumentov COM(2016) 864, COM(2016) 863 a COM(2016) 861. </w:t>
      </w:r>
    </w:p>
  </w:footnote>
  <w:footnote w:id="8">
    <w:p>
      <w:pPr>
        <w:pStyle w:val="FootnoteText"/>
        <w:ind w:left="284" w:hanging="284"/>
      </w:pPr>
      <w:r>
        <w:rPr>
          <w:rStyle w:val="FootnoteReference"/>
        </w:rPr>
        <w:footnoteRef/>
      </w:r>
      <w:r>
        <w:t xml:space="preserve"> </w:t>
      </w:r>
      <w:r>
        <w:tab/>
        <w:t xml:space="preserve">Dve stanoviská, od portugalskej </w:t>
      </w:r>
      <w:r>
        <w:rPr>
          <w:i/>
        </w:rPr>
        <w:t>Assambleia da República</w:t>
      </w:r>
      <w:r>
        <w:t xml:space="preserve"> a rumunskej </w:t>
      </w:r>
      <w:r>
        <w:rPr>
          <w:i/>
        </w:rPr>
        <w:t>Camera Deputaților</w:t>
      </w:r>
      <w:r>
        <w:t xml:space="preserve">, sa spoločne týkali dokumentov COM(2017) 253 a COM(2017) 252. </w:t>
      </w:r>
    </w:p>
  </w:footnote>
  <w:footnote w:id="9">
    <w:p>
      <w:pPr>
        <w:pStyle w:val="FootnoteText"/>
        <w:ind w:left="284" w:hanging="284"/>
      </w:pPr>
      <w:r>
        <w:rPr>
          <w:rStyle w:val="FootnoteReference"/>
        </w:rPr>
        <w:footnoteRef/>
      </w:r>
      <w:r>
        <w:t xml:space="preserve"> </w:t>
      </w:r>
      <w:r>
        <w:tab/>
        <w:t xml:space="preserve">Jedno zo stanovísk týkajúcich sa tohto dokumentu Komisie, od španielskeho </w:t>
      </w:r>
      <w:r>
        <w:rPr>
          <w:i/>
        </w:rPr>
        <w:t>Cortes Generales</w:t>
      </w:r>
      <w:r>
        <w:t xml:space="preserve">, sa spoločne týkalo dokumentov COM(2016) 864 a COM(2016) 767. Jedno stanovisko, od českého </w:t>
      </w:r>
      <w:r>
        <w:rPr>
          <w:i/>
        </w:rPr>
        <w:t>Senátu</w:t>
      </w:r>
      <w:r>
        <w:t xml:space="preserve">, sa spoločne týkalo dokumentov COM(2016) 864, COM(2016) 862, COM(2016) 863 a COM(2016) 861. Jedno stanovisko, od portugalskej </w:t>
      </w:r>
      <w:r>
        <w:rPr>
          <w:i/>
        </w:rPr>
        <w:t>Assembleia da República</w:t>
      </w:r>
      <w:r>
        <w:t>, sa spoločne týkalo dokumentov COM(2016) 864, COM(2016) 863 a COM(2016) 861.</w:t>
      </w:r>
    </w:p>
  </w:footnote>
  <w:footnote w:id="10">
    <w:p>
      <w:pPr>
        <w:pStyle w:val="FootnoteText"/>
        <w:ind w:left="284" w:hanging="284"/>
      </w:pPr>
      <w:r>
        <w:rPr>
          <w:rStyle w:val="FootnoteReference"/>
        </w:rPr>
        <w:footnoteRef/>
      </w:r>
      <w:r>
        <w:t xml:space="preserve"> </w:t>
      </w:r>
      <w:r>
        <w:tab/>
        <w:t xml:space="preserve">Jedno zo stanovísk týkajúcich sa tohto dokumentu Komisie, od českého </w:t>
      </w:r>
      <w:r>
        <w:rPr>
          <w:i/>
        </w:rPr>
        <w:t>Senátu</w:t>
      </w:r>
      <w:r>
        <w:t>, sa spoločne týkalo dokumentov COM(2016) 759 a COM(2016) 767. Jedno stanovisko, od</w:t>
      </w:r>
      <w:r>
        <w:rPr>
          <w:i/>
        </w:rPr>
        <w:t xml:space="preserve"> </w:t>
      </w:r>
      <w:r>
        <w:t xml:space="preserve">českej </w:t>
      </w:r>
      <w:r>
        <w:rPr>
          <w:i/>
        </w:rPr>
        <w:t>Poslaneckej sněmovne</w:t>
      </w:r>
      <w:r>
        <w:t>, sa spoločne týkalo dokumentov COM(2016) 759, COM(2016) 767, COM(2016) 761 a COM(2016) 760.</w:t>
      </w:r>
    </w:p>
  </w:footnote>
  <w:footnote w:id="11">
    <w:p>
      <w:pPr>
        <w:pStyle w:val="FootnoteText"/>
        <w:ind w:left="284" w:hanging="284"/>
      </w:pPr>
      <w:r>
        <w:rPr>
          <w:rStyle w:val="FootnoteReference"/>
        </w:rPr>
        <w:footnoteRef/>
      </w:r>
      <w:r>
        <w:t xml:space="preserve"> </w:t>
      </w:r>
      <w:r>
        <w:tab/>
        <w:t xml:space="preserve">Jedno zo stanovísk týkajúcich sa tohto dokumentu Komisie, od českej </w:t>
      </w:r>
      <w:r>
        <w:rPr>
          <w:i/>
        </w:rPr>
        <w:t>Poslaneckej sněmovne</w:t>
      </w:r>
      <w:r>
        <w:t xml:space="preserve">, sa spoločne týkalo dokumentov COM(2017) 10, COM(2017) 8 a COM(2017) 7. </w:t>
      </w:r>
    </w:p>
  </w:footnote>
  <w:footnote w:id="12">
    <w:p>
      <w:pPr>
        <w:pStyle w:val="FootnoteText"/>
        <w:ind w:left="284" w:hanging="284"/>
      </w:pPr>
      <w:r>
        <w:rPr>
          <w:rStyle w:val="FootnoteReference"/>
        </w:rPr>
        <w:footnoteRef/>
      </w:r>
      <w:r>
        <w:t xml:space="preserve"> </w:t>
      </w:r>
      <w:r>
        <w:tab/>
        <w:t xml:space="preserve">Jedno zo stanovísk týkajúcich sa tohto dokumentu Komisie, od portugalskej </w:t>
      </w:r>
      <w:r>
        <w:rPr>
          <w:i/>
        </w:rPr>
        <w:t>Assembleia da República</w:t>
      </w:r>
      <w:r>
        <w:t xml:space="preserve">, sa spoločne týkalo dokumentov COM(2016) 824, COM(2016) 823, COM(2016) 821, COM(2016) 822 a COM(2016) 820. Jedno stanovisko, od španielskeho </w:t>
      </w:r>
      <w:r>
        <w:rPr>
          <w:i/>
        </w:rPr>
        <w:t>Cortes Generales</w:t>
      </w:r>
      <w:r>
        <w:t>, sa spoločne týkalo dokumentov COM(2016) 824, COM(2016) 823 a COM(2016) 822.</w:t>
      </w:r>
    </w:p>
  </w:footnote>
  <w:footnote w:id="13">
    <w:p>
      <w:pPr>
        <w:pStyle w:val="FootnoteText"/>
        <w:ind w:left="284" w:hanging="284"/>
      </w:pPr>
      <w:r>
        <w:rPr>
          <w:rStyle w:val="FootnoteReference"/>
        </w:rPr>
        <w:footnoteRef/>
      </w:r>
      <w:r>
        <w:t xml:space="preserve"> </w:t>
      </w:r>
      <w:r>
        <w:tab/>
        <w:t xml:space="preserve">Jedno zo stanovísk týkajúcich sa tohto dokumentu Komisie, od českého </w:t>
      </w:r>
      <w:r>
        <w:rPr>
          <w:i/>
        </w:rPr>
        <w:t>Senátu</w:t>
      </w:r>
      <w:r>
        <w:t xml:space="preserve">, sa spoločne týkalo dokumentov COM(2016) 864, COM(2016) 862, COM(2016) 863 a COM(2016) 861. Jedno stanovisko, od portugalskej </w:t>
      </w:r>
      <w:r>
        <w:rPr>
          <w:i/>
        </w:rPr>
        <w:t>Assembleia da República</w:t>
      </w:r>
      <w:r>
        <w:t xml:space="preserve">, sa spoločne týkalo dokumentov COM(2016) 864, COM(2016) 863 a COM(2016) 861. Jedno stanovisko, od francúzskeho </w:t>
      </w:r>
      <w:r>
        <w:rPr>
          <w:i/>
        </w:rPr>
        <w:t>Sénat</w:t>
      </w:r>
      <w:r>
        <w:t xml:space="preserve">, sa spoločne týkalo dokumentov COM(2016) 863 a COM(2016) 861. Jedno stanovisko, od rakúskeho </w:t>
      </w:r>
      <w:r>
        <w:rPr>
          <w:i/>
        </w:rPr>
        <w:t>Bundesrat</w:t>
      </w:r>
      <w:r>
        <w:t>, sa spoločne týkalo dokumentov COM(2016) 862 a COM(2016) 863.</w:t>
      </w:r>
    </w:p>
  </w:footnote>
  <w:footnote w:id="14">
    <w:p>
      <w:pPr>
        <w:pStyle w:val="FootnoteText"/>
        <w:ind w:left="284" w:hanging="284"/>
      </w:pPr>
      <w:r>
        <w:rPr>
          <w:rStyle w:val="FootnoteReference"/>
        </w:rPr>
        <w:footnoteRef/>
      </w:r>
      <w:r>
        <w:t xml:space="preserve"> </w:t>
      </w:r>
      <w:r>
        <w:tab/>
        <w:t xml:space="preserve">Jedno zo stanovísk týkajúcich sa tohto dokumentu Komisie, od portugalskej </w:t>
      </w:r>
      <w:r>
        <w:rPr>
          <w:i/>
        </w:rPr>
        <w:t>Assembleia da República,</w:t>
      </w:r>
      <w:r>
        <w:t xml:space="preserve"> sa spoločne týkalo dokumentov COM(2016) 824, COM(2016) 823, COM(2016) 863, COM(2016) 822 a COM(2016) 820. </w:t>
      </w:r>
    </w:p>
  </w:footnote>
  <w:footnote w:id="15">
    <w:p>
      <w:pPr>
        <w:pStyle w:val="FootnoteText"/>
        <w:ind w:left="284" w:hanging="284"/>
      </w:pPr>
      <w:r>
        <w:rPr>
          <w:rStyle w:val="FootnoteReference"/>
        </w:rPr>
        <w:footnoteRef/>
      </w:r>
      <w:r>
        <w:t xml:space="preserve"> </w:t>
      </w:r>
      <w:r>
        <w:tab/>
        <w:t xml:space="preserve">Dve stanoviská, od rakúskeho </w:t>
      </w:r>
      <w:r>
        <w:rPr>
          <w:i/>
        </w:rPr>
        <w:t>Bundesrat</w:t>
      </w:r>
      <w:r>
        <w:t xml:space="preserve"> a portugalskej </w:t>
      </w:r>
      <w:r>
        <w:rPr>
          <w:i/>
        </w:rPr>
        <w:t>Assambleia da República</w:t>
      </w:r>
      <w:r>
        <w:t xml:space="preserve">, sa spoločne týkali dokumentov COM(2016) 765 a COM(2016) 761. Jedno stanovisko, od českého </w:t>
      </w:r>
      <w:r>
        <w:rPr>
          <w:i/>
        </w:rPr>
        <w:t>Senátu</w:t>
      </w:r>
      <w:r>
        <w:t xml:space="preserve">, sa spoločne týkalo dokumentov COM(2017) 277 a COM(2016) 765 a COM(2016) 761. </w:t>
      </w:r>
    </w:p>
  </w:footnote>
  <w:footnote w:id="16">
    <w:p>
      <w:pPr>
        <w:pStyle w:val="FootnoteText"/>
        <w:ind w:left="284" w:hanging="284"/>
      </w:pPr>
      <w:r>
        <w:rPr>
          <w:rStyle w:val="FootnoteReference"/>
        </w:rPr>
        <w:footnoteRef/>
      </w:r>
      <w:r>
        <w:t xml:space="preserve"> </w:t>
      </w:r>
      <w:r>
        <w:tab/>
        <w:t xml:space="preserve">Jedno zo stanovísk týkajúcich sa tohto dokumentu Komisie, od českého </w:t>
      </w:r>
      <w:r>
        <w:rPr>
          <w:i/>
        </w:rPr>
        <w:t>Senátu</w:t>
      </w:r>
      <w:r>
        <w:t>, sa spoločne týkalo dokumentov COM(2016) 759 a COM(2016) 767. Jedno stanovisko, od</w:t>
      </w:r>
      <w:r>
        <w:rPr>
          <w:i/>
        </w:rPr>
        <w:t xml:space="preserve"> </w:t>
      </w:r>
      <w:r>
        <w:t xml:space="preserve">českej </w:t>
      </w:r>
      <w:r>
        <w:rPr>
          <w:i/>
        </w:rPr>
        <w:t>Poslaneckej sněmovne</w:t>
      </w:r>
      <w:r>
        <w:t xml:space="preserve">, sa spoločne týkalo dokumentov COM(2016) 759, COM(2016) 767, COM(2016) 761 a COM(2016) 860. Jedno stanovisko, od poľského </w:t>
      </w:r>
      <w:r>
        <w:rPr>
          <w:i/>
        </w:rPr>
        <w:t>Sejmu</w:t>
      </w:r>
      <w:r>
        <w:t xml:space="preserve">, sa spoločne týkalo dokumentov COM(2016) 759 a COM(2016) 860. Jedno stanovisko, od španielskeho </w:t>
      </w:r>
      <w:r>
        <w:rPr>
          <w:i/>
        </w:rPr>
        <w:t>Cortes Generales</w:t>
      </w:r>
      <w:r>
        <w:t xml:space="preserve">, sa spoločne týkalo dokumentov COM(2016) 759 a COM(2016) 862. </w:t>
      </w:r>
    </w:p>
  </w:footnote>
  <w:footnote w:id="17">
    <w:p>
      <w:pPr>
        <w:pStyle w:val="FootnoteText"/>
        <w:ind w:left="284" w:hanging="284"/>
      </w:pPr>
      <w:r>
        <w:rPr>
          <w:rStyle w:val="FootnoteReference"/>
        </w:rPr>
        <w:footnoteRef/>
      </w:r>
      <w:r>
        <w:t xml:space="preserve"> </w:t>
      </w:r>
      <w:r>
        <w:tab/>
        <w:t>Dve stanoviská, od maďarského</w:t>
      </w:r>
      <w:r>
        <w:rPr>
          <w:i/>
        </w:rPr>
        <w:t xml:space="preserve"> Országgyűlés</w:t>
      </w:r>
      <w:r>
        <w:t xml:space="preserve"> a portugalskej </w:t>
      </w:r>
      <w:r>
        <w:rPr>
          <w:i/>
        </w:rPr>
        <w:t>Assambleia da República</w:t>
      </w:r>
      <w:r>
        <w:t xml:space="preserve">, sa spoločne týkali dokumentov COM(2017) 277 a COM(2017) 278. Jedno stanovisko, od francúzskeho </w:t>
      </w:r>
      <w:r>
        <w:rPr>
          <w:i/>
        </w:rPr>
        <w:t>Sénat</w:t>
      </w:r>
      <w:r>
        <w:t xml:space="preserve">, sa spoločne týkalo dokumentov COM(2017) 277, COM(2017) 278 a COM(2017) 281. Jedno stanovisko, od českého </w:t>
      </w:r>
      <w:r>
        <w:rPr>
          <w:i/>
        </w:rPr>
        <w:t>Senátu</w:t>
      </w:r>
      <w:r>
        <w:t>, sa spoločne týkalo dokumentov COM(2017) 282, COM(2017) 277, COM(2017) 278 a COM(2017) 281.</w:t>
      </w:r>
    </w:p>
  </w:footnote>
  <w:footnote w:id="18">
    <w:p>
      <w:pPr>
        <w:pStyle w:val="FootnoteText"/>
        <w:tabs>
          <w:tab w:val="left" w:pos="284"/>
        </w:tabs>
        <w:ind w:left="284" w:hanging="284"/>
      </w:pPr>
      <w:r>
        <w:rPr>
          <w:rStyle w:val="FootnoteReference"/>
        </w:rPr>
        <w:footnoteRef/>
      </w:r>
      <w:r>
        <w:t xml:space="preserve"> </w:t>
      </w:r>
      <w:r>
        <w:tab/>
        <w:t>Vrátane stanovísk aj odôvodnených stanovísk prijatých od národných parlamentov.</w:t>
      </w:r>
    </w:p>
  </w:footnote>
  <w:footnote w:id="19">
    <w:p>
      <w:pPr>
        <w:pStyle w:val="FootnoteText"/>
        <w:ind w:left="284" w:hanging="284"/>
      </w:pPr>
      <w:r>
        <w:rPr>
          <w:rStyle w:val="FootnoteReference"/>
        </w:rPr>
        <w:footnoteRef/>
      </w:r>
      <w:r>
        <w:t xml:space="preserve"> </w:t>
      </w:r>
      <w:r>
        <w:tab/>
        <w:t>ESVČ nie je útvar Komisie, ale nezávislý subjekt.</w:t>
      </w:r>
    </w:p>
  </w:footnote>
  <w:footnote w:id="20">
    <w:p>
      <w:pPr>
        <w:pStyle w:val="FootnoteText"/>
        <w:ind w:left="284" w:hanging="284"/>
      </w:pPr>
      <w:r>
        <w:rPr>
          <w:rStyle w:val="FootnoteReference"/>
        </w:rPr>
        <w:footnoteRef/>
      </w:r>
      <w:r>
        <w:t xml:space="preserve"> </w:t>
      </w:r>
      <w:r>
        <w:tab/>
        <w:t>Osobitná skupina podľa článku 50 nie je útvar Komisie, ale nezávislý subjekt.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k"/>
    <w:docVar w:name="LW_ANNEX_NBR_FIRST" w:val="1"/>
    <w:docVar w:name="LW_ANNEX_NBR_LAST" w:val="3"/>
    <w:docVar w:name="LW_ANNEX_UNIQUE" w:val="0"/>
    <w:docVar w:name="LW_CORRIGENDUM" w:val="&lt;UNUSED&gt;"/>
    <w:docVar w:name="LW_COVERPAGE_EXISTS" w:val="True"/>
    <w:docVar w:name="LW_COVERPAGE_GUID" w:val="402680DB-871D-40CB-B865-98CAF304A9AF"/>
    <w:docVar w:name="LW_COVERPAGE_TYPE" w:val="1"/>
    <w:docVar w:name="LW_CROSSREFERENCE" w:val="&lt;UNUSED&gt;"/>
    <w:docVar w:name="LW_DocType" w:val="REP"/>
    <w:docVar w:name="LW_EMISSION" w:val="23. 10. 2018"/>
    <w:docVar w:name="LW_EMISSION_ISODATE" w:val="2018-10-23"/>
    <w:docVar w:name="LW_EMISSION_LOCATION" w:val="BRX"/>
    <w:docVar w:name="LW_EMISSION_PREFIX" w:val="V Bruseli"/>
    <w:docVar w:name="LW_EMISSION_SUFFIX" w:val=" "/>
    <w:docVar w:name="LW_ID_DOCTYPE_NONLW" w:val="CP-039"/>
    <w:docVar w:name="LW_LANGUE" w:val="SK"/>
    <w:docVar w:name="LW_LEVEL_OF_SENSITIVITY" w:val="Standard treatment"/>
    <w:docVar w:name="LW_NOM.INST" w:val="EURÓPSKA KOMISIA"/>
    <w:docVar w:name="LW_NOM.INST_JOINTDOC" w:val="&lt;EMPTY&gt;"/>
    <w:docVar w:name="LW_OBJETACTEPRINCIPAL.CP" w:val="O VZ\u356?AHOCH MEDZI EURÓPSKOU KOMISIOU A NÁRODNÝMI PARLAMENTMI"/>
    <w:docVar w:name="LW_PART_NBR" w:val="&lt;UNUSED&gt;"/>
    <w:docVar w:name="LW_PART_NBR_TOTAL" w:val="&lt;UNUSED&gt;"/>
    <w:docVar w:name="LW_REF.INST.NEW" w:val="COM"/>
    <w:docVar w:name="LW_REF.INST.NEW_ADOPTED" w:val="final"/>
    <w:docVar w:name="LW_REF.INST.NEW_TEXT" w:val="(2018) 4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RÍLOHY_x000b_"/>
    <w:docVar w:name="LW_TYPEACTEPRINCIPAL.CP" w:val="SPRÁVE KOMISIE ZA ROK 2017"/>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sk-SK"/>
    </w:rPr>
  </w:style>
  <w:style w:type="character" w:customStyle="1" w:styleId="HeaderChar">
    <w:name w:val="Header Char"/>
    <w:basedOn w:val="DefaultParagraphFont"/>
    <w:link w:val="Header"/>
    <w:uiPriority w:val="99"/>
    <w:rPr>
      <w:sz w:val="24"/>
      <w:lang w:eastAsia="sk-S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noteTextChar">
    <w:name w:val="Footnote Text Char"/>
    <w:basedOn w:val="DefaultParagraphFont"/>
    <w:link w:val="FootnoteText"/>
    <w:uiPriority w:val="99"/>
    <w:semiHidden/>
    <w:rPr>
      <w:lang w:eastAsia="sk-SK"/>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sk-SK"/>
    </w:rPr>
  </w:style>
  <w:style w:type="character" w:customStyle="1" w:styleId="HeaderChar">
    <w:name w:val="Header Char"/>
    <w:basedOn w:val="DefaultParagraphFont"/>
    <w:link w:val="Header"/>
    <w:uiPriority w:val="99"/>
    <w:rPr>
      <w:sz w:val="24"/>
      <w:lang w:eastAsia="sk-S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noteTextChar">
    <w:name w:val="Footnote Text Char"/>
    <w:basedOn w:val="DefaultParagraphFont"/>
    <w:link w:val="FootnoteText"/>
    <w:uiPriority w:val="99"/>
    <w:semiHidden/>
    <w:rPr>
      <w:lang w:eastAsia="sk-SK"/>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3.xml><?xml version="1.0" encoding="utf-8"?>
<EurolookProperties>
  <Created>
    <Version>4.6</Version>
    <Date>2018-08-29T12:28:07</Date>
    <Language>EN</Language>
  </Created>
  <Edited>
    <Version>10.0.37441.0</Version>
    <Date>2018-08-29T12:31:20</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E185D78C-AD8C-44D8-9F36-C303026A0844}">
  <ds:schemaRefs/>
</ds:datastoreItem>
</file>

<file path=customXml/itemProps2.xml><?xml version="1.0" encoding="utf-8"?>
<ds:datastoreItem xmlns:ds="http://schemas.openxmlformats.org/officeDocument/2006/customXml" ds:itemID="{749A81CD-47B2-43EE-A84B-07911B2F577B}">
  <ds:schemaRefs/>
</ds:datastoreItem>
</file>

<file path=customXml/itemProps3.xml><?xml version="1.0" encoding="utf-8"?>
<ds:datastoreItem xmlns:ds="http://schemas.openxmlformats.org/officeDocument/2006/customXml" ds:itemID="{E0D61C8E-61D8-48E1-A8A1-D7C9F052D3F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972</Words>
  <Characters>5487</Characters>
  <Application>Microsoft Office Word</Application>
  <DocSecurity>0</DocSecurity>
  <PresentationFormat>Microsoft Word 14.0</PresentationFormat>
  <Lines>422</Lines>
  <Paragraphs>358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2018-09-19T12:23:00Z</dcterms:created>
  <dcterms:modified xsi:type="dcterms:W3CDTF">2018-10-18T07:31:00Z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First annex">
    <vt:lpwstr>1</vt:lpwstr>
  </property>
  <property fmtid="{D5CDD505-2E9C-101B-9397-08002B2CF9AE}" pid="5" name="Last annex">
    <vt:lpwstr>3</vt:lpwstr>
  </property>
  <property fmtid="{D5CDD505-2E9C-101B-9397-08002B2CF9AE}" pid="6" name="Unique annex">
    <vt:lpwstr>0</vt:lpwstr>
  </property>
  <property fmtid="{D5CDD505-2E9C-101B-9397-08002B2CF9AE}" pid="7" name="Part">
    <vt:lpwstr>&lt;UNUSED&gt;</vt:lpwstr>
  </property>
  <property fmtid="{D5CDD505-2E9C-101B-9397-08002B2CF9AE}" pid="8" name="Total parts">
    <vt:lpwstr>&lt;UNUSED&gt;</vt:lpwstr>
  </property>
  <property fmtid="{D5CDD505-2E9C-101B-9397-08002B2CF9AE}" pid="9" name="DocStatus">
    <vt:lpwstr>Green</vt:lpwstr>
  </property>
  <property fmtid="{D5CDD505-2E9C-101B-9397-08002B2CF9AE}" pid="10" name="Created using">
    <vt:lpwstr>LW 6.0.1, Build 20180503</vt:lpwstr>
  </property>
</Properties>
</file>