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8BFFD8D-CF17-4BE3-8369-F8664FF61CFB" style="width:450.75pt;height:379.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1. MELLÉKLET</w:t>
      </w:r>
    </w:p>
    <w:p>
      <w:pPr>
        <w:spacing w:after="240"/>
        <w:jc w:val="center"/>
        <w:rPr>
          <w:b/>
          <w:noProof/>
        </w:rPr>
      </w:pPr>
      <w:r>
        <w:rPr>
          <w:b/>
          <w:noProof/>
        </w:rPr>
        <w:t>A Bizottsághoz 2017-ben benyújtott vélemények száma nemzeti parlamentenként/kamaránként (politikai párbeszéd és szubszidiaritás-ellenőrzési mechanizmus)</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Tagállam</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Kamara</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Vélemények</w:t>
            </w:r>
            <w:r>
              <w:rPr>
                <w:b/>
                <w:bCs/>
                <w:noProof/>
                <w:color w:val="000000"/>
                <w:sz w:val="22"/>
                <w:szCs w:val="22"/>
              </w:rPr>
              <w:br/>
            </w:r>
            <w:r>
              <w:rPr>
                <w:b/>
                <w:noProof/>
                <w:color w:val="000000"/>
                <w:sz w:val="22"/>
              </w:rPr>
              <w:t>száma</w:t>
            </w:r>
            <w:r>
              <w:rPr>
                <w:b/>
                <w:bCs/>
                <w:noProof/>
                <w:color w:val="000000"/>
                <w:sz w:val="22"/>
                <w:szCs w:val="22"/>
              </w:rPr>
              <w:br/>
            </w:r>
            <w:r>
              <w:rPr>
                <w:b/>
                <w:noProof/>
                <w:color w:val="000000"/>
                <w:sz w:val="22"/>
              </w:rPr>
              <w:t>összesen</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Ezek között</w:t>
            </w:r>
            <w:r>
              <w:rPr>
                <w:b/>
                <w:bCs/>
                <w:noProof/>
                <w:color w:val="000000"/>
                <w:sz w:val="22"/>
                <w:szCs w:val="22"/>
              </w:rPr>
              <w:br/>
            </w:r>
            <w:r>
              <w:rPr>
                <w:b/>
                <w:noProof/>
                <w:color w:val="000000"/>
                <w:sz w:val="22"/>
              </w:rPr>
              <w:t>az indokolt vélemények</w:t>
            </w:r>
            <w:r>
              <w:rPr>
                <w:b/>
                <w:bCs/>
                <w:noProof/>
                <w:color w:val="000000"/>
                <w:sz w:val="22"/>
                <w:szCs w:val="22"/>
              </w:rPr>
              <w:br/>
            </w:r>
            <w:r>
              <w:rPr>
                <w:b/>
                <w:noProof/>
                <w:color w:val="000000"/>
                <w:sz w:val="22"/>
              </w:rPr>
              <w:t>száma</w:t>
            </w:r>
            <w:r>
              <w:rPr>
                <w:b/>
                <w:bCs/>
                <w:noProof/>
                <w:color w:val="000000"/>
                <w:sz w:val="22"/>
                <w:szCs w:val="22"/>
              </w:rPr>
              <w:br/>
            </w:r>
            <w:r>
              <w:rPr>
                <w:b/>
                <w:noProof/>
                <w:sz w:val="22"/>
              </w:rPr>
              <w:t>(2. jegyzőkönyv)</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Portugália</w:t>
            </w:r>
          </w:p>
        </w:tc>
        <w:tc>
          <w:tcPr>
            <w:tcW w:w="3609" w:type="dxa"/>
            <w:shd w:val="clear" w:color="auto" w:fill="auto"/>
            <w:vAlign w:val="center"/>
          </w:tcPr>
          <w:p>
            <w:pPr>
              <w:jc w:val="center"/>
              <w:rPr>
                <w:i/>
                <w:iCs/>
                <w:noProof/>
                <w:color w:val="000000"/>
                <w:sz w:val="22"/>
                <w:szCs w:val="22"/>
              </w:rPr>
            </w:pPr>
            <w:r>
              <w:rPr>
                <w:i/>
                <w:noProof/>
                <w:color w:val="000000"/>
                <w:sz w:val="22"/>
              </w:rPr>
              <w:t>Assembleia da República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Olaszország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Cseh Köztársaság</w:t>
            </w:r>
          </w:p>
        </w:tc>
        <w:tc>
          <w:tcPr>
            <w:tcW w:w="3609" w:type="dxa"/>
            <w:shd w:val="clear" w:color="auto" w:fill="auto"/>
            <w:vAlign w:val="center"/>
          </w:tcPr>
          <w:p>
            <w:pPr>
              <w:jc w:val="center"/>
              <w:rPr>
                <w:i/>
                <w:iCs/>
                <w:noProof/>
                <w:color w:val="000000"/>
                <w:sz w:val="22"/>
                <w:szCs w:val="22"/>
              </w:rPr>
            </w:pPr>
            <w:r>
              <w:rPr>
                <w:i/>
                <w:noProof/>
                <w:color w:val="000000"/>
                <w:sz w:val="22"/>
              </w:rPr>
              <w:t>Sénat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Olaszország</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Németország</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Románia</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Spanyolország</w:t>
            </w:r>
          </w:p>
        </w:tc>
        <w:tc>
          <w:tcPr>
            <w:tcW w:w="3609" w:type="dxa"/>
            <w:shd w:val="clear" w:color="auto" w:fill="auto"/>
            <w:vAlign w:val="center"/>
          </w:tcPr>
          <w:p>
            <w:pPr>
              <w:jc w:val="center"/>
              <w:rPr>
                <w:noProof/>
                <w:color w:val="000000"/>
                <w:sz w:val="22"/>
                <w:szCs w:val="22"/>
              </w:rPr>
            </w:pPr>
            <w:r>
              <w:rPr>
                <w:i/>
                <w:noProof/>
                <w:color w:val="000000"/>
                <w:sz w:val="22"/>
              </w:rPr>
              <w:t>Las Cortes Generales:</w:t>
            </w:r>
            <w:r>
              <w:rPr>
                <w:noProof/>
                <w:color w:val="000000"/>
                <w:sz w:val="22"/>
                <w:szCs w:val="22"/>
              </w:rPr>
              <w:br/>
            </w:r>
            <w:r>
              <w:rPr>
                <w:i/>
                <w:noProof/>
                <w:color w:val="000000"/>
                <w:sz w:val="22"/>
              </w:rPr>
              <w:t>Senado de España</w:t>
            </w:r>
            <w:r>
              <w:rPr>
                <w:noProof/>
                <w:color w:val="000000"/>
                <w:sz w:val="22"/>
              </w:rPr>
              <w:t xml:space="preserve"> és</w:t>
            </w:r>
            <w:r>
              <w:rPr>
                <w:noProof/>
                <w:color w:val="000000"/>
                <w:sz w:val="22"/>
                <w:szCs w:val="22"/>
              </w:rPr>
              <w:br/>
            </w:r>
            <w:r>
              <w:rPr>
                <w:i/>
                <w:noProof/>
                <w:color w:val="000000"/>
                <w:sz w:val="22"/>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Románia</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Franciaország</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Egyesült Királyság</w:t>
            </w:r>
          </w:p>
        </w:tc>
        <w:tc>
          <w:tcPr>
            <w:tcW w:w="3609" w:type="dxa"/>
            <w:shd w:val="clear" w:color="auto" w:fill="auto"/>
            <w:vAlign w:val="center"/>
          </w:tcPr>
          <w:p>
            <w:pPr>
              <w:jc w:val="center"/>
              <w:rPr>
                <w:i/>
                <w:iCs/>
                <w:noProof/>
                <w:color w:val="000000"/>
                <w:sz w:val="22"/>
                <w:szCs w:val="22"/>
              </w:rPr>
            </w:pPr>
            <w:r>
              <w:rPr>
                <w:i/>
                <w:noProof/>
                <w:color w:val="000000"/>
                <w:sz w:val="22"/>
              </w:rPr>
              <w:t>House of Lords</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Cseh Köztársaság</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Svédország</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Franciaország</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Ausztria</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Lengyelország</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Magyarország</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Németország</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Hollandia</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Lengyelország</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Írország</w:t>
            </w:r>
          </w:p>
        </w:tc>
        <w:tc>
          <w:tcPr>
            <w:tcW w:w="3609" w:type="dxa"/>
            <w:shd w:val="clear" w:color="auto" w:fill="auto"/>
            <w:vAlign w:val="center"/>
          </w:tcPr>
          <w:p>
            <w:pPr>
              <w:jc w:val="center"/>
              <w:rPr>
                <w:noProof/>
                <w:color w:val="000000"/>
                <w:sz w:val="22"/>
                <w:szCs w:val="22"/>
              </w:rPr>
            </w:pPr>
            <w:r>
              <w:rPr>
                <w:noProof/>
                <w:color w:val="000000"/>
                <w:sz w:val="22"/>
              </w:rPr>
              <w:t xml:space="preserve">Az </w:t>
            </w:r>
            <w:r>
              <w:rPr>
                <w:i/>
                <w:noProof/>
                <w:color w:val="000000"/>
                <w:sz w:val="22"/>
              </w:rPr>
              <w:t>Oireachtas</w:t>
            </w:r>
            <w:r>
              <w:rPr>
                <w:noProof/>
                <w:color w:val="000000"/>
                <w:sz w:val="22"/>
              </w:rPr>
              <w:t xml:space="preserve"> képviselőházai:</w:t>
            </w:r>
            <w:r>
              <w:rPr>
                <w:noProof/>
                <w:color w:val="000000"/>
                <w:sz w:val="22"/>
                <w:szCs w:val="22"/>
              </w:rPr>
              <w:br/>
            </w:r>
            <w:r>
              <w:rPr>
                <w:i/>
                <w:noProof/>
                <w:color w:val="000000"/>
                <w:sz w:val="22"/>
              </w:rPr>
              <w:t>Dáil</w:t>
            </w:r>
            <w:r>
              <w:rPr>
                <w:noProof/>
                <w:color w:val="000000"/>
                <w:sz w:val="22"/>
              </w:rPr>
              <w:t xml:space="preserve"> és </w:t>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Dánia</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Szlovákia</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Hollandia</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Ciprus</w:t>
            </w:r>
          </w:p>
        </w:tc>
        <w:tc>
          <w:tcPr>
            <w:tcW w:w="3609" w:type="dxa"/>
            <w:shd w:val="clear" w:color="auto" w:fill="auto"/>
            <w:vAlign w:val="center"/>
          </w:tcPr>
          <w:p>
            <w:pPr>
              <w:jc w:val="center"/>
              <w:rPr>
                <w:i/>
                <w:iCs/>
                <w:noProof/>
                <w:color w:val="000000"/>
                <w:sz w:val="22"/>
                <w:szCs w:val="22"/>
              </w:rPr>
            </w:pPr>
            <w:r>
              <w:rPr>
                <w:i/>
                <w:noProof/>
                <w:color w:val="000000"/>
                <w:sz w:val="22"/>
              </w:rPr>
              <w:t>Vouli ton Antiprosopon /</w:t>
            </w:r>
            <w:r>
              <w:rPr>
                <w:i/>
                <w:iCs/>
                <w:noProof/>
                <w:color w:val="000000"/>
                <w:sz w:val="22"/>
                <w:szCs w:val="22"/>
              </w:rPr>
              <w:br/>
            </w:r>
            <w:r>
              <w:rPr>
                <w:i/>
                <w:noProof/>
                <w:color w:val="000000"/>
                <w:sz w:val="22"/>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Egyesült Királyság</w:t>
            </w:r>
          </w:p>
        </w:tc>
        <w:tc>
          <w:tcPr>
            <w:tcW w:w="3609" w:type="dxa"/>
            <w:shd w:val="clear" w:color="auto" w:fill="auto"/>
            <w:vAlign w:val="center"/>
          </w:tcPr>
          <w:p>
            <w:pPr>
              <w:jc w:val="center"/>
              <w:rPr>
                <w:noProof/>
                <w:color w:val="000000"/>
                <w:sz w:val="22"/>
                <w:szCs w:val="22"/>
              </w:rPr>
            </w:pPr>
            <w:r>
              <w:rPr>
                <w:noProof/>
                <w:color w:val="000000"/>
                <w:sz w:val="22"/>
              </w:rPr>
              <w:t>House of Commons</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Görögország</w:t>
            </w:r>
          </w:p>
        </w:tc>
        <w:tc>
          <w:tcPr>
            <w:tcW w:w="3609" w:type="dxa"/>
            <w:shd w:val="clear" w:color="auto" w:fill="auto"/>
            <w:vAlign w:val="center"/>
          </w:tcPr>
          <w:p>
            <w:pPr>
              <w:jc w:val="center"/>
              <w:rPr>
                <w:i/>
                <w:iCs/>
                <w:noProof/>
                <w:color w:val="000000"/>
                <w:sz w:val="22"/>
                <w:szCs w:val="22"/>
              </w:rPr>
            </w:pPr>
            <w:r>
              <w:rPr>
                <w:i/>
                <w:noProof/>
                <w:color w:val="000000"/>
                <w:sz w:val="22"/>
              </w:rPr>
              <w:t>Vouli ton Ellinon</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Írország</w:t>
            </w:r>
          </w:p>
        </w:tc>
        <w:tc>
          <w:tcPr>
            <w:tcW w:w="3609" w:type="dxa"/>
            <w:shd w:val="clear" w:color="auto" w:fill="auto"/>
            <w:vAlign w:val="center"/>
          </w:tcPr>
          <w:p>
            <w:pPr>
              <w:jc w:val="center"/>
              <w:rPr>
                <w:noProof/>
                <w:color w:val="000000"/>
                <w:sz w:val="22"/>
                <w:szCs w:val="22"/>
              </w:rPr>
            </w:pPr>
            <w:r>
              <w:rPr>
                <w:noProof/>
                <w:color w:val="000000"/>
                <w:sz w:val="22"/>
              </w:rPr>
              <w:t xml:space="preserve">Az </w:t>
            </w:r>
            <w:r>
              <w:rPr>
                <w:i/>
                <w:noProof/>
                <w:color w:val="000000"/>
                <w:sz w:val="22"/>
              </w:rPr>
              <w:t>Oireachtas</w:t>
            </w:r>
            <w:r>
              <w:rPr>
                <w:noProof/>
                <w:color w:val="000000"/>
                <w:sz w:val="22"/>
              </w:rPr>
              <w:t xml:space="preserve"> képviselőházai:</w:t>
            </w:r>
            <w:r>
              <w:rPr>
                <w:noProof/>
                <w:color w:val="000000"/>
                <w:sz w:val="22"/>
                <w:szCs w:val="22"/>
              </w:rPr>
              <w:br/>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Belgium</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 / 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Horvátország</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Litvánia</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Írország</w:t>
            </w:r>
          </w:p>
        </w:tc>
        <w:tc>
          <w:tcPr>
            <w:tcW w:w="3609" w:type="dxa"/>
            <w:shd w:val="clear" w:color="auto" w:fill="auto"/>
            <w:vAlign w:val="center"/>
          </w:tcPr>
          <w:p>
            <w:pPr>
              <w:jc w:val="center"/>
              <w:rPr>
                <w:noProof/>
                <w:color w:val="000000"/>
                <w:sz w:val="22"/>
                <w:szCs w:val="22"/>
              </w:rPr>
            </w:pPr>
            <w:r>
              <w:rPr>
                <w:noProof/>
                <w:color w:val="000000"/>
                <w:sz w:val="22"/>
              </w:rPr>
              <w:t xml:space="preserve">Az </w:t>
            </w:r>
            <w:r>
              <w:rPr>
                <w:i/>
                <w:noProof/>
                <w:color w:val="000000"/>
                <w:sz w:val="22"/>
              </w:rPr>
              <w:t>Oireachtas</w:t>
            </w:r>
            <w:r>
              <w:rPr>
                <w:noProof/>
                <w:color w:val="000000"/>
                <w:sz w:val="22"/>
              </w:rPr>
              <w:t xml:space="preserve"> képviselőházai:</w:t>
            </w:r>
            <w:r>
              <w:rPr>
                <w:noProof/>
                <w:color w:val="000000"/>
                <w:sz w:val="22"/>
                <w:szCs w:val="22"/>
              </w:rPr>
              <w:br/>
            </w:r>
            <w:r>
              <w:rPr>
                <w:i/>
                <w:noProof/>
                <w:color w:val="000000"/>
                <w:sz w:val="22"/>
              </w:rPr>
              <w:t>Dáil</w:t>
            </w:r>
            <w:r>
              <w:rPr>
                <w:noProof/>
                <w:color w:val="000000"/>
                <w:sz w:val="22"/>
              </w:rPr>
              <w:t xml:space="preserve"> </w:t>
            </w:r>
            <w:r>
              <w:rPr>
                <w:i/>
                <w:noProof/>
                <w:color w:val="000000"/>
                <w:sz w:val="22"/>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Ausztria</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Belgium</w:t>
            </w:r>
          </w:p>
        </w:tc>
        <w:tc>
          <w:tcPr>
            <w:tcW w:w="3609" w:type="dxa"/>
            <w:shd w:val="clear" w:color="auto" w:fill="auto"/>
            <w:vAlign w:val="center"/>
          </w:tcPr>
          <w:p>
            <w:pPr>
              <w:jc w:val="center"/>
              <w:rPr>
                <w:i/>
                <w:iCs/>
                <w:noProof/>
                <w:color w:val="000000"/>
                <w:sz w:val="22"/>
                <w:szCs w:val="22"/>
              </w:rPr>
            </w:pPr>
            <w:r>
              <w:rPr>
                <w:i/>
                <w:noProof/>
                <w:color w:val="000000"/>
                <w:sz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Bulgária</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Luxemburg</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Málta</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Szlovénia</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Észtország</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Finnország</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Lettország</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Szlovénia</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ÖSSZESEN</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2. MELLÉKLET</w:t>
      </w:r>
    </w:p>
    <w:p>
      <w:pPr>
        <w:spacing w:after="240"/>
        <w:jc w:val="center"/>
        <w:rPr>
          <w:b/>
          <w:noProof/>
        </w:rPr>
      </w:pPr>
      <w:r>
        <w:rPr>
          <w:b/>
          <w:noProof/>
        </w:rPr>
        <w:t>Azon bizottsági dokumentumok, amelyekkel kapcsolatban 2017-ben a legtöbb vélemény érkezett a Bizottsághoz</w:t>
      </w:r>
      <w:r>
        <w:rPr>
          <w:rStyle w:val="FootnoteReference"/>
          <w:noProof/>
        </w:rPr>
        <w:footnoteReference w:id="4"/>
      </w:r>
      <w:r>
        <w:rPr>
          <w:b/>
          <w:noProof/>
        </w:rPr>
        <w:t xml:space="preserve"> (politikai párbeszéd és szubszidiaritás-ellenőrzési mechanizmus)</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244"/>
        <w:gridCol w:w="1263"/>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Bizottsági</w:t>
            </w:r>
            <w:r>
              <w:rPr>
                <w:b/>
                <w:bCs/>
                <w:noProof/>
                <w:color w:val="000000"/>
                <w:sz w:val="22"/>
                <w:szCs w:val="22"/>
              </w:rPr>
              <w:br/>
            </w:r>
            <w:r>
              <w:rPr>
                <w:b/>
                <w:noProof/>
                <w:color w:val="000000"/>
                <w:sz w:val="22"/>
              </w:rPr>
              <w:t>dokumentum</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Cím</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Vélemények</w:t>
            </w:r>
            <w:r>
              <w:rPr>
                <w:b/>
                <w:bCs/>
                <w:noProof/>
                <w:color w:val="000000"/>
                <w:sz w:val="22"/>
                <w:szCs w:val="22"/>
              </w:rPr>
              <w:br/>
            </w:r>
            <w:r>
              <w:rPr>
                <w:b/>
                <w:noProof/>
                <w:color w:val="000000"/>
                <w:sz w:val="22"/>
              </w:rPr>
              <w:t>száma</w:t>
            </w:r>
            <w:r>
              <w:rPr>
                <w:b/>
                <w:bCs/>
                <w:noProof/>
                <w:color w:val="000000"/>
                <w:sz w:val="22"/>
                <w:szCs w:val="22"/>
              </w:rPr>
              <w:br/>
            </w:r>
            <w:r>
              <w:rPr>
                <w:b/>
                <w:noProof/>
                <w:color w:val="000000"/>
                <w:sz w:val="22"/>
              </w:rPr>
              <w:t>összesen</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Ezek között</w:t>
            </w:r>
            <w:r>
              <w:rPr>
                <w:b/>
                <w:bCs/>
                <w:noProof/>
                <w:color w:val="000000"/>
                <w:sz w:val="22"/>
                <w:szCs w:val="22"/>
              </w:rPr>
              <w:br/>
            </w:r>
            <w:r>
              <w:rPr>
                <w:b/>
                <w:noProof/>
                <w:color w:val="000000"/>
                <w:sz w:val="22"/>
              </w:rPr>
              <w:t>az indokolt vélemények</w:t>
            </w:r>
            <w:r>
              <w:rPr>
                <w:b/>
                <w:bCs/>
                <w:noProof/>
                <w:color w:val="000000"/>
                <w:sz w:val="22"/>
                <w:szCs w:val="22"/>
              </w:rPr>
              <w:br/>
            </w:r>
            <w:r>
              <w:rPr>
                <w:b/>
                <w:noProof/>
                <w:color w:val="000000"/>
                <w:sz w:val="22"/>
              </w:rPr>
              <w:t>száma</w:t>
            </w:r>
            <w:r>
              <w:rPr>
                <w:b/>
                <w:bCs/>
                <w:noProof/>
                <w:color w:val="000000"/>
                <w:sz w:val="22"/>
                <w:szCs w:val="22"/>
              </w:rPr>
              <w:br/>
            </w:r>
            <w:r>
              <w:rPr>
                <w:b/>
                <w:noProof/>
                <w:color w:val="000000"/>
                <w:sz w:val="22"/>
              </w:rPr>
              <w:t>(2. jegyzőkönyv)</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Javaslat: Az Európai Parlament és a Tanács rendelete </w:t>
            </w:r>
            <w:r>
              <w:rPr>
                <w:b/>
                <w:noProof/>
                <w:color w:val="000000"/>
                <w:sz w:val="22"/>
              </w:rPr>
              <w:t>a villamos energia belső piacáról</w:t>
            </w:r>
            <w:r>
              <w:rPr>
                <w:noProof/>
                <w:color w:val="000000"/>
                <w:sz w:val="22"/>
              </w:rPr>
              <w:t xml:space="preserve"> (átdolgozás)</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 szülők és a gondozók vonatkozásában a munka és a magánélet közötti egyensúly megteremtéséről</w:t>
            </w:r>
            <w:r>
              <w:rPr>
                <w:noProof/>
                <w:color w:val="000000"/>
                <w:sz w:val="22"/>
              </w:rPr>
              <w:t>, valamint a 2010/18/EU tanácsi irányelv hatályon kívül helyezéséről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 villamos energia belső piacára vonatkozó közös szabályokról</w:t>
            </w:r>
            <w:r>
              <w:rPr>
                <w:noProof/>
                <w:color w:val="000000"/>
                <w:sz w:val="22"/>
              </w:rPr>
              <w:t xml:space="preserve"> (átdolgozás)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 megújuló energiaforrásokból előállított energia használatának támogatásáról</w:t>
            </w:r>
            <w:r>
              <w:rPr>
                <w:noProof/>
                <w:color w:val="000000"/>
                <w:sz w:val="22"/>
              </w:rPr>
              <w:t xml:space="preserve"> (átdolgozás)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Javaslat: Az Európai Parlament és a Tanács rendelete </w:t>
            </w:r>
            <w:r>
              <w:rPr>
                <w:b/>
                <w:noProof/>
                <w:color w:val="000000"/>
                <w:sz w:val="22"/>
              </w:rPr>
              <w:t>az elektronikus hírközlés során a magánélet tiszteletben tartásáról és a személyes adatok védelméről</w:t>
            </w:r>
            <w:r>
              <w:rPr>
                <w:noProof/>
                <w:color w:val="000000"/>
                <w:sz w:val="22"/>
              </w:rPr>
              <w:t>, valamint a 2002/58/EK irányelv hatályon kívül helyezéséről (elektronikus hírközlési adatvédelmi rendelet)</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 szakmák új szabályozásának elfogadását megelőző arányossági tesztről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rendelete </w:t>
            </w:r>
            <w:r>
              <w:rPr>
                <w:b/>
                <w:noProof/>
                <w:color w:val="000000"/>
                <w:sz w:val="22"/>
              </w:rPr>
              <w:t>az Energiaszabályozók Európai Uniós Együttműködési Ügynöksége létrehozásáról</w:t>
            </w:r>
            <w:r>
              <w:rPr>
                <w:noProof/>
                <w:color w:val="000000"/>
                <w:sz w:val="22"/>
              </w:rPr>
              <w:t xml:space="preserve"> (átdolgozás)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a belső piaci szolgáltatásokról szóló 2006/123/EK irányelv végrehajtásáról, </w:t>
            </w:r>
            <w:r>
              <w:rPr>
                <w:b/>
                <w:noProof/>
                <w:color w:val="000000"/>
                <w:sz w:val="22"/>
              </w:rPr>
              <w:t>a szolgáltatásokhoz kapcsolódó engedélyezési rendszerekre és követelményekre vonatkozó értesítési eljárás</w:t>
            </w:r>
            <w:r>
              <w:rPr>
                <w:noProof/>
                <w:color w:val="000000"/>
                <w:sz w:val="22"/>
              </w:rPr>
              <w:t xml:space="preserve"> megállapításáról, valamint a 2006/123/EK irányelv és </w:t>
            </w:r>
            <w:r>
              <w:rPr>
                <w:b/>
                <w:noProof/>
                <w:color w:val="000000"/>
                <w:sz w:val="22"/>
              </w:rPr>
              <w:t>a belső piaci információs rendszer keretében történő igazgatási együttműködésről</w:t>
            </w:r>
            <w:r>
              <w:rPr>
                <w:noProof/>
                <w:color w:val="000000"/>
                <w:sz w:val="22"/>
              </w:rPr>
              <w:t xml:space="preserve"> szóló 1024/2012/EU rendelet módosításáról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rendelete </w:t>
            </w:r>
            <w:r>
              <w:rPr>
                <w:b/>
                <w:noProof/>
                <w:color w:val="000000"/>
                <w:sz w:val="22"/>
              </w:rPr>
              <w:t>a szociális biztonsági rendszerek koordinálásáról</w:t>
            </w:r>
            <w:r>
              <w:rPr>
                <w:noProof/>
                <w:color w:val="000000"/>
                <w:sz w:val="22"/>
              </w:rPr>
              <w:t xml:space="preserve"> szóló 883/2004/EK rendelet, valamint a 883/2004/EK rendelet végrehajtására vonatkozó eljárás megállapításáról szóló 987/2009/EK rendelet módosításáról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rPr>
              <w:t>A Bizottság 2017. évi munkaprogramja:</w:t>
            </w:r>
            <w:r>
              <w:rPr>
                <w:noProof/>
                <w:color w:val="000000"/>
                <w:sz w:val="22"/>
              </w:rPr>
              <w:t xml:space="preserve"> Építsünk olyan Európát, amely védelmet nyújt, eszközöket ad polgárai kezébe és garantálja a biztonságot</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az épületek energiahatékonyságáról</w:t>
            </w:r>
            <w:r>
              <w:rPr>
                <w:noProof/>
                <w:color w:val="000000"/>
                <w:sz w:val="22"/>
              </w:rPr>
              <w:t xml:space="preserve"> szóló 2010/31/EU irányelv módosításáról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irányelve </w:t>
            </w:r>
            <w:r>
              <w:rPr>
                <w:b/>
                <w:noProof/>
                <w:color w:val="000000"/>
                <w:sz w:val="22"/>
              </w:rPr>
              <w:t>a megelőző szerkezetátalakítás kereteiről, a második esélyről, a szerkezetátalakítási, fizetésképtelenségi és mentesítési eljárások hatékonyságának növelését célzó intézkedésekről</w:t>
            </w:r>
            <w:r>
              <w:rPr>
                <w:noProof/>
                <w:color w:val="000000"/>
                <w:sz w:val="22"/>
              </w:rPr>
              <w:t xml:space="preserve"> és a 2012/30/EU irányelv módosításáról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rendelete </w:t>
            </w:r>
            <w:r>
              <w:rPr>
                <w:b/>
                <w:noProof/>
                <w:color w:val="000000"/>
                <w:sz w:val="22"/>
              </w:rPr>
              <w:t>az energiaunió irányításáról</w:t>
            </w:r>
            <w:r>
              <w:rPr>
                <w:noProof/>
                <w:color w:val="000000"/>
                <w:sz w:val="22"/>
              </w:rPr>
              <w:t>, valamint a 94/22/EK irányelv, a 98/70/EK irányelv, a 2009/31/EK irányelv, a 663/2009/EK rendelet, a 715/2009/EK rendelet, a 2009/73/EK irányelv, a 2009/119/EK tanácsi irányelv, a 2010/31/EU irányelv, a 2012/27/EU irányelv, a 2013/30/EU irányelv és az (EU) 2015/652 tanácsi irányelv módosításáról és az 525/2013/EU rendelet hatályon kívül helyezéséről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Javaslat: Az Európai Parlament és a Tanács rendelete az 561/2006/EK rendeletnek </w:t>
            </w:r>
            <w:r>
              <w:rPr>
                <w:b/>
                <w:noProof/>
                <w:color w:val="000000"/>
                <w:sz w:val="22"/>
              </w:rPr>
              <w:t>a maximális napi és heti vezetési időre</w:t>
            </w:r>
            <w:r>
              <w:rPr>
                <w:noProof/>
                <w:color w:val="000000"/>
                <w:sz w:val="22"/>
              </w:rPr>
              <w:t xml:space="preserve">, a minimum szünetekre, napi és heti pihenőidőre </w:t>
            </w:r>
            <w:r>
              <w:rPr>
                <w:b/>
                <w:noProof/>
                <w:color w:val="000000"/>
                <w:sz w:val="22"/>
              </w:rPr>
              <w:t>vonatkozó követelményei</w:t>
            </w:r>
            <w:r>
              <w:rPr>
                <w:noProof/>
                <w:color w:val="000000"/>
                <w:sz w:val="22"/>
              </w:rPr>
              <w:t xml:space="preserve"> tekintetében és a 165/2014/EU rendeletnek a </w:t>
            </w:r>
            <w:r>
              <w:rPr>
                <w:b/>
                <w:noProof/>
                <w:color w:val="000000"/>
                <w:sz w:val="22"/>
              </w:rPr>
              <w:t>menetíró készülékkel</w:t>
            </w:r>
            <w:r>
              <w:rPr>
                <w:noProof/>
                <w:color w:val="000000"/>
                <w:sz w:val="22"/>
              </w:rPr>
              <w:t xml:space="preserve"> történő helymeghatározás tekintetében történő módosításáról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3. MELLÉKLET</w:t>
      </w:r>
    </w:p>
    <w:p>
      <w:pPr>
        <w:spacing w:after="240"/>
        <w:jc w:val="center"/>
        <w:rPr>
          <w:b/>
          <w:noProof/>
        </w:rPr>
      </w:pPr>
      <w:r>
        <w:rPr>
          <w:b/>
          <w:noProof/>
        </w:rPr>
        <w:t>A Bizottsághoz 2017-ben benyújtott vélemények száma illetékes bizottsági szolgálatonként (politikai párbeszéd és szubszidiaritás-ellenőrzési mechanizmus)</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7238"/>
        <w:gridCol w:w="1902"/>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Illetékes bizottsági szolgálat</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Vélemények</w:t>
            </w:r>
            <w:r>
              <w:rPr>
                <w:rFonts w:ascii="Times New Roman" w:hAnsi="Times New Roman" w:cs="Times New Roman"/>
                <w:b/>
                <w:noProof/>
                <w:sz w:val="22"/>
              </w:rPr>
              <w:br/>
            </w:r>
            <w:r>
              <w:rPr>
                <w:rFonts w:ascii="Times New Roman" w:hAnsi="Times New Roman"/>
                <w:b/>
                <w:noProof/>
                <w:sz w:val="22"/>
              </w:rPr>
              <w:t>száma összesen</w:t>
            </w:r>
            <w:r>
              <w:rPr>
                <w:rStyle w:val="FootnoteReference"/>
                <w:rFonts w:ascii="Times New Roman" w:hAnsi="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Főtitkárság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Energiaügyi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Belső Piaci, Ipar-, Vállalkozás- és Kkv-politikai Főigazgatóság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Migrációügyi és Uniós Belügyi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Jogérvényesülési és Fogyasztópolitikai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Mobilitáspolitikai és Közlekedési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A Pénzügyi Stabilitás, a Pénzügyi Szolgáltatások és a Tőkepiaci Unió Főigazgatósága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A Tartalmak, Technológiák és Kommunikációs Hálózatok Főigazgatósága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Adóügyi és Vámuniós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Oktatásügyi, Ifjúságpolitikai, Sportügyi és Kulturális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A Foglalkoztatás, a Szociális Ügyek és a Társadalmi Befogadás Főigazgatósága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Mezőgazdasági és Vidékfejlesztési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Környezetvédelmi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Európai Külügyi Szolgálat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Kereskedelmi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„50. cikk” munkacsoport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Eurostat Főigazgatóság – Európai statisztikák</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Versenypolitikai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Regionális és Várospolitikai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Költségvetési Főigazgatóság</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Gazdasági és Pénzügyi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Tengerügyi és Halászati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A Nemzetközi Együttműködés és a Fejlesztés Főigazgatósága</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Az Európai Szomszédságpolitika és a Csatlakozási Tárgyalások Főigazgatósága</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Kutatási és Innovációs Főigazgatóság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Egészségügyi és Élelmiszerbiztonsági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Éghajlatpolitikai Főigazgatóság</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ÖSSZESEN</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A nemzeti parlamentektől kapott véleményeket és indokolt véleményeket egyaránt magába foglalja.</w:t>
      </w:r>
    </w:p>
  </w:footnote>
  <w:footnote w:id="2">
    <w:p>
      <w:pPr>
        <w:pStyle w:val="FootnoteText"/>
        <w:ind w:left="284" w:hanging="284"/>
      </w:pPr>
      <w:r>
        <w:rPr>
          <w:rStyle w:val="FootnoteReference"/>
        </w:rPr>
        <w:footnoteRef/>
      </w:r>
      <w:r>
        <w:t xml:space="preserve"> </w:t>
      </w:r>
      <w:r>
        <w:tab/>
        <w:t>Ahhoz, hogy egy vélemény a 2. jegyzőkönyv értelmében vett indokolt véleménynek minősüljön, egyértelműen meg kell állapítani a szubszidiaritás elvének megsértését, és a véleményt a jogalkotási javaslatnak a nemzeti parlamentekhez való eljuttatásától számított nyolc héten belül meg kell küldeni a Bizottságnak.</w:t>
      </w:r>
    </w:p>
  </w:footnote>
  <w:footnote w:id="3">
    <w:p>
      <w:pPr>
        <w:pStyle w:val="FootnoteText"/>
        <w:ind w:left="284" w:hanging="284"/>
      </w:pPr>
      <w:r>
        <w:rPr>
          <w:rStyle w:val="FootnoteReference"/>
        </w:rPr>
        <w:footnoteRef/>
      </w:r>
      <w:r>
        <w:t xml:space="preserve">    Két kamarától kapott 38 közös véleményként számítva.</w:t>
      </w:r>
    </w:p>
  </w:footnote>
  <w:footnote w:id="4">
    <w:p>
      <w:pPr>
        <w:pStyle w:val="FootnoteText"/>
        <w:tabs>
          <w:tab w:val="left" w:pos="284"/>
        </w:tabs>
        <w:ind w:left="284" w:hanging="284"/>
      </w:pPr>
      <w:r>
        <w:rPr>
          <w:rStyle w:val="FootnoteReference"/>
        </w:rPr>
        <w:footnoteRef/>
      </w:r>
      <w:r>
        <w:t xml:space="preserve"> </w:t>
      </w:r>
      <w:r>
        <w:tab/>
        <w:t>A táblázat az összes olyan bizottsági dokumentumot felsorolja, amellyel kapcsolatban legalább hét vélemény érkezett.</w:t>
      </w:r>
    </w:p>
  </w:footnote>
  <w:footnote w:id="5">
    <w:p>
      <w:pPr>
        <w:pStyle w:val="FootnoteText"/>
        <w:ind w:left="284" w:hanging="284"/>
      </w:pPr>
      <w:r>
        <w:rPr>
          <w:rStyle w:val="FootnoteReference"/>
        </w:rPr>
        <w:footnoteRef/>
      </w:r>
      <w:r>
        <w:t xml:space="preserve"> </w:t>
      </w:r>
      <w:r>
        <w:tab/>
        <w:t>A nemzeti parlamentektől kapott véleményeket és indokolt véleményeket egyaránt magába foglalja.</w:t>
      </w:r>
    </w:p>
  </w:footnote>
  <w:footnote w:id="6">
    <w:p>
      <w:pPr>
        <w:pStyle w:val="FootnoteText"/>
        <w:ind w:left="284" w:hanging="284"/>
      </w:pPr>
      <w:r>
        <w:rPr>
          <w:rStyle w:val="FootnoteReference"/>
        </w:rPr>
        <w:footnoteRef/>
      </w:r>
      <w:r>
        <w:t xml:space="preserve"> </w:t>
      </w:r>
      <w:r>
        <w:tab/>
        <w:t>Ahhoz, hogy egy vélemény a 2. jegyzőkönyv értelmében vett indokolt véleménynek minősüljön, egyértelműen meg kell állapítani a szubszidiaritás elvének megsértését, és a véleményt a jogalkotási javaslatnak a nemzeti parlamentekhez való eljuttatásától számított nyolc héten belül meg kell küldeni a Bizottságnak.</w:t>
      </w:r>
    </w:p>
  </w:footnote>
  <w:footnote w:id="7">
    <w:p>
      <w:pPr>
        <w:pStyle w:val="FootnoteText"/>
        <w:ind w:left="284" w:hanging="284"/>
      </w:pPr>
      <w:r>
        <w:rPr>
          <w:rStyle w:val="FootnoteReference"/>
        </w:rPr>
        <w:footnoteRef/>
      </w:r>
      <w:r>
        <w:t xml:space="preserve"> </w:t>
      </w:r>
      <w:r>
        <w:tab/>
        <w:t xml:space="preserve">Az erre a bizottsági dokumentumra vonatkozó vélemények egyike, amelyet a cseh </w:t>
      </w:r>
      <w:r>
        <w:rPr>
          <w:i/>
        </w:rPr>
        <w:t>Senát</w:t>
      </w:r>
      <w:r>
        <w:t xml:space="preserve"> nyújtott be, a COM(2016) 864, a COM(2016) 862, a COM(2016) 863 és a COM(2016) 861 dokumentumra együttesen vonatkozott. A portugál </w:t>
      </w:r>
      <w:r>
        <w:rPr>
          <w:i/>
        </w:rPr>
        <w:t>Assembleia da República</w:t>
      </w:r>
      <w:r>
        <w:t xml:space="preserve"> véleménye a COM(2016) 864, a COM(2016) 863 és a COM(2016) 861 dokumentumra együttesen vonatkozott. </w:t>
      </w:r>
    </w:p>
  </w:footnote>
  <w:footnote w:id="8">
    <w:p>
      <w:pPr>
        <w:pStyle w:val="FootnoteText"/>
        <w:ind w:left="284" w:hanging="284"/>
      </w:pPr>
      <w:r>
        <w:rPr>
          <w:rStyle w:val="FootnoteReference"/>
        </w:rPr>
        <w:footnoteRef/>
      </w:r>
      <w:r>
        <w:t xml:space="preserve"> </w:t>
      </w:r>
      <w:r>
        <w:tab/>
        <w:t xml:space="preserve">Két vélemény, amelyet a portugál </w:t>
      </w:r>
      <w:r>
        <w:rPr>
          <w:i/>
        </w:rPr>
        <w:t>Assembleia da República</w:t>
      </w:r>
      <w:r>
        <w:t xml:space="preserve"> és a román </w:t>
      </w:r>
      <w:r>
        <w:rPr>
          <w:i/>
        </w:rPr>
        <w:t>Camera Deputaților</w:t>
      </w:r>
      <w:r>
        <w:t xml:space="preserve"> nyújtott be, a COM(2017) 253 és a COM(2017) 252 dokumentumra együttesen vonatkozott. </w:t>
      </w:r>
    </w:p>
  </w:footnote>
  <w:footnote w:id="9">
    <w:p>
      <w:pPr>
        <w:pStyle w:val="FootnoteText"/>
        <w:ind w:left="284" w:hanging="284"/>
      </w:pPr>
      <w:r>
        <w:rPr>
          <w:rStyle w:val="FootnoteReference"/>
        </w:rPr>
        <w:footnoteRef/>
      </w:r>
      <w:r>
        <w:t xml:space="preserve"> </w:t>
      </w:r>
      <w:r>
        <w:tab/>
        <w:t xml:space="preserve">Az erre a bizottsági dokumentumra vonatkozó vélemények egyike, amelyet a spanyol </w:t>
      </w:r>
      <w:r>
        <w:rPr>
          <w:i/>
        </w:rPr>
        <w:t>Cortes Generales</w:t>
      </w:r>
      <w:r>
        <w:t xml:space="preserve"> nyújtott be, a COM(2016) 864 és a COM(2016) 767 dokumentumra együttesen vonatkozott. A cseh </w:t>
      </w:r>
      <w:r>
        <w:rPr>
          <w:i/>
        </w:rPr>
        <w:t>Senát</w:t>
      </w:r>
      <w:r>
        <w:t xml:space="preserve"> véleménye a COM(2016) 864, a COM(2016) 862, a COM(2016) 863 és a COM(2016) 861 dokumentumra együttesen vonatkozott. A portugál </w:t>
      </w:r>
      <w:r>
        <w:rPr>
          <w:i/>
        </w:rPr>
        <w:t>Assembleia da República</w:t>
      </w:r>
      <w:r>
        <w:t xml:space="preserve"> véleménye a COM(2016) 864, a COM(2016) 863 és a COM(2016) 861 dokumentumra együttesen vonatkozott.</w:t>
      </w:r>
    </w:p>
  </w:footnote>
  <w:footnote w:id="10">
    <w:p>
      <w:pPr>
        <w:pStyle w:val="FootnoteText"/>
        <w:ind w:left="284" w:hanging="284"/>
      </w:pPr>
      <w:r>
        <w:rPr>
          <w:rStyle w:val="FootnoteReference"/>
        </w:rPr>
        <w:footnoteRef/>
      </w:r>
      <w:r>
        <w:t xml:space="preserve"> </w:t>
      </w:r>
      <w:r>
        <w:tab/>
        <w:t xml:space="preserve">Az erre a bizottsági dokumentumra vonatkozó vélemények egyike, amelyet a cseh </w:t>
      </w:r>
      <w:r>
        <w:rPr>
          <w:i/>
        </w:rPr>
        <w:t>Senát</w:t>
      </w:r>
      <w:r>
        <w:t xml:space="preserve"> nyújtott be, a COM(2016) 759 és a COM(2016) 767 dokumentumra együttesen vonatkozott. A cseh </w:t>
      </w:r>
      <w:r>
        <w:rPr>
          <w:i/>
        </w:rPr>
        <w:t>Poslanecká sněmovna</w:t>
      </w:r>
      <w:r>
        <w:t xml:space="preserve"> véleménye a COM(2016) 759, a COM(2016) 767, a COM(2016) 761 és a COM(2016) 760 dokumentumra együttesen vonatkozott.</w:t>
      </w:r>
    </w:p>
  </w:footnote>
  <w:footnote w:id="11">
    <w:p>
      <w:pPr>
        <w:pStyle w:val="FootnoteText"/>
        <w:ind w:left="284" w:hanging="284"/>
      </w:pPr>
      <w:r>
        <w:rPr>
          <w:rStyle w:val="FootnoteReference"/>
        </w:rPr>
        <w:footnoteRef/>
      </w:r>
      <w:r>
        <w:t xml:space="preserve"> </w:t>
      </w:r>
      <w:r>
        <w:tab/>
        <w:t xml:space="preserve">Az erre a bizottsági dokumentumra vonatkozó vélemények egyike, amelyet a cseh </w:t>
      </w:r>
      <w:r>
        <w:rPr>
          <w:i/>
        </w:rPr>
        <w:t>Poslanecká sněmovna</w:t>
      </w:r>
      <w:r>
        <w:t xml:space="preserve"> nyújtott be, a COM(2017) 10, a COM(2017) 8 és a COM(2017) 7 dokumentumra együttesen vonatkozott. </w:t>
      </w:r>
    </w:p>
  </w:footnote>
  <w:footnote w:id="12">
    <w:p>
      <w:pPr>
        <w:pStyle w:val="FootnoteText"/>
        <w:ind w:left="284" w:hanging="284"/>
      </w:pPr>
      <w:r>
        <w:rPr>
          <w:rStyle w:val="FootnoteReference"/>
        </w:rPr>
        <w:footnoteRef/>
      </w:r>
      <w:r>
        <w:t xml:space="preserve"> </w:t>
      </w:r>
      <w:r>
        <w:tab/>
        <w:t xml:space="preserve">Az erre a bizottsági dokumentumra vonatkozó vélemények egyike, amelyet a portugál </w:t>
      </w:r>
      <w:r>
        <w:rPr>
          <w:i/>
        </w:rPr>
        <w:t>Assembleia da República</w:t>
      </w:r>
      <w:r>
        <w:t xml:space="preserve"> nyújtott be, a COM(2016) 824, a COM(2016) 823, a COM(2016) 821, a COM(2016) 822 és a COM(2016) 820 dokumentumra együttesen vonatkozott. A spanyol </w:t>
      </w:r>
      <w:r>
        <w:rPr>
          <w:i/>
        </w:rPr>
        <w:t>Cortes Generales</w:t>
      </w:r>
      <w:r>
        <w:t xml:space="preserve"> véleménye a COM(2016) 824, a COM(2016) 823 és a COM(2016) 822 dokumentumra együttesen vonatkozott.</w:t>
      </w:r>
    </w:p>
  </w:footnote>
  <w:footnote w:id="13">
    <w:p>
      <w:pPr>
        <w:pStyle w:val="FootnoteText"/>
        <w:ind w:left="284" w:hanging="284"/>
      </w:pPr>
      <w:r>
        <w:rPr>
          <w:rStyle w:val="FootnoteReference"/>
        </w:rPr>
        <w:footnoteRef/>
      </w:r>
      <w:r>
        <w:t xml:space="preserve"> </w:t>
      </w:r>
      <w:r>
        <w:tab/>
        <w:t xml:space="preserve">Az erre a bizottsági dokumentumra vonatkozó vélemények egyike, amelyet a cseh </w:t>
      </w:r>
      <w:r>
        <w:rPr>
          <w:i/>
        </w:rPr>
        <w:t>Senát</w:t>
      </w:r>
      <w:r>
        <w:t xml:space="preserve"> nyújtott be, a COM(2016) 864, a COM(2016) 862, a COM(2016) 863 és a COM(2016) 861 dokumentumra együttesen vonatkozott. A portugál </w:t>
      </w:r>
      <w:r>
        <w:rPr>
          <w:i/>
        </w:rPr>
        <w:t>Assembleia da República</w:t>
      </w:r>
      <w:r>
        <w:t xml:space="preserve"> véleménye a COM(2016) 864, a COM(2016) 863 és a COM(2016) 861 dokumentumra együttesen vonatkozott. A francia </w:t>
      </w:r>
      <w:r>
        <w:rPr>
          <w:i/>
        </w:rPr>
        <w:t>Senát</w:t>
      </w:r>
      <w:r>
        <w:t xml:space="preserve"> véleménye a COM(2016) 863 és a COM(2016) 861 dokumentumra együttesen vonatkozott. Az osztrák </w:t>
      </w:r>
      <w:r>
        <w:rPr>
          <w:i/>
        </w:rPr>
        <w:t>Bundesrat</w:t>
      </w:r>
      <w:r>
        <w:t xml:space="preserve"> véleménye a COM(2016) 862 és a COM(2016) 863 dokumentumra együttesen vonatkozott.</w:t>
      </w:r>
    </w:p>
  </w:footnote>
  <w:footnote w:id="14">
    <w:p>
      <w:pPr>
        <w:pStyle w:val="FootnoteText"/>
        <w:ind w:left="284" w:hanging="284"/>
      </w:pPr>
      <w:r>
        <w:rPr>
          <w:rStyle w:val="FootnoteReference"/>
        </w:rPr>
        <w:footnoteRef/>
      </w:r>
      <w:r>
        <w:t xml:space="preserve"> </w:t>
      </w:r>
      <w:r>
        <w:tab/>
        <w:t xml:space="preserve">Az erre a bizottsági dokumentumra vonatkozó vélemények egyike, amelyet a portugál </w:t>
      </w:r>
      <w:r>
        <w:rPr>
          <w:i/>
        </w:rPr>
        <w:t>Assembleia da República</w:t>
      </w:r>
      <w:r>
        <w:t xml:space="preserve"> nyújtott be, a COM(2016) 824, a COM(2016) 823, a COM(2016) 863, a COM(2016) 822 és a COM(2016) 820 dokumentumra együttesen vonatkozott. </w:t>
      </w:r>
    </w:p>
  </w:footnote>
  <w:footnote w:id="15">
    <w:p>
      <w:pPr>
        <w:pStyle w:val="FootnoteText"/>
        <w:ind w:left="284" w:hanging="284"/>
      </w:pPr>
      <w:r>
        <w:rPr>
          <w:rStyle w:val="FootnoteReference"/>
        </w:rPr>
        <w:footnoteRef/>
      </w:r>
      <w:r>
        <w:t xml:space="preserve"> </w:t>
      </w:r>
      <w:r>
        <w:tab/>
        <w:t xml:space="preserve">Két vélemény, amelyet az osztrák </w:t>
      </w:r>
      <w:r>
        <w:rPr>
          <w:i/>
        </w:rPr>
        <w:t>Bundesrat</w:t>
      </w:r>
      <w:r>
        <w:t xml:space="preserve"> és a portugál </w:t>
      </w:r>
      <w:r>
        <w:rPr>
          <w:i/>
        </w:rPr>
        <w:t>Assembleia da República</w:t>
      </w:r>
      <w:r>
        <w:t xml:space="preserve"> nyújtott be, a COM(2016) 765 és a COM(2016) 761 dokumentumra együttesen vonatkozott. A cseh </w:t>
      </w:r>
      <w:r>
        <w:rPr>
          <w:i/>
        </w:rPr>
        <w:t>Senát</w:t>
      </w:r>
      <w:r>
        <w:t xml:space="preserve"> véleménye a COM(2017) 277, a COM(2016) 765 és a COM(2016) 761 dokumentumra együttesen vonatkozott. </w:t>
      </w:r>
    </w:p>
  </w:footnote>
  <w:footnote w:id="16">
    <w:p>
      <w:pPr>
        <w:pStyle w:val="FootnoteText"/>
        <w:ind w:left="284" w:hanging="284"/>
      </w:pPr>
      <w:r>
        <w:rPr>
          <w:rStyle w:val="FootnoteReference"/>
        </w:rPr>
        <w:footnoteRef/>
      </w:r>
      <w:r>
        <w:t xml:space="preserve"> </w:t>
      </w:r>
      <w:r>
        <w:tab/>
        <w:t xml:space="preserve">Az erre a bizottsági dokumentumra vonatkozó vélemények egyike, amelyet a cseh </w:t>
      </w:r>
      <w:r>
        <w:rPr>
          <w:i/>
        </w:rPr>
        <w:t>Senát</w:t>
      </w:r>
      <w:r>
        <w:t xml:space="preserve"> nyújtott be, a COM(2016) 759 és a COM(2016) 767 dokumentumra együttesen vonatkozott. A cseh </w:t>
      </w:r>
      <w:r>
        <w:rPr>
          <w:i/>
        </w:rPr>
        <w:t>Poslanecká sněmovna</w:t>
      </w:r>
      <w:r>
        <w:t xml:space="preserve"> véleménye a COM(2016) 759, a COM(2016) 767, a COM(2016) 761 és a COM(2016) 860 dokumentumra együttesen vonatkozott. A</w:t>
      </w:r>
      <w:r>
        <w:rPr>
          <w:i/>
        </w:rPr>
        <w:t xml:space="preserve"> </w:t>
      </w:r>
      <w:r>
        <w:t xml:space="preserve">lengyel </w:t>
      </w:r>
      <w:r>
        <w:rPr>
          <w:i/>
        </w:rPr>
        <w:t>Sejm</w:t>
      </w:r>
      <w:r>
        <w:t xml:space="preserve"> véleménye a COM(2016) 759 és a COM(2016) 860 dokumentumra együttesen vonatkozott. A</w:t>
      </w:r>
      <w:r>
        <w:rPr>
          <w:i/>
        </w:rPr>
        <w:t xml:space="preserve"> </w:t>
      </w:r>
      <w:r>
        <w:t xml:space="preserve">spanyol </w:t>
      </w:r>
      <w:r>
        <w:rPr>
          <w:i/>
        </w:rPr>
        <w:t>Cortes Generales</w:t>
      </w:r>
      <w:r>
        <w:t xml:space="preserve"> véleménye a COM(2016) 759 és a COM(2016) 862 dokumentumra együttesen vonatkozott. </w:t>
      </w:r>
    </w:p>
  </w:footnote>
  <w:footnote w:id="17">
    <w:p>
      <w:pPr>
        <w:pStyle w:val="FootnoteText"/>
        <w:ind w:left="284" w:hanging="284"/>
      </w:pPr>
      <w:r>
        <w:rPr>
          <w:rStyle w:val="FootnoteReference"/>
        </w:rPr>
        <w:footnoteRef/>
      </w:r>
      <w:r>
        <w:t xml:space="preserve"> </w:t>
      </w:r>
      <w:r>
        <w:tab/>
        <w:t xml:space="preserve">Két vélemény, amelyet a magyar </w:t>
      </w:r>
      <w:r>
        <w:rPr>
          <w:i/>
        </w:rPr>
        <w:t>Országgyűlés</w:t>
      </w:r>
      <w:r>
        <w:t xml:space="preserve"> és a portugál </w:t>
      </w:r>
      <w:r>
        <w:rPr>
          <w:i/>
        </w:rPr>
        <w:t>Assembleia da República</w:t>
      </w:r>
      <w:r>
        <w:t xml:space="preserve"> nyújtott be, a COM(2017) 277 és a COM(2017) 278 dokumentumra együttesen vonatkozott. A francia </w:t>
      </w:r>
      <w:r>
        <w:rPr>
          <w:i/>
        </w:rPr>
        <w:t>Sénat</w:t>
      </w:r>
      <w:r>
        <w:t xml:space="preserve"> véleménye együttesen a COM(2017) 277, a COM(2017) 278 és a COM(2017) 281 dokumentumra együttesen vonatkozott. A cseh </w:t>
      </w:r>
      <w:r>
        <w:rPr>
          <w:i/>
        </w:rPr>
        <w:t>Senát</w:t>
      </w:r>
      <w:r>
        <w:t xml:space="preserve"> véleménye a COM(2017) 282, a COM(2017) 277, a COM(2017) 278 és a COM(2017) 281 dokumentumra együttesen vonatkozott.</w:t>
      </w:r>
    </w:p>
  </w:footnote>
  <w:footnote w:id="18">
    <w:p>
      <w:pPr>
        <w:pStyle w:val="FootnoteText"/>
        <w:tabs>
          <w:tab w:val="left" w:pos="284"/>
        </w:tabs>
        <w:ind w:left="284" w:hanging="284"/>
      </w:pPr>
      <w:r>
        <w:rPr>
          <w:rStyle w:val="FootnoteReference"/>
        </w:rPr>
        <w:footnoteRef/>
      </w:r>
      <w:r>
        <w:t xml:space="preserve"> </w:t>
      </w:r>
      <w:r>
        <w:tab/>
        <w:t>A nemzeti parlamentektől kapott véleményeket és indokolt véleményeket egyaránt magába foglalja.</w:t>
      </w:r>
    </w:p>
  </w:footnote>
  <w:footnote w:id="19">
    <w:p>
      <w:pPr>
        <w:pStyle w:val="FootnoteText"/>
        <w:ind w:left="284" w:hanging="284"/>
      </w:pPr>
      <w:r>
        <w:rPr>
          <w:rStyle w:val="FootnoteReference"/>
        </w:rPr>
        <w:footnoteRef/>
      </w:r>
      <w:r>
        <w:t xml:space="preserve"> </w:t>
      </w:r>
      <w:r>
        <w:tab/>
        <w:t>Az EKSZ nem a Bizottság szolgálata, hanem független szerv.</w:t>
      </w:r>
    </w:p>
  </w:footnote>
  <w:footnote w:id="20">
    <w:p>
      <w:pPr>
        <w:pStyle w:val="FootnoteText"/>
        <w:ind w:left="284" w:hanging="284"/>
      </w:pPr>
      <w:r>
        <w:rPr>
          <w:rStyle w:val="FootnoteReference"/>
        </w:rPr>
        <w:footnoteRef/>
      </w:r>
      <w:r>
        <w:t xml:space="preserve"> </w:t>
      </w:r>
      <w:r>
        <w:tab/>
        <w:t>Az „50. cikk” munkacsoport nem a Bizottság szolgálata, hanem független szerv.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következ\u337?höz:"/>
    <w:docVar w:name="LW_ANNEX_NBR_FIRST" w:val="1"/>
    <w:docVar w:name="LW_ANNEX_NBR_LAST" w:val="3"/>
    <w:docVar w:name="LW_ANNEX_UNIQUE" w:val="0"/>
    <w:docVar w:name="LW_CORRIGENDUM" w:val="&lt;UNUSED&gt;"/>
    <w:docVar w:name="LW_COVERPAGE_EXISTS" w:val="True"/>
    <w:docVar w:name="LW_COVERPAGE_GUID" w:val="58BFFD8D-CF17-4BE3-8369-F8664FF61CFB"/>
    <w:docVar w:name="LW_COVERPAGE_TYPE" w:val="1"/>
    <w:docVar w:name="LW_CROSSREFERENCE" w:val="&lt;UNUSED&gt;"/>
    <w:docVar w:name="LW_DocType" w:val="REP"/>
    <w:docVar w:name="LW_EMISSION" w:val="2018.10.23."/>
    <w:docVar w:name="LW_EMISSION_ISODATE" w:val="2018-10-23"/>
    <w:docVar w:name="LW_EMISSION_LOCATION" w:val="BRX"/>
    <w:docVar w:name="LW_EMISSION_PREFIX" w:val="Brüsszel, "/>
    <w:docVar w:name="LW_EMISSION_SUFFIX" w:val=" "/>
    <w:docVar w:name="LW_ID_DOCTYPE_NONLW" w:val="CP-039"/>
    <w:docVar w:name="LW_LANGUE" w:val="HU"/>
    <w:docVar w:name="LW_LEVEL_OF_SENSITIVITY" w:val="Standard treatment"/>
    <w:docVar w:name="LW_NOM.INST" w:val="EURÓPAI BIZOTTSÁG"/>
    <w:docVar w:name="LW_NOM.INST_JOINTDOC" w:val="&lt;EMPTY&gt;"/>
    <w:docVar w:name="LW_OBJETACTEPRINCIPAL.CP" w:val="AZ EURÓPAI BIZOTTSÁG ÉS A NEMZETI PARLAMENTEK KÖZÖTTI KAPCSOLATOKRÓL"/>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MELLÉKLETEK_x000b_"/>
    <w:docVar w:name="LW_TYPEACTEPRINCIPAL.CP" w:val="A BIZOTTSÁG JELENTÉS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hu-HU"/>
    </w:rPr>
  </w:style>
  <w:style w:type="character" w:customStyle="1" w:styleId="HeaderChar">
    <w:name w:val="Header Char"/>
    <w:basedOn w:val="DefaultParagraphFont"/>
    <w:link w:val="Header"/>
    <w:uiPriority w:val="99"/>
    <w:rPr>
      <w:sz w:val="24"/>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hu-HU"/>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hu-HU"/>
    </w:rPr>
  </w:style>
  <w:style w:type="character" w:customStyle="1" w:styleId="HeaderChar">
    <w:name w:val="Header Char"/>
    <w:basedOn w:val="DefaultParagraphFont"/>
    <w:link w:val="Header"/>
    <w:uiPriority w:val="99"/>
    <w:rPr>
      <w:sz w:val="24"/>
      <w:lang w:eastAsia="hu-HU"/>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hu-HU"/>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E185D78C-AD8C-44D8-9F36-C303026A0844}">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0D61C8E-61D8-48E1-A8A1-D7C9F052D3F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938</Words>
  <Characters>6182</Characters>
  <Application>Microsoft Office Word</Application>
  <DocSecurity>0</DocSecurity>
  <PresentationFormat>Microsoft Word 14.0</PresentationFormat>
  <Lines>441</Lines>
  <Paragraphs>355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10</cp:revision>
  <dcterms:created xsi:type="dcterms:W3CDTF">2018-08-29T10:28:00Z</dcterms:created>
  <dcterms:modified xsi:type="dcterms:W3CDTF">2018-10-18T07:30:00Z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