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95E0FF3-F742-4DF7-B830-D539546BF801" style="width:450.75pt;height:379.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autoSpaceDE w:val="0"/>
        <w:autoSpaceDN w:val="0"/>
        <w:adjustRightInd w:val="0"/>
        <w:jc w:val="center"/>
        <w:rPr>
          <w:b/>
          <w:noProof/>
          <w:szCs w:val="24"/>
        </w:rPr>
      </w:pPr>
      <w:bookmarkStart w:id="1" w:name="_GoBack"/>
      <w:bookmarkEnd w:id="1"/>
      <w:r>
        <w:rPr>
          <w:b/>
          <w:noProof/>
        </w:rPr>
        <w:lastRenderedPageBreak/>
        <w:t>Zoznam dokumentov Komisie,</w:t>
      </w:r>
      <w:r>
        <w:rPr>
          <w:b/>
          <w:noProof/>
          <w:szCs w:val="24"/>
        </w:rPr>
        <w:br/>
      </w:r>
      <w:r>
        <w:rPr>
          <w:b/>
          <w:noProof/>
        </w:rPr>
        <w:t xml:space="preserve">ku ktorým národné parlamenty vydali v roku 2017 </w:t>
      </w:r>
      <w:r>
        <w:rPr>
          <w:b/>
          <w:noProof/>
          <w:szCs w:val="24"/>
        </w:rPr>
        <w:br/>
      </w:r>
      <w:r>
        <w:rPr>
          <w:b/>
          <w:noProof/>
        </w:rPr>
        <w:t>odôvodnené stanoviská týkajúce sa dodržiavania zásady subsidiarity</w:t>
      </w:r>
      <w:r>
        <w:rPr>
          <w:b/>
          <w:noProof/>
          <w:vertAlign w:val="superscript"/>
        </w:rPr>
        <w:footnoteReference w:id="1"/>
      </w:r>
    </w:p>
    <w:tbl>
      <w:tblPr>
        <w:tblW w:w="105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4"/>
        <w:gridCol w:w="1977"/>
        <w:gridCol w:w="2811"/>
        <w:gridCol w:w="1207"/>
        <w:gridCol w:w="1157"/>
        <w:gridCol w:w="3022"/>
      </w:tblGrid>
      <w:tr>
        <w:trPr>
          <w:cantSplit/>
          <w:tblHeader/>
        </w:trPr>
        <w:tc>
          <w:tcPr>
            <w:tcW w:w="414" w:type="dxa"/>
            <w:tcBorders>
              <w:top w:val="nil"/>
              <w:left w:val="nil"/>
            </w:tcBorders>
            <w:shd w:val="clear" w:color="auto" w:fill="auto"/>
            <w:vAlign w:val="center"/>
          </w:tcPr>
          <w:p>
            <w:pPr>
              <w:spacing w:after="0"/>
              <w:jc w:val="center"/>
              <w:rPr>
                <w:noProof/>
                <w:sz w:val="20"/>
              </w:rPr>
            </w:pPr>
          </w:p>
        </w:tc>
        <w:tc>
          <w:tcPr>
            <w:tcW w:w="1977" w:type="dxa"/>
            <w:shd w:val="clear" w:color="auto" w:fill="auto"/>
            <w:vAlign w:val="center"/>
          </w:tcPr>
          <w:p>
            <w:pPr>
              <w:spacing w:after="0"/>
              <w:jc w:val="center"/>
              <w:rPr>
                <w:b/>
                <w:noProof/>
                <w:sz w:val="20"/>
              </w:rPr>
            </w:pPr>
            <w:r>
              <w:rPr>
                <w:b/>
                <w:noProof/>
                <w:sz w:val="20"/>
              </w:rPr>
              <w:t>Dokument</w:t>
            </w:r>
            <w:r>
              <w:rPr>
                <w:b/>
                <w:noProof/>
                <w:sz w:val="20"/>
              </w:rPr>
              <w:br/>
              <w:t>Komisie</w:t>
            </w:r>
          </w:p>
        </w:tc>
        <w:tc>
          <w:tcPr>
            <w:tcW w:w="2811" w:type="dxa"/>
            <w:shd w:val="clear" w:color="auto" w:fill="auto"/>
            <w:vAlign w:val="center"/>
          </w:tcPr>
          <w:p>
            <w:pPr>
              <w:spacing w:after="0"/>
              <w:jc w:val="center"/>
              <w:rPr>
                <w:noProof/>
                <w:sz w:val="20"/>
              </w:rPr>
            </w:pPr>
            <w:r>
              <w:rPr>
                <w:b/>
                <w:noProof/>
                <w:sz w:val="20"/>
              </w:rPr>
              <w:t>Názov</w:t>
            </w:r>
          </w:p>
        </w:tc>
        <w:tc>
          <w:tcPr>
            <w:tcW w:w="1207" w:type="dxa"/>
            <w:shd w:val="clear" w:color="auto" w:fill="auto"/>
            <w:vAlign w:val="center"/>
          </w:tcPr>
          <w:p>
            <w:pPr>
              <w:spacing w:after="0"/>
              <w:jc w:val="center"/>
              <w:rPr>
                <w:b/>
                <w:noProof/>
                <w:sz w:val="20"/>
              </w:rPr>
            </w:pPr>
            <w:r>
              <w:rPr>
                <w:b/>
                <w:noProof/>
                <w:sz w:val="20"/>
              </w:rPr>
              <w:t>Počet</w:t>
            </w:r>
            <w:r>
              <w:rPr>
                <w:b/>
                <w:noProof/>
                <w:sz w:val="20"/>
              </w:rPr>
              <w:br/>
              <w:t>odôvodnených</w:t>
            </w:r>
            <w:r>
              <w:rPr>
                <w:b/>
                <w:noProof/>
                <w:sz w:val="20"/>
              </w:rPr>
              <w:br/>
              <w:t>stanovísk</w:t>
            </w:r>
            <w:r>
              <w:rPr>
                <w:b/>
                <w:noProof/>
                <w:sz w:val="20"/>
              </w:rPr>
              <w:br/>
              <w:t>(protokol</w:t>
            </w:r>
            <w:r>
              <w:rPr>
                <w:b/>
                <w:noProof/>
                <w:sz w:val="20"/>
              </w:rPr>
              <w:br/>
              <w:t>č. 2)</w:t>
            </w:r>
          </w:p>
        </w:tc>
        <w:tc>
          <w:tcPr>
            <w:tcW w:w="1157" w:type="dxa"/>
            <w:shd w:val="clear" w:color="auto" w:fill="auto"/>
            <w:vAlign w:val="center"/>
          </w:tcPr>
          <w:p>
            <w:pPr>
              <w:spacing w:after="0"/>
              <w:jc w:val="center"/>
              <w:rPr>
                <w:noProof/>
                <w:sz w:val="20"/>
              </w:rPr>
            </w:pPr>
            <w:r>
              <w:rPr>
                <w:b/>
                <w:noProof/>
                <w:sz w:val="20"/>
              </w:rPr>
              <w:t>Počet</w:t>
            </w:r>
            <w:r>
              <w:rPr>
                <w:b/>
                <w:noProof/>
                <w:sz w:val="20"/>
              </w:rPr>
              <w:br/>
              <w:t>hlasov</w:t>
            </w:r>
            <w:r>
              <w:rPr>
                <w:b/>
                <w:noProof/>
                <w:sz w:val="20"/>
              </w:rPr>
              <w:br/>
              <w:t>(protokol</w:t>
            </w:r>
            <w:r>
              <w:rPr>
                <w:b/>
                <w:noProof/>
                <w:sz w:val="20"/>
              </w:rPr>
              <w:br/>
              <w:t>č. 2)</w:t>
            </w:r>
            <w:r>
              <w:rPr>
                <w:noProof/>
                <w:sz w:val="20"/>
                <w:vertAlign w:val="superscript"/>
              </w:rPr>
              <w:footnoteReference w:id="2"/>
            </w:r>
          </w:p>
        </w:tc>
        <w:tc>
          <w:tcPr>
            <w:tcW w:w="3022" w:type="dxa"/>
            <w:shd w:val="clear" w:color="auto" w:fill="auto"/>
            <w:vAlign w:val="center"/>
          </w:tcPr>
          <w:p>
            <w:pPr>
              <w:spacing w:after="0"/>
              <w:jc w:val="center"/>
              <w:rPr>
                <w:noProof/>
                <w:sz w:val="20"/>
              </w:rPr>
            </w:pPr>
            <w:r>
              <w:rPr>
                <w:b/>
                <w:noProof/>
                <w:sz w:val="20"/>
              </w:rPr>
              <w:t>Národná komora</w:t>
            </w:r>
            <w:r>
              <w:rPr>
                <w:b/>
                <w:noProof/>
                <w:sz w:val="20"/>
              </w:rPr>
              <w:br/>
              <w:t>predkladajúca</w:t>
            </w:r>
            <w:r>
              <w:rPr>
                <w:b/>
                <w:noProof/>
                <w:sz w:val="20"/>
              </w:rPr>
              <w:br/>
              <w:t>odôvodnené stanoviská</w:t>
            </w:r>
          </w:p>
        </w:tc>
      </w:tr>
      <w:tr>
        <w:trPr>
          <w:cantSplit/>
        </w:trPr>
        <w:tc>
          <w:tcPr>
            <w:tcW w:w="414" w:type="dxa"/>
            <w:shd w:val="clear" w:color="auto" w:fill="auto"/>
          </w:tcPr>
          <w:p>
            <w:pPr>
              <w:spacing w:after="0"/>
              <w:jc w:val="left"/>
              <w:rPr>
                <w:noProof/>
                <w:sz w:val="20"/>
              </w:rPr>
            </w:pPr>
            <w:r>
              <w:rPr>
                <w:noProof/>
                <w:sz w:val="20"/>
              </w:rPr>
              <w:t>1</w:t>
            </w:r>
          </w:p>
        </w:tc>
        <w:tc>
          <w:tcPr>
            <w:tcW w:w="1977" w:type="dxa"/>
            <w:shd w:val="clear" w:color="auto" w:fill="auto"/>
          </w:tcPr>
          <w:p>
            <w:pPr>
              <w:spacing w:after="0"/>
              <w:jc w:val="left"/>
              <w:rPr>
                <w:noProof/>
                <w:color w:val="000000"/>
                <w:sz w:val="20"/>
              </w:rPr>
            </w:pPr>
            <w:r>
              <w:rPr>
                <w:noProof/>
                <w:color w:val="000000"/>
                <w:sz w:val="20"/>
              </w:rPr>
              <w:t>COM(2016) 861</w:t>
            </w:r>
          </w:p>
        </w:tc>
        <w:tc>
          <w:tcPr>
            <w:tcW w:w="2811" w:type="dxa"/>
            <w:shd w:val="clear" w:color="auto" w:fill="auto"/>
          </w:tcPr>
          <w:p>
            <w:pPr>
              <w:spacing w:after="0"/>
              <w:jc w:val="left"/>
              <w:rPr>
                <w:noProof/>
                <w:color w:val="000000"/>
                <w:sz w:val="20"/>
              </w:rPr>
            </w:pPr>
            <w:r>
              <w:rPr>
                <w:noProof/>
                <w:color w:val="000000"/>
                <w:sz w:val="20"/>
              </w:rPr>
              <w:t>Návrh nariadenia Európskeho parlamentu a Rady o </w:t>
            </w:r>
            <w:r>
              <w:rPr>
                <w:b/>
                <w:noProof/>
                <w:color w:val="000000"/>
                <w:sz w:val="20"/>
              </w:rPr>
              <w:t>vnútornom trhu s elektrinou</w:t>
            </w:r>
            <w:r>
              <w:rPr>
                <w:noProof/>
                <w:color w:val="000000"/>
                <w:sz w:val="20"/>
              </w:rPr>
              <w:t xml:space="preserve"> (prepracované znenie) </w:t>
            </w:r>
          </w:p>
        </w:tc>
        <w:tc>
          <w:tcPr>
            <w:tcW w:w="1207" w:type="dxa"/>
            <w:shd w:val="clear" w:color="auto" w:fill="auto"/>
          </w:tcPr>
          <w:p>
            <w:pPr>
              <w:spacing w:after="0"/>
              <w:jc w:val="center"/>
              <w:rPr>
                <w:noProof/>
                <w:color w:val="000000"/>
                <w:sz w:val="20"/>
              </w:rPr>
            </w:pPr>
            <w:r>
              <w:rPr>
                <w:noProof/>
                <w:color w:val="000000"/>
                <w:sz w:val="20"/>
              </w:rPr>
              <w:t>11</w:t>
            </w:r>
          </w:p>
        </w:tc>
        <w:tc>
          <w:tcPr>
            <w:tcW w:w="1157" w:type="dxa"/>
            <w:shd w:val="clear" w:color="auto" w:fill="auto"/>
          </w:tcPr>
          <w:p>
            <w:pPr>
              <w:spacing w:after="0"/>
              <w:jc w:val="center"/>
              <w:rPr>
                <w:noProof/>
                <w:color w:val="000000"/>
                <w:sz w:val="20"/>
              </w:rPr>
            </w:pPr>
            <w:r>
              <w:rPr>
                <w:noProof/>
                <w:color w:val="000000"/>
                <w:sz w:val="20"/>
              </w:rPr>
              <w:t>13</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Bundesrat</w:t>
            </w:r>
            <w:r>
              <w:rPr>
                <w:noProof/>
                <w:sz w:val="20"/>
              </w:rPr>
              <w:t xml:space="preserve"> (1 hlas)</w:t>
            </w:r>
          </w:p>
          <w:p>
            <w:pPr>
              <w:spacing w:after="0"/>
              <w:jc w:val="left"/>
              <w:rPr>
                <w:noProof/>
                <w:sz w:val="20"/>
              </w:rPr>
            </w:pPr>
          </w:p>
          <w:p>
            <w:pPr>
              <w:spacing w:after="0"/>
              <w:jc w:val="left"/>
              <w:rPr>
                <w:noProof/>
                <w:sz w:val="20"/>
              </w:rPr>
            </w:pPr>
            <w:r>
              <w:rPr>
                <w:noProof/>
                <w:sz w:val="20"/>
              </w:rPr>
              <w:t xml:space="preserve">DE </w:t>
            </w:r>
            <w:r>
              <w:rPr>
                <w:i/>
                <w:noProof/>
                <w:sz w:val="20"/>
              </w:rPr>
              <w:t>Bundestag</w:t>
            </w:r>
            <w:r>
              <w:rPr>
                <w:noProof/>
                <w:sz w:val="20"/>
              </w:rPr>
              <w:t xml:space="preserve"> (1 hlas)</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hlas)</w:t>
            </w:r>
          </w:p>
          <w:p>
            <w:pPr>
              <w:spacing w:after="0"/>
              <w:jc w:val="left"/>
              <w:rPr>
                <w:noProof/>
                <w:sz w:val="20"/>
              </w:rPr>
            </w:pPr>
          </w:p>
          <w:p>
            <w:pPr>
              <w:spacing w:after="0"/>
              <w:jc w:val="left"/>
              <w:rPr>
                <w:noProof/>
                <w:sz w:val="20"/>
              </w:rPr>
            </w:pPr>
            <w:r>
              <w:rPr>
                <w:noProof/>
                <w:sz w:val="20"/>
              </w:rPr>
              <w:t xml:space="preserve">ES </w:t>
            </w:r>
            <w:r>
              <w:rPr>
                <w:i/>
                <w:noProof/>
                <w:sz w:val="20"/>
              </w:rPr>
              <w:t>Cortes Generales</w:t>
            </w:r>
            <w:r>
              <w:rPr>
                <w:noProof/>
                <w:sz w:val="20"/>
              </w:rPr>
              <w:t xml:space="preserve"> (2 hlasy)</w:t>
            </w:r>
          </w:p>
          <w:p>
            <w:pPr>
              <w:spacing w:after="0"/>
              <w:jc w:val="left"/>
              <w:rPr>
                <w:noProof/>
                <w:sz w:val="20"/>
              </w:rPr>
            </w:pPr>
          </w:p>
          <w:p>
            <w:pPr>
              <w:spacing w:after="0"/>
              <w:jc w:val="left"/>
              <w:rPr>
                <w:noProof/>
                <w:sz w:val="20"/>
              </w:rPr>
            </w:pPr>
            <w:r>
              <w:rPr>
                <w:noProof/>
                <w:sz w:val="20"/>
              </w:rPr>
              <w:t xml:space="preserve">FR </w:t>
            </w:r>
            <w:r>
              <w:rPr>
                <w:i/>
                <w:noProof/>
                <w:sz w:val="20"/>
              </w:rPr>
              <w:t>Sénat</w:t>
            </w:r>
            <w:r>
              <w:rPr>
                <w:noProof/>
                <w:sz w:val="20"/>
              </w:rPr>
              <w:t xml:space="preserve"> (1 hlas)</w:t>
            </w:r>
          </w:p>
          <w:p>
            <w:pPr>
              <w:spacing w:after="0"/>
              <w:jc w:val="left"/>
              <w:rPr>
                <w:noProof/>
                <w:sz w:val="20"/>
              </w:rPr>
            </w:pPr>
          </w:p>
          <w:p>
            <w:pPr>
              <w:spacing w:after="0"/>
              <w:jc w:val="left"/>
              <w:rPr>
                <w:noProof/>
                <w:sz w:val="20"/>
              </w:rPr>
            </w:pPr>
            <w:r>
              <w:rPr>
                <w:noProof/>
                <w:sz w:val="20"/>
              </w:rPr>
              <w:t xml:space="preserve">HU </w:t>
            </w:r>
            <w:r>
              <w:rPr>
                <w:i/>
                <w:noProof/>
                <w:color w:val="000000"/>
                <w:sz w:val="20"/>
              </w:rPr>
              <w:t xml:space="preserve">Országgyűlés </w:t>
            </w:r>
            <w:r>
              <w:rPr>
                <w:noProof/>
                <w:sz w:val="20"/>
              </w:rPr>
              <w:t>(2 hlasy)</w:t>
            </w:r>
          </w:p>
          <w:p>
            <w:pPr>
              <w:spacing w:after="0"/>
              <w:jc w:val="left"/>
              <w:rPr>
                <w:i/>
                <w:iCs/>
                <w:noProof/>
                <w:color w:val="000000"/>
                <w:sz w:val="20"/>
              </w:rPr>
            </w:pPr>
          </w:p>
          <w:p>
            <w:pPr>
              <w:spacing w:after="0"/>
              <w:jc w:val="left"/>
              <w:rPr>
                <w:noProof/>
                <w:sz w:val="20"/>
              </w:rPr>
            </w:pPr>
            <w:r>
              <w:rPr>
                <w:noProof/>
                <w:color w:val="000000"/>
                <w:sz w:val="20"/>
              </w:rPr>
              <w:t xml:space="preserve">PL </w:t>
            </w:r>
            <w:r>
              <w:rPr>
                <w:i/>
                <w:noProof/>
                <w:color w:val="000000"/>
                <w:sz w:val="20"/>
              </w:rPr>
              <w:t>Sejm</w:t>
            </w:r>
            <w:r>
              <w:rPr>
                <w:noProof/>
                <w:color w:val="000000"/>
                <w:sz w:val="20"/>
              </w:rPr>
              <w:t xml:space="preserve"> </w:t>
            </w:r>
            <w:r>
              <w:rPr>
                <w:noProof/>
                <w:sz w:val="20"/>
              </w:rPr>
              <w:t>(1 hlas)</w:t>
            </w:r>
          </w:p>
          <w:p>
            <w:pPr>
              <w:spacing w:after="0"/>
              <w:jc w:val="left"/>
              <w:rPr>
                <w:iCs/>
                <w:noProof/>
                <w:color w:val="000000"/>
                <w:sz w:val="20"/>
              </w:rPr>
            </w:pPr>
          </w:p>
          <w:p>
            <w:pPr>
              <w:spacing w:after="0"/>
              <w:jc w:val="left"/>
              <w:rPr>
                <w:noProof/>
                <w:sz w:val="20"/>
              </w:rPr>
            </w:pPr>
            <w:r>
              <w:rPr>
                <w:noProof/>
                <w:color w:val="000000"/>
                <w:sz w:val="20"/>
              </w:rPr>
              <w:t xml:space="preserve">PL </w:t>
            </w:r>
            <w:r>
              <w:rPr>
                <w:i/>
                <w:noProof/>
                <w:color w:val="000000"/>
                <w:sz w:val="20"/>
              </w:rPr>
              <w:t>Senat</w:t>
            </w:r>
            <w:r>
              <w:rPr>
                <w:noProof/>
                <w:color w:val="000000"/>
                <w:sz w:val="20"/>
              </w:rPr>
              <w:t xml:space="preserve"> </w:t>
            </w:r>
            <w:r>
              <w:rPr>
                <w:noProof/>
                <w:sz w:val="20"/>
              </w:rPr>
              <w:t>(1 hlas)</w:t>
            </w:r>
          </w:p>
          <w:p>
            <w:pPr>
              <w:spacing w:after="0"/>
              <w:jc w:val="left"/>
              <w:rPr>
                <w:iCs/>
                <w:noProof/>
                <w:color w:val="000000"/>
                <w:sz w:val="20"/>
              </w:rPr>
            </w:pPr>
          </w:p>
          <w:p>
            <w:pPr>
              <w:spacing w:after="0"/>
              <w:jc w:val="left"/>
              <w:rPr>
                <w:noProof/>
                <w:sz w:val="20"/>
              </w:rPr>
            </w:pPr>
            <w:r>
              <w:rPr>
                <w:noProof/>
                <w:color w:val="000000"/>
                <w:sz w:val="20"/>
              </w:rPr>
              <w:t xml:space="preserve">CZ </w:t>
            </w:r>
            <w:r>
              <w:rPr>
                <w:i/>
                <w:noProof/>
                <w:color w:val="000000"/>
                <w:sz w:val="20"/>
              </w:rPr>
              <w:t xml:space="preserve">Poslanecká sněmovna </w:t>
            </w:r>
            <w:r>
              <w:rPr>
                <w:noProof/>
                <w:sz w:val="20"/>
              </w:rPr>
              <w:t>(1 hlas)</w:t>
            </w:r>
          </w:p>
          <w:p>
            <w:pPr>
              <w:spacing w:after="0"/>
              <w:jc w:val="left"/>
              <w:rPr>
                <w:i/>
                <w:iCs/>
                <w:noProof/>
                <w:color w:val="000000"/>
                <w:sz w:val="20"/>
              </w:rPr>
            </w:pPr>
          </w:p>
          <w:p>
            <w:pPr>
              <w:spacing w:after="0"/>
              <w:jc w:val="left"/>
              <w:rPr>
                <w:noProof/>
                <w:sz w:val="20"/>
              </w:rPr>
            </w:pPr>
            <w:r>
              <w:rPr>
                <w:noProof/>
                <w:sz w:val="20"/>
              </w:rPr>
              <w:t xml:space="preserve">RO </w:t>
            </w:r>
            <w:r>
              <w:rPr>
                <w:i/>
                <w:noProof/>
                <w:color w:val="000000"/>
                <w:sz w:val="20"/>
              </w:rPr>
              <w:t xml:space="preserve">Camera Deputaților </w:t>
            </w:r>
            <w:r>
              <w:rPr>
                <w:noProof/>
                <w:sz w:val="20"/>
              </w:rPr>
              <w:t>(1 hlas)</w:t>
            </w:r>
          </w:p>
          <w:p>
            <w:pPr>
              <w:spacing w:after="0"/>
              <w:jc w:val="left"/>
              <w:rPr>
                <w:i/>
                <w:iCs/>
                <w:noProof/>
                <w:color w:val="000000"/>
                <w:sz w:val="20"/>
              </w:rPr>
            </w:pPr>
          </w:p>
          <w:p>
            <w:pPr>
              <w:spacing w:after="0"/>
              <w:jc w:val="left"/>
              <w:rPr>
                <w:iCs/>
                <w:noProof/>
                <w:color w:val="000000"/>
                <w:sz w:val="20"/>
              </w:rPr>
            </w:pPr>
            <w:r>
              <w:rPr>
                <w:noProof/>
                <w:color w:val="000000"/>
                <w:sz w:val="20"/>
              </w:rPr>
              <w:t xml:space="preserve">RO </w:t>
            </w:r>
            <w:r>
              <w:rPr>
                <w:i/>
                <w:noProof/>
                <w:color w:val="000000"/>
                <w:sz w:val="20"/>
              </w:rPr>
              <w:t>Senatul</w:t>
            </w:r>
            <w:r>
              <w:rPr>
                <w:noProof/>
                <w:color w:val="000000"/>
                <w:sz w:val="20"/>
              </w:rPr>
              <w:t xml:space="preserve"> </w:t>
            </w:r>
            <w:r>
              <w:rPr>
                <w:noProof/>
                <w:sz w:val="20"/>
              </w:rPr>
              <w:t xml:space="preserve">(1 hlas) </w:t>
            </w:r>
          </w:p>
        </w:tc>
      </w:tr>
      <w:tr>
        <w:trPr>
          <w:cantSplit/>
        </w:trPr>
        <w:tc>
          <w:tcPr>
            <w:tcW w:w="414" w:type="dxa"/>
            <w:shd w:val="clear" w:color="auto" w:fill="auto"/>
          </w:tcPr>
          <w:p>
            <w:pPr>
              <w:spacing w:after="0"/>
              <w:jc w:val="left"/>
              <w:rPr>
                <w:noProof/>
                <w:sz w:val="20"/>
              </w:rPr>
            </w:pPr>
            <w:r>
              <w:rPr>
                <w:noProof/>
                <w:sz w:val="20"/>
              </w:rPr>
              <w:t>2</w:t>
            </w:r>
          </w:p>
        </w:tc>
        <w:tc>
          <w:tcPr>
            <w:tcW w:w="1977" w:type="dxa"/>
            <w:shd w:val="clear" w:color="auto" w:fill="auto"/>
          </w:tcPr>
          <w:p>
            <w:pPr>
              <w:spacing w:after="0"/>
              <w:jc w:val="left"/>
              <w:rPr>
                <w:noProof/>
                <w:color w:val="000000"/>
                <w:sz w:val="20"/>
              </w:rPr>
            </w:pPr>
            <w:r>
              <w:rPr>
                <w:noProof/>
                <w:color w:val="000000"/>
                <w:sz w:val="20"/>
              </w:rPr>
              <w:t>COM(2016) 822</w:t>
            </w:r>
          </w:p>
        </w:tc>
        <w:tc>
          <w:tcPr>
            <w:tcW w:w="2811" w:type="dxa"/>
            <w:shd w:val="clear" w:color="auto" w:fill="auto"/>
          </w:tcPr>
          <w:p>
            <w:pPr>
              <w:spacing w:after="0"/>
              <w:jc w:val="left"/>
              <w:rPr>
                <w:noProof/>
                <w:color w:val="000000"/>
                <w:sz w:val="20"/>
              </w:rPr>
            </w:pPr>
            <w:r>
              <w:rPr>
                <w:noProof/>
                <w:color w:val="000000"/>
                <w:sz w:val="20"/>
              </w:rPr>
              <w:t>Návrh smernice Európskeho parlamentu a Rady o </w:t>
            </w:r>
            <w:r>
              <w:rPr>
                <w:b/>
                <w:noProof/>
                <w:color w:val="000000"/>
                <w:sz w:val="20"/>
              </w:rPr>
              <w:t>teste proporcionality pred prijatím novej regulácie povolaní</w:t>
            </w:r>
          </w:p>
        </w:tc>
        <w:tc>
          <w:tcPr>
            <w:tcW w:w="1207" w:type="dxa"/>
            <w:shd w:val="clear" w:color="auto" w:fill="auto"/>
          </w:tcPr>
          <w:p>
            <w:pPr>
              <w:spacing w:after="0"/>
              <w:jc w:val="center"/>
              <w:rPr>
                <w:noProof/>
                <w:color w:val="000000"/>
                <w:sz w:val="20"/>
              </w:rPr>
            </w:pPr>
            <w:r>
              <w:rPr>
                <w:noProof/>
                <w:color w:val="000000"/>
                <w:sz w:val="20"/>
              </w:rPr>
              <w:t>5</w:t>
            </w:r>
          </w:p>
        </w:tc>
        <w:tc>
          <w:tcPr>
            <w:tcW w:w="1157" w:type="dxa"/>
            <w:shd w:val="clear" w:color="auto" w:fill="auto"/>
          </w:tcPr>
          <w:p>
            <w:pPr>
              <w:spacing w:after="0"/>
              <w:jc w:val="center"/>
              <w:rPr>
                <w:noProof/>
                <w:color w:val="000000"/>
                <w:sz w:val="20"/>
              </w:rPr>
            </w:pPr>
            <w:r>
              <w:rPr>
                <w:noProof/>
                <w:color w:val="000000"/>
                <w:sz w:val="20"/>
              </w:rPr>
              <w:t>5</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hlas)</w:t>
            </w:r>
          </w:p>
          <w:p>
            <w:pPr>
              <w:spacing w:after="0"/>
              <w:jc w:val="left"/>
              <w:rPr>
                <w:noProof/>
                <w:sz w:val="20"/>
              </w:rPr>
            </w:pPr>
          </w:p>
          <w:p>
            <w:pPr>
              <w:spacing w:after="0"/>
              <w:jc w:val="left"/>
              <w:rPr>
                <w:noProof/>
                <w:sz w:val="20"/>
              </w:rPr>
            </w:pPr>
            <w:r>
              <w:rPr>
                <w:noProof/>
                <w:sz w:val="20"/>
              </w:rPr>
              <w:t xml:space="preserve">DE </w:t>
            </w:r>
            <w:r>
              <w:rPr>
                <w:i/>
                <w:noProof/>
                <w:sz w:val="20"/>
              </w:rPr>
              <w:t>Bundesrat</w:t>
            </w:r>
            <w:r>
              <w:rPr>
                <w:noProof/>
                <w:sz w:val="20"/>
              </w:rPr>
              <w:t xml:space="preserve"> (1 hlas)</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hlas)</w:t>
            </w:r>
          </w:p>
          <w:p>
            <w:pPr>
              <w:spacing w:after="0"/>
              <w:jc w:val="left"/>
              <w:rPr>
                <w:noProof/>
                <w:sz w:val="20"/>
              </w:rPr>
            </w:pPr>
          </w:p>
          <w:p>
            <w:pPr>
              <w:spacing w:after="0"/>
              <w:jc w:val="left"/>
              <w:rPr>
                <w:noProof/>
                <w:sz w:val="20"/>
              </w:rPr>
            </w:pPr>
            <w:r>
              <w:rPr>
                <w:noProof/>
                <w:sz w:val="20"/>
              </w:rPr>
              <w:t xml:space="preserve">FR </w:t>
            </w:r>
            <w:r>
              <w:rPr>
                <w:i/>
                <w:noProof/>
                <w:color w:val="000000"/>
                <w:sz w:val="20"/>
              </w:rPr>
              <w:t xml:space="preserve">Assemblée nationale </w:t>
            </w:r>
            <w:r>
              <w:rPr>
                <w:noProof/>
                <w:sz w:val="20"/>
              </w:rPr>
              <w:t>(1 hlas)</w:t>
            </w:r>
          </w:p>
          <w:p>
            <w:pPr>
              <w:spacing w:after="0"/>
              <w:jc w:val="left"/>
              <w:rPr>
                <w:i/>
                <w:iCs/>
                <w:noProof/>
                <w:color w:val="000000"/>
                <w:sz w:val="20"/>
              </w:rPr>
            </w:pPr>
          </w:p>
          <w:p>
            <w:pPr>
              <w:spacing w:after="0"/>
              <w:jc w:val="left"/>
              <w:rPr>
                <w:noProof/>
                <w:sz w:val="20"/>
              </w:rPr>
            </w:pPr>
            <w:r>
              <w:rPr>
                <w:noProof/>
                <w:sz w:val="20"/>
              </w:rPr>
              <w:t xml:space="preserve">FR </w:t>
            </w:r>
            <w:r>
              <w:rPr>
                <w:i/>
                <w:noProof/>
                <w:sz w:val="20"/>
              </w:rPr>
              <w:t>Sénat</w:t>
            </w:r>
            <w:r>
              <w:rPr>
                <w:noProof/>
                <w:sz w:val="20"/>
              </w:rPr>
              <w:t xml:space="preserve"> (1 hlas)</w:t>
            </w:r>
          </w:p>
        </w:tc>
      </w:tr>
      <w:tr>
        <w:trPr>
          <w:cantSplit/>
        </w:trPr>
        <w:tc>
          <w:tcPr>
            <w:tcW w:w="414" w:type="dxa"/>
            <w:shd w:val="clear" w:color="auto" w:fill="auto"/>
          </w:tcPr>
          <w:p>
            <w:pPr>
              <w:spacing w:after="0"/>
              <w:jc w:val="left"/>
              <w:rPr>
                <w:noProof/>
                <w:sz w:val="20"/>
              </w:rPr>
            </w:pPr>
            <w:r>
              <w:rPr>
                <w:noProof/>
                <w:sz w:val="20"/>
              </w:rPr>
              <w:t>3</w:t>
            </w:r>
          </w:p>
        </w:tc>
        <w:tc>
          <w:tcPr>
            <w:tcW w:w="1977" w:type="dxa"/>
            <w:shd w:val="clear" w:color="auto" w:fill="auto"/>
          </w:tcPr>
          <w:p>
            <w:pPr>
              <w:spacing w:after="0"/>
              <w:jc w:val="left"/>
              <w:rPr>
                <w:noProof/>
                <w:color w:val="000000"/>
                <w:sz w:val="20"/>
              </w:rPr>
            </w:pPr>
            <w:r>
              <w:rPr>
                <w:noProof/>
                <w:color w:val="000000"/>
                <w:sz w:val="20"/>
              </w:rPr>
              <w:t>COM(2017) 253</w:t>
            </w:r>
          </w:p>
        </w:tc>
        <w:tc>
          <w:tcPr>
            <w:tcW w:w="2811" w:type="dxa"/>
            <w:shd w:val="clear" w:color="auto" w:fill="auto"/>
          </w:tcPr>
          <w:p>
            <w:pPr>
              <w:spacing w:after="0"/>
              <w:jc w:val="left"/>
              <w:rPr>
                <w:noProof/>
                <w:color w:val="000000"/>
                <w:sz w:val="20"/>
              </w:rPr>
            </w:pPr>
            <w:r>
              <w:rPr>
                <w:noProof/>
                <w:color w:val="000000"/>
                <w:sz w:val="20"/>
              </w:rPr>
              <w:t>Návrh smernice Európskeho parlamentu a Rady o </w:t>
            </w:r>
            <w:r>
              <w:rPr>
                <w:b/>
                <w:noProof/>
                <w:color w:val="000000"/>
                <w:sz w:val="20"/>
              </w:rPr>
              <w:t>rovnováhe medzi pracovným a súkromným životom rodičov a opatrovateľov</w:t>
            </w:r>
            <w:r>
              <w:rPr>
                <w:noProof/>
                <w:color w:val="000000"/>
                <w:sz w:val="20"/>
              </w:rPr>
              <w:t>, ktorou sa zrušuje smernica Rady 2010/18/EÚ</w:t>
            </w:r>
          </w:p>
        </w:tc>
        <w:tc>
          <w:tcPr>
            <w:tcW w:w="1207" w:type="dxa"/>
            <w:shd w:val="clear" w:color="auto" w:fill="auto"/>
          </w:tcPr>
          <w:p>
            <w:pPr>
              <w:spacing w:after="0"/>
              <w:jc w:val="center"/>
              <w:rPr>
                <w:noProof/>
                <w:color w:val="000000"/>
                <w:sz w:val="20"/>
              </w:rPr>
            </w:pPr>
            <w:r>
              <w:rPr>
                <w:noProof/>
                <w:color w:val="000000"/>
                <w:sz w:val="20"/>
              </w:rPr>
              <w:t>4</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NL </w:t>
            </w:r>
            <w:r>
              <w:rPr>
                <w:i/>
                <w:noProof/>
                <w:color w:val="000000"/>
                <w:sz w:val="20"/>
              </w:rPr>
              <w:t xml:space="preserve">Eerste Kamer </w:t>
            </w:r>
            <w:r>
              <w:rPr>
                <w:noProof/>
                <w:sz w:val="20"/>
              </w:rPr>
              <w:t>(1 hlas)</w:t>
            </w:r>
          </w:p>
          <w:p>
            <w:pPr>
              <w:spacing w:after="0"/>
              <w:jc w:val="left"/>
              <w:rPr>
                <w:i/>
                <w:iCs/>
                <w:noProof/>
                <w:color w:val="000000"/>
                <w:sz w:val="20"/>
              </w:rPr>
            </w:pPr>
          </w:p>
          <w:p>
            <w:pPr>
              <w:spacing w:after="0"/>
              <w:jc w:val="left"/>
              <w:rPr>
                <w:noProof/>
                <w:sz w:val="20"/>
              </w:rPr>
            </w:pPr>
            <w:r>
              <w:rPr>
                <w:noProof/>
                <w:sz w:val="20"/>
              </w:rPr>
              <w:t xml:space="preserve">NL </w:t>
            </w:r>
            <w:r>
              <w:rPr>
                <w:i/>
                <w:noProof/>
                <w:color w:val="000000"/>
                <w:sz w:val="20"/>
              </w:rPr>
              <w:t xml:space="preserve">Tweede Kamer </w:t>
            </w:r>
            <w:r>
              <w:rPr>
                <w:noProof/>
                <w:sz w:val="20"/>
              </w:rPr>
              <w:t>(1 hlas)</w:t>
            </w:r>
          </w:p>
          <w:p>
            <w:pPr>
              <w:spacing w:after="0"/>
              <w:jc w:val="left"/>
              <w:rPr>
                <w:noProof/>
                <w:sz w:val="20"/>
              </w:rPr>
            </w:pPr>
          </w:p>
          <w:p>
            <w:pPr>
              <w:spacing w:after="0"/>
              <w:jc w:val="left"/>
              <w:rPr>
                <w:noProof/>
                <w:sz w:val="20"/>
              </w:rPr>
            </w:pPr>
            <w:r>
              <w:rPr>
                <w:noProof/>
                <w:sz w:val="20"/>
              </w:rPr>
              <w:t xml:space="preserve">PL </w:t>
            </w:r>
            <w:r>
              <w:rPr>
                <w:i/>
                <w:noProof/>
                <w:sz w:val="20"/>
              </w:rPr>
              <w:t>Sejm</w:t>
            </w:r>
            <w:r>
              <w:rPr>
                <w:noProof/>
                <w:sz w:val="20"/>
              </w:rPr>
              <w:t xml:space="preserve"> (1 hlas)</w:t>
            </w:r>
          </w:p>
          <w:p>
            <w:pPr>
              <w:spacing w:after="0"/>
              <w:jc w:val="left"/>
              <w:rPr>
                <w:noProof/>
                <w:sz w:val="20"/>
              </w:rPr>
            </w:pPr>
          </w:p>
          <w:p>
            <w:pPr>
              <w:spacing w:after="0"/>
              <w:jc w:val="left"/>
              <w:rPr>
                <w:noProof/>
                <w:sz w:val="20"/>
              </w:rPr>
            </w:pPr>
            <w:r>
              <w:rPr>
                <w:noProof/>
                <w:sz w:val="20"/>
              </w:rPr>
              <w:t xml:space="preserve">PL </w:t>
            </w:r>
            <w:r>
              <w:rPr>
                <w:i/>
                <w:noProof/>
                <w:sz w:val="20"/>
              </w:rPr>
              <w:t>Senat</w:t>
            </w:r>
            <w:r>
              <w:rPr>
                <w:noProof/>
                <w:sz w:val="20"/>
              </w:rPr>
              <w:t xml:space="preserve"> (1 hlas)</w:t>
            </w:r>
          </w:p>
        </w:tc>
      </w:tr>
      <w:tr>
        <w:trPr>
          <w:cantSplit/>
        </w:trPr>
        <w:tc>
          <w:tcPr>
            <w:tcW w:w="414" w:type="dxa"/>
            <w:shd w:val="clear" w:color="auto" w:fill="auto"/>
          </w:tcPr>
          <w:p>
            <w:pPr>
              <w:spacing w:after="0"/>
              <w:jc w:val="left"/>
              <w:rPr>
                <w:noProof/>
                <w:sz w:val="20"/>
              </w:rPr>
            </w:pPr>
            <w:r>
              <w:rPr>
                <w:noProof/>
                <w:sz w:val="20"/>
              </w:rPr>
              <w:t>4</w:t>
            </w:r>
          </w:p>
        </w:tc>
        <w:tc>
          <w:tcPr>
            <w:tcW w:w="1977" w:type="dxa"/>
            <w:shd w:val="clear" w:color="auto" w:fill="auto"/>
          </w:tcPr>
          <w:p>
            <w:pPr>
              <w:spacing w:after="0"/>
              <w:jc w:val="left"/>
              <w:rPr>
                <w:noProof/>
                <w:color w:val="000000"/>
                <w:sz w:val="20"/>
              </w:rPr>
            </w:pPr>
            <w:r>
              <w:rPr>
                <w:noProof/>
                <w:color w:val="000000"/>
                <w:sz w:val="20"/>
              </w:rPr>
              <w:t>COM(2016) 821</w:t>
            </w:r>
          </w:p>
        </w:tc>
        <w:tc>
          <w:tcPr>
            <w:tcW w:w="2811" w:type="dxa"/>
            <w:shd w:val="clear" w:color="auto" w:fill="auto"/>
          </w:tcPr>
          <w:p>
            <w:pPr>
              <w:spacing w:after="0"/>
              <w:jc w:val="left"/>
              <w:rPr>
                <w:noProof/>
                <w:color w:val="000000"/>
                <w:sz w:val="20"/>
              </w:rPr>
            </w:pPr>
            <w:r>
              <w:rPr>
                <w:noProof/>
                <w:color w:val="000000"/>
                <w:sz w:val="20"/>
              </w:rPr>
              <w:t xml:space="preserve">Návrh smernice Európskeho parlamentu a Rady o presadzovaní smernice 2006/123/ES o službách na vnútornom trhu, ktorou sa stanovuje </w:t>
            </w:r>
            <w:r>
              <w:rPr>
                <w:b/>
                <w:noProof/>
                <w:color w:val="000000"/>
                <w:sz w:val="20"/>
              </w:rPr>
              <w:t>postup oznamovania pre systémy udeľovania povolení a požiadavky súvisiace so službami</w:t>
            </w:r>
            <w:r>
              <w:rPr>
                <w:noProof/>
                <w:color w:val="000000"/>
                <w:sz w:val="20"/>
              </w:rPr>
              <w:t xml:space="preserve"> a ktorou sa mení smernica 2006/123/ES a nariadenie (EÚ) č. 1024/2012 o </w:t>
            </w:r>
            <w:r>
              <w:rPr>
                <w:b/>
                <w:noProof/>
                <w:color w:val="000000"/>
                <w:sz w:val="20"/>
              </w:rPr>
              <w:t>administratívnej spolupráci prostredníctvom informačného systému o vnútornom trhu</w:t>
            </w:r>
          </w:p>
        </w:tc>
        <w:tc>
          <w:tcPr>
            <w:tcW w:w="1207" w:type="dxa"/>
            <w:shd w:val="clear" w:color="auto" w:fill="auto"/>
          </w:tcPr>
          <w:p>
            <w:pPr>
              <w:spacing w:after="0"/>
              <w:jc w:val="center"/>
              <w:rPr>
                <w:noProof/>
                <w:color w:val="000000"/>
                <w:sz w:val="20"/>
              </w:rPr>
            </w:pPr>
            <w:r>
              <w:rPr>
                <w:noProof/>
                <w:color w:val="000000"/>
                <w:sz w:val="20"/>
              </w:rPr>
              <w:t>4</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hlas)</w:t>
            </w:r>
          </w:p>
          <w:p>
            <w:pPr>
              <w:spacing w:after="0"/>
              <w:jc w:val="left"/>
              <w:rPr>
                <w:noProof/>
                <w:sz w:val="20"/>
              </w:rPr>
            </w:pPr>
          </w:p>
          <w:p>
            <w:pPr>
              <w:spacing w:after="0"/>
              <w:jc w:val="left"/>
              <w:rPr>
                <w:noProof/>
                <w:sz w:val="20"/>
              </w:rPr>
            </w:pPr>
            <w:r>
              <w:rPr>
                <w:noProof/>
                <w:sz w:val="20"/>
              </w:rPr>
              <w:t xml:space="preserve">DE </w:t>
            </w:r>
            <w:r>
              <w:rPr>
                <w:i/>
                <w:noProof/>
                <w:sz w:val="20"/>
              </w:rPr>
              <w:t>Bundesrat</w:t>
            </w:r>
            <w:r>
              <w:rPr>
                <w:noProof/>
                <w:sz w:val="20"/>
              </w:rPr>
              <w:t xml:space="preserve"> (1 hlas)</w:t>
            </w:r>
          </w:p>
          <w:p>
            <w:pPr>
              <w:spacing w:after="0"/>
              <w:jc w:val="left"/>
              <w:rPr>
                <w:noProof/>
                <w:sz w:val="20"/>
              </w:rPr>
            </w:pPr>
          </w:p>
          <w:p>
            <w:pPr>
              <w:spacing w:after="0"/>
              <w:jc w:val="left"/>
              <w:rPr>
                <w:noProof/>
                <w:sz w:val="20"/>
              </w:rPr>
            </w:pPr>
            <w:r>
              <w:rPr>
                <w:noProof/>
                <w:sz w:val="20"/>
              </w:rPr>
              <w:t xml:space="preserve">FR </w:t>
            </w:r>
            <w:r>
              <w:rPr>
                <w:i/>
                <w:noProof/>
                <w:color w:val="000000"/>
                <w:sz w:val="20"/>
              </w:rPr>
              <w:t xml:space="preserve">Assemblée nationale </w:t>
            </w:r>
            <w:r>
              <w:rPr>
                <w:noProof/>
                <w:sz w:val="20"/>
              </w:rPr>
              <w:t>(1 hlas)</w:t>
            </w:r>
          </w:p>
          <w:p>
            <w:pPr>
              <w:spacing w:after="0"/>
              <w:jc w:val="left"/>
              <w:rPr>
                <w:i/>
                <w:iCs/>
                <w:noProof/>
                <w:color w:val="000000"/>
                <w:sz w:val="20"/>
              </w:rPr>
            </w:pPr>
          </w:p>
          <w:p>
            <w:pPr>
              <w:spacing w:after="0"/>
              <w:jc w:val="left"/>
              <w:rPr>
                <w:noProof/>
                <w:sz w:val="20"/>
              </w:rPr>
            </w:pPr>
            <w:r>
              <w:rPr>
                <w:noProof/>
                <w:sz w:val="20"/>
              </w:rPr>
              <w:t xml:space="preserve">FR </w:t>
            </w:r>
            <w:r>
              <w:rPr>
                <w:i/>
                <w:noProof/>
                <w:sz w:val="20"/>
              </w:rPr>
              <w:t>Sénat</w:t>
            </w:r>
            <w:r>
              <w:rPr>
                <w:noProof/>
                <w:sz w:val="20"/>
              </w:rPr>
              <w:t xml:space="preserve"> (1 hlas) </w:t>
            </w:r>
          </w:p>
        </w:tc>
      </w:tr>
      <w:tr>
        <w:trPr>
          <w:cantSplit/>
        </w:trPr>
        <w:tc>
          <w:tcPr>
            <w:tcW w:w="414" w:type="dxa"/>
            <w:shd w:val="clear" w:color="auto" w:fill="auto"/>
          </w:tcPr>
          <w:p>
            <w:pPr>
              <w:spacing w:after="0"/>
              <w:jc w:val="left"/>
              <w:rPr>
                <w:noProof/>
                <w:sz w:val="20"/>
              </w:rPr>
            </w:pPr>
            <w:r>
              <w:rPr>
                <w:noProof/>
                <w:sz w:val="20"/>
              </w:rPr>
              <w:t>5</w:t>
            </w:r>
          </w:p>
        </w:tc>
        <w:tc>
          <w:tcPr>
            <w:tcW w:w="1977" w:type="dxa"/>
            <w:shd w:val="clear" w:color="auto" w:fill="auto"/>
          </w:tcPr>
          <w:p>
            <w:pPr>
              <w:spacing w:after="0"/>
              <w:jc w:val="left"/>
              <w:rPr>
                <w:noProof/>
                <w:color w:val="000000"/>
                <w:sz w:val="20"/>
              </w:rPr>
            </w:pPr>
            <w:r>
              <w:rPr>
                <w:noProof/>
                <w:color w:val="000000"/>
                <w:sz w:val="20"/>
              </w:rPr>
              <w:t>COM(2016) 864</w:t>
            </w:r>
          </w:p>
        </w:tc>
        <w:tc>
          <w:tcPr>
            <w:tcW w:w="2811" w:type="dxa"/>
            <w:shd w:val="clear" w:color="auto" w:fill="auto"/>
          </w:tcPr>
          <w:p>
            <w:pPr>
              <w:spacing w:after="0"/>
              <w:jc w:val="left"/>
              <w:rPr>
                <w:noProof/>
                <w:color w:val="000000"/>
                <w:sz w:val="20"/>
              </w:rPr>
            </w:pPr>
            <w:r>
              <w:rPr>
                <w:noProof/>
                <w:color w:val="000000"/>
                <w:sz w:val="20"/>
              </w:rPr>
              <w:t>Návrh smernice Európskeho parlamentu a Rady o </w:t>
            </w:r>
            <w:r>
              <w:rPr>
                <w:b/>
                <w:noProof/>
                <w:color w:val="000000"/>
                <w:sz w:val="20"/>
              </w:rPr>
              <w:t>spoločných pravidlách pre vnútorný trh s elektrinou</w:t>
            </w:r>
            <w:r>
              <w:rPr>
                <w:noProof/>
                <w:color w:val="000000"/>
                <w:sz w:val="20"/>
              </w:rPr>
              <w:t xml:space="preserve"> (prepracované znenie) </w:t>
            </w:r>
          </w:p>
        </w:tc>
        <w:tc>
          <w:tcPr>
            <w:tcW w:w="1207" w:type="dxa"/>
            <w:shd w:val="clear" w:color="auto" w:fill="auto"/>
          </w:tcPr>
          <w:p>
            <w:pPr>
              <w:spacing w:after="0"/>
              <w:jc w:val="center"/>
              <w:rPr>
                <w:noProof/>
                <w:color w:val="000000"/>
                <w:sz w:val="20"/>
              </w:rPr>
            </w:pPr>
            <w:r>
              <w:rPr>
                <w:noProof/>
                <w:color w:val="000000"/>
                <w:sz w:val="20"/>
              </w:rPr>
              <w:t>3</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AT </w:t>
            </w:r>
            <w:r>
              <w:rPr>
                <w:i/>
                <w:noProof/>
                <w:sz w:val="20"/>
              </w:rPr>
              <w:t>Bundesrat</w:t>
            </w:r>
            <w:r>
              <w:rPr>
                <w:noProof/>
                <w:sz w:val="20"/>
              </w:rPr>
              <w:t xml:space="preserve"> (1 hlas)</w:t>
            </w:r>
          </w:p>
          <w:p>
            <w:pPr>
              <w:spacing w:after="0"/>
              <w:jc w:val="left"/>
              <w:rPr>
                <w:noProof/>
                <w:sz w:val="20"/>
              </w:rPr>
            </w:pPr>
          </w:p>
          <w:p>
            <w:pPr>
              <w:spacing w:after="0"/>
              <w:jc w:val="left"/>
              <w:rPr>
                <w:noProof/>
                <w:sz w:val="20"/>
              </w:rPr>
            </w:pPr>
            <w:r>
              <w:rPr>
                <w:noProof/>
                <w:sz w:val="20"/>
              </w:rPr>
              <w:t xml:space="preserve">HU </w:t>
            </w:r>
            <w:r>
              <w:rPr>
                <w:i/>
                <w:noProof/>
                <w:color w:val="000000"/>
                <w:sz w:val="20"/>
              </w:rPr>
              <w:t>Országgyűlés</w:t>
            </w:r>
            <w:r>
              <w:rPr>
                <w:noProof/>
                <w:sz w:val="20"/>
              </w:rPr>
              <w:t xml:space="preserve"> (2 hlasy)</w:t>
            </w:r>
          </w:p>
          <w:p>
            <w:pPr>
              <w:spacing w:after="0"/>
              <w:jc w:val="left"/>
              <w:rPr>
                <w:noProof/>
                <w:sz w:val="20"/>
              </w:rPr>
            </w:pPr>
          </w:p>
          <w:p>
            <w:pPr>
              <w:spacing w:after="0"/>
              <w:jc w:val="left"/>
              <w:rPr>
                <w:noProof/>
                <w:sz w:val="20"/>
              </w:rPr>
            </w:pPr>
            <w:r>
              <w:rPr>
                <w:noProof/>
                <w:sz w:val="20"/>
              </w:rPr>
              <w:t xml:space="preserve">PL </w:t>
            </w:r>
            <w:r>
              <w:rPr>
                <w:i/>
                <w:noProof/>
                <w:sz w:val="20"/>
              </w:rPr>
              <w:t>Senat</w:t>
            </w:r>
            <w:r>
              <w:rPr>
                <w:noProof/>
                <w:sz w:val="20"/>
              </w:rPr>
              <w:t xml:space="preserve"> (1 hlas) </w:t>
            </w:r>
          </w:p>
        </w:tc>
      </w:tr>
      <w:tr>
        <w:trPr>
          <w:cantSplit/>
        </w:trPr>
        <w:tc>
          <w:tcPr>
            <w:tcW w:w="414" w:type="dxa"/>
            <w:shd w:val="clear" w:color="auto" w:fill="auto"/>
          </w:tcPr>
          <w:p>
            <w:pPr>
              <w:spacing w:after="0"/>
              <w:jc w:val="left"/>
              <w:rPr>
                <w:noProof/>
                <w:sz w:val="20"/>
              </w:rPr>
            </w:pPr>
            <w:r>
              <w:rPr>
                <w:noProof/>
                <w:sz w:val="20"/>
              </w:rPr>
              <w:t>6</w:t>
            </w:r>
          </w:p>
        </w:tc>
        <w:tc>
          <w:tcPr>
            <w:tcW w:w="1977" w:type="dxa"/>
            <w:shd w:val="clear" w:color="auto" w:fill="auto"/>
          </w:tcPr>
          <w:p>
            <w:pPr>
              <w:spacing w:after="0"/>
              <w:jc w:val="left"/>
              <w:rPr>
                <w:noProof/>
                <w:color w:val="000000"/>
                <w:sz w:val="20"/>
              </w:rPr>
            </w:pPr>
            <w:r>
              <w:rPr>
                <w:noProof/>
                <w:color w:val="000000"/>
                <w:sz w:val="20"/>
              </w:rPr>
              <w:t>COM(2016) 863</w:t>
            </w:r>
          </w:p>
        </w:tc>
        <w:tc>
          <w:tcPr>
            <w:tcW w:w="2811" w:type="dxa"/>
            <w:shd w:val="clear" w:color="auto" w:fill="auto"/>
          </w:tcPr>
          <w:p>
            <w:pPr>
              <w:spacing w:after="0"/>
              <w:jc w:val="left"/>
              <w:rPr>
                <w:noProof/>
                <w:color w:val="000000"/>
                <w:sz w:val="20"/>
              </w:rPr>
            </w:pPr>
            <w:r>
              <w:rPr>
                <w:noProof/>
                <w:color w:val="000000"/>
                <w:sz w:val="20"/>
              </w:rPr>
              <w:t xml:space="preserve">Návrh nariadenia Európskeho parlamentu a Rady, ktorým sa zriaďuje </w:t>
            </w:r>
            <w:r>
              <w:rPr>
                <w:b/>
                <w:noProof/>
                <w:color w:val="000000"/>
                <w:sz w:val="20"/>
              </w:rPr>
              <w:t>Agentúra Európskej únie pre spoluprácu regulačných orgánov v oblasti energetiky</w:t>
            </w:r>
            <w:r>
              <w:rPr>
                <w:noProof/>
                <w:color w:val="000000"/>
                <w:sz w:val="20"/>
              </w:rPr>
              <w:t xml:space="preserve"> (prepracované znenie) </w:t>
            </w:r>
          </w:p>
        </w:tc>
        <w:tc>
          <w:tcPr>
            <w:tcW w:w="1207" w:type="dxa"/>
            <w:shd w:val="clear" w:color="auto" w:fill="auto"/>
          </w:tcPr>
          <w:p>
            <w:pPr>
              <w:spacing w:after="0"/>
              <w:jc w:val="center"/>
              <w:rPr>
                <w:noProof/>
                <w:color w:val="000000"/>
                <w:sz w:val="20"/>
              </w:rPr>
            </w:pPr>
            <w:r>
              <w:rPr>
                <w:noProof/>
                <w:color w:val="000000"/>
                <w:sz w:val="20"/>
              </w:rPr>
              <w:t>3</w:t>
            </w:r>
          </w:p>
        </w:tc>
        <w:tc>
          <w:tcPr>
            <w:tcW w:w="1157" w:type="dxa"/>
            <w:shd w:val="clear" w:color="auto" w:fill="auto"/>
          </w:tcPr>
          <w:p>
            <w:pPr>
              <w:spacing w:after="0"/>
              <w:jc w:val="center"/>
              <w:rPr>
                <w:noProof/>
                <w:color w:val="000000"/>
                <w:sz w:val="20"/>
              </w:rPr>
            </w:pPr>
            <w:r>
              <w:rPr>
                <w:noProof/>
                <w:color w:val="000000"/>
                <w:sz w:val="20"/>
              </w:rPr>
              <w:t>3</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hlas)</w:t>
            </w:r>
          </w:p>
          <w:p>
            <w:pPr>
              <w:spacing w:after="0"/>
              <w:jc w:val="left"/>
              <w:rPr>
                <w:noProof/>
                <w:sz w:val="20"/>
              </w:rPr>
            </w:pPr>
          </w:p>
          <w:p>
            <w:pPr>
              <w:spacing w:after="0"/>
              <w:jc w:val="left"/>
              <w:rPr>
                <w:noProof/>
                <w:sz w:val="20"/>
              </w:rPr>
            </w:pPr>
            <w:r>
              <w:rPr>
                <w:noProof/>
                <w:sz w:val="20"/>
              </w:rPr>
              <w:t xml:space="preserve">FR </w:t>
            </w:r>
            <w:r>
              <w:rPr>
                <w:i/>
                <w:noProof/>
                <w:sz w:val="20"/>
              </w:rPr>
              <w:t>Sénat</w:t>
            </w:r>
            <w:r>
              <w:rPr>
                <w:noProof/>
                <w:sz w:val="20"/>
              </w:rPr>
              <w:t xml:space="preserve"> (1 hlas)</w:t>
            </w:r>
          </w:p>
          <w:p>
            <w:pPr>
              <w:spacing w:after="0"/>
              <w:jc w:val="left"/>
              <w:rPr>
                <w:noProof/>
                <w:sz w:val="20"/>
              </w:rPr>
            </w:pPr>
          </w:p>
          <w:p>
            <w:pPr>
              <w:spacing w:after="0"/>
              <w:jc w:val="left"/>
              <w:rPr>
                <w:noProof/>
                <w:sz w:val="20"/>
              </w:rPr>
            </w:pPr>
            <w:r>
              <w:rPr>
                <w:noProof/>
                <w:color w:val="000000"/>
                <w:sz w:val="20"/>
              </w:rPr>
              <w:t xml:space="preserve">RO </w:t>
            </w:r>
            <w:r>
              <w:rPr>
                <w:i/>
                <w:noProof/>
                <w:color w:val="000000"/>
                <w:sz w:val="20"/>
              </w:rPr>
              <w:t>Senatul</w:t>
            </w:r>
            <w:r>
              <w:rPr>
                <w:noProof/>
                <w:color w:val="000000"/>
                <w:sz w:val="20"/>
              </w:rPr>
              <w:t xml:space="preserve"> </w:t>
            </w:r>
            <w:r>
              <w:rPr>
                <w:noProof/>
                <w:sz w:val="20"/>
              </w:rPr>
              <w:t xml:space="preserve">(1 hlas) </w:t>
            </w:r>
          </w:p>
        </w:tc>
      </w:tr>
      <w:tr>
        <w:trPr>
          <w:cantSplit/>
        </w:trPr>
        <w:tc>
          <w:tcPr>
            <w:tcW w:w="414" w:type="dxa"/>
            <w:shd w:val="clear" w:color="auto" w:fill="auto"/>
          </w:tcPr>
          <w:p>
            <w:pPr>
              <w:spacing w:after="0"/>
              <w:jc w:val="left"/>
              <w:rPr>
                <w:noProof/>
                <w:sz w:val="20"/>
              </w:rPr>
            </w:pPr>
            <w:r>
              <w:rPr>
                <w:noProof/>
                <w:sz w:val="20"/>
              </w:rPr>
              <w:t>7</w:t>
            </w:r>
          </w:p>
        </w:tc>
        <w:tc>
          <w:tcPr>
            <w:tcW w:w="1977" w:type="dxa"/>
            <w:shd w:val="clear" w:color="auto" w:fill="auto"/>
          </w:tcPr>
          <w:p>
            <w:pPr>
              <w:spacing w:after="0"/>
              <w:jc w:val="left"/>
              <w:rPr>
                <w:noProof/>
                <w:color w:val="000000"/>
                <w:sz w:val="20"/>
              </w:rPr>
            </w:pPr>
            <w:r>
              <w:rPr>
                <w:noProof/>
                <w:color w:val="000000"/>
                <w:sz w:val="20"/>
              </w:rPr>
              <w:t>COM(2016) 765</w:t>
            </w:r>
          </w:p>
        </w:tc>
        <w:tc>
          <w:tcPr>
            <w:tcW w:w="2811" w:type="dxa"/>
            <w:shd w:val="clear" w:color="auto" w:fill="auto"/>
          </w:tcPr>
          <w:p>
            <w:pPr>
              <w:spacing w:after="0"/>
              <w:jc w:val="left"/>
              <w:rPr>
                <w:noProof/>
                <w:color w:val="000000"/>
                <w:sz w:val="20"/>
              </w:rPr>
            </w:pPr>
            <w:r>
              <w:rPr>
                <w:noProof/>
                <w:color w:val="000000"/>
                <w:sz w:val="20"/>
              </w:rPr>
              <w:t>Návrh smernice Európskeho parlamentu a Rady, ktorou sa mení smernica 2010/31/EÚ o </w:t>
            </w:r>
            <w:r>
              <w:rPr>
                <w:b/>
                <w:noProof/>
                <w:color w:val="000000"/>
                <w:sz w:val="20"/>
              </w:rPr>
              <w:t>energetickej hospodárnosti budov</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NL </w:t>
            </w:r>
            <w:r>
              <w:rPr>
                <w:i/>
                <w:noProof/>
                <w:color w:val="000000"/>
                <w:sz w:val="20"/>
              </w:rPr>
              <w:t xml:space="preserve">Eerste Kamer </w:t>
            </w:r>
            <w:r>
              <w:rPr>
                <w:noProof/>
                <w:sz w:val="20"/>
              </w:rPr>
              <w:t>(1 hlas)</w:t>
            </w:r>
          </w:p>
          <w:p>
            <w:pPr>
              <w:spacing w:after="0"/>
              <w:jc w:val="left"/>
              <w:rPr>
                <w:i/>
                <w:iCs/>
                <w:noProof/>
                <w:color w:val="000000"/>
                <w:sz w:val="20"/>
              </w:rPr>
            </w:pPr>
          </w:p>
          <w:p>
            <w:pPr>
              <w:spacing w:after="0"/>
              <w:jc w:val="left"/>
              <w:rPr>
                <w:noProof/>
                <w:sz w:val="20"/>
              </w:rPr>
            </w:pPr>
            <w:r>
              <w:rPr>
                <w:noProof/>
                <w:sz w:val="20"/>
              </w:rPr>
              <w:t xml:space="preserve">NL </w:t>
            </w:r>
            <w:r>
              <w:rPr>
                <w:i/>
                <w:noProof/>
                <w:color w:val="000000"/>
                <w:sz w:val="20"/>
              </w:rPr>
              <w:t xml:space="preserve">Tweede Kamer </w:t>
            </w:r>
            <w:r>
              <w:rPr>
                <w:noProof/>
                <w:sz w:val="20"/>
              </w:rPr>
              <w:t>(1 hlas)</w:t>
            </w:r>
          </w:p>
          <w:p>
            <w:pPr>
              <w:spacing w:after="0"/>
              <w:jc w:val="left"/>
              <w:rPr>
                <w:noProof/>
                <w:sz w:val="20"/>
              </w:rPr>
            </w:pPr>
          </w:p>
          <w:p>
            <w:pPr>
              <w:spacing w:after="0"/>
              <w:jc w:val="left"/>
              <w:rPr>
                <w:noProof/>
                <w:sz w:val="20"/>
              </w:rPr>
            </w:pPr>
          </w:p>
        </w:tc>
      </w:tr>
      <w:tr>
        <w:trPr>
          <w:cantSplit/>
        </w:trPr>
        <w:tc>
          <w:tcPr>
            <w:tcW w:w="414" w:type="dxa"/>
            <w:shd w:val="clear" w:color="auto" w:fill="auto"/>
          </w:tcPr>
          <w:p>
            <w:pPr>
              <w:spacing w:after="0"/>
              <w:jc w:val="left"/>
              <w:rPr>
                <w:noProof/>
                <w:sz w:val="20"/>
              </w:rPr>
            </w:pPr>
            <w:r>
              <w:rPr>
                <w:noProof/>
                <w:sz w:val="20"/>
              </w:rPr>
              <w:t>8</w:t>
            </w:r>
          </w:p>
        </w:tc>
        <w:tc>
          <w:tcPr>
            <w:tcW w:w="1977" w:type="dxa"/>
            <w:shd w:val="clear" w:color="auto" w:fill="auto"/>
          </w:tcPr>
          <w:p>
            <w:pPr>
              <w:spacing w:after="0"/>
              <w:jc w:val="left"/>
              <w:rPr>
                <w:noProof/>
                <w:color w:val="000000"/>
                <w:sz w:val="20"/>
              </w:rPr>
            </w:pPr>
            <w:r>
              <w:rPr>
                <w:noProof/>
                <w:color w:val="000000"/>
                <w:sz w:val="20"/>
              </w:rPr>
              <w:t>COM(2016) 723</w:t>
            </w:r>
          </w:p>
        </w:tc>
        <w:tc>
          <w:tcPr>
            <w:tcW w:w="2811" w:type="dxa"/>
            <w:shd w:val="clear" w:color="auto" w:fill="auto"/>
          </w:tcPr>
          <w:p>
            <w:pPr>
              <w:spacing w:after="0"/>
              <w:jc w:val="left"/>
              <w:rPr>
                <w:noProof/>
                <w:color w:val="000000"/>
                <w:sz w:val="20"/>
              </w:rPr>
            </w:pPr>
            <w:r>
              <w:rPr>
                <w:noProof/>
                <w:color w:val="000000"/>
                <w:sz w:val="20"/>
              </w:rPr>
              <w:t>Návrh smernice Európskeho parlamentu a Rady o </w:t>
            </w:r>
            <w:r>
              <w:rPr>
                <w:b/>
                <w:noProof/>
                <w:color w:val="000000"/>
                <w:sz w:val="20"/>
              </w:rPr>
              <w:t>rámcoch preventívnej reštrukturalizácie, druhej šanci a opatreniach na zvýšenie účinnosti postupov reštrukturalizácie, platobnej neschopnosti a oddlženia</w:t>
            </w:r>
            <w:r>
              <w:rPr>
                <w:noProof/>
                <w:color w:val="000000"/>
                <w:sz w:val="20"/>
              </w:rPr>
              <w:t xml:space="preserve"> a o zmene smernice 2012/30/EÚ</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IE </w:t>
            </w:r>
            <w:r>
              <w:rPr>
                <w:i/>
                <w:noProof/>
                <w:color w:val="000000"/>
                <w:sz w:val="20"/>
              </w:rPr>
              <w:t xml:space="preserve">Seanad Éireann </w:t>
            </w:r>
            <w:r>
              <w:rPr>
                <w:noProof/>
                <w:sz w:val="20"/>
              </w:rPr>
              <w:t>(1 hlas)</w:t>
            </w:r>
          </w:p>
          <w:p>
            <w:pPr>
              <w:spacing w:after="0"/>
              <w:jc w:val="left"/>
              <w:rPr>
                <w:noProof/>
                <w:sz w:val="20"/>
              </w:rPr>
            </w:pPr>
          </w:p>
          <w:p>
            <w:pPr>
              <w:spacing w:after="0"/>
              <w:jc w:val="left"/>
              <w:rPr>
                <w:noProof/>
                <w:sz w:val="20"/>
              </w:rPr>
            </w:pPr>
            <w:r>
              <w:rPr>
                <w:noProof/>
                <w:sz w:val="20"/>
              </w:rPr>
              <w:t xml:space="preserve">IE </w:t>
            </w:r>
            <w:r>
              <w:rPr>
                <w:i/>
                <w:noProof/>
                <w:color w:val="000000"/>
                <w:sz w:val="20"/>
              </w:rPr>
              <w:t>Dáil</w:t>
            </w:r>
            <w:r>
              <w:rPr>
                <w:noProof/>
                <w:color w:val="000000"/>
                <w:sz w:val="20"/>
              </w:rPr>
              <w:t xml:space="preserve"> </w:t>
            </w:r>
            <w:r>
              <w:rPr>
                <w:i/>
                <w:noProof/>
                <w:color w:val="000000"/>
                <w:sz w:val="20"/>
              </w:rPr>
              <w:t xml:space="preserve">Éireann </w:t>
            </w:r>
            <w:r>
              <w:rPr>
                <w:noProof/>
                <w:sz w:val="20"/>
              </w:rPr>
              <w:t>(1 hlas)</w:t>
            </w:r>
          </w:p>
        </w:tc>
      </w:tr>
      <w:tr>
        <w:trPr>
          <w:cantSplit/>
        </w:trPr>
        <w:tc>
          <w:tcPr>
            <w:tcW w:w="414" w:type="dxa"/>
            <w:shd w:val="clear" w:color="auto" w:fill="auto"/>
          </w:tcPr>
          <w:p>
            <w:pPr>
              <w:spacing w:after="0"/>
              <w:jc w:val="left"/>
              <w:rPr>
                <w:noProof/>
                <w:sz w:val="20"/>
              </w:rPr>
            </w:pPr>
            <w:r>
              <w:rPr>
                <w:noProof/>
                <w:sz w:val="20"/>
              </w:rPr>
              <w:t>9</w:t>
            </w:r>
          </w:p>
        </w:tc>
        <w:tc>
          <w:tcPr>
            <w:tcW w:w="1977" w:type="dxa"/>
            <w:shd w:val="clear" w:color="auto" w:fill="auto"/>
          </w:tcPr>
          <w:p>
            <w:pPr>
              <w:spacing w:after="0"/>
              <w:jc w:val="left"/>
              <w:rPr>
                <w:noProof/>
                <w:color w:val="000000"/>
                <w:sz w:val="20"/>
              </w:rPr>
            </w:pPr>
            <w:r>
              <w:rPr>
                <w:noProof/>
                <w:color w:val="000000"/>
                <w:sz w:val="20"/>
              </w:rPr>
              <w:t>COM(2016) 823</w:t>
            </w:r>
          </w:p>
        </w:tc>
        <w:tc>
          <w:tcPr>
            <w:tcW w:w="2811" w:type="dxa"/>
            <w:shd w:val="clear" w:color="auto" w:fill="auto"/>
          </w:tcPr>
          <w:p>
            <w:pPr>
              <w:spacing w:after="0"/>
              <w:jc w:val="left"/>
              <w:rPr>
                <w:noProof/>
                <w:color w:val="000000"/>
                <w:sz w:val="20"/>
              </w:rPr>
            </w:pPr>
            <w:r>
              <w:rPr>
                <w:noProof/>
                <w:color w:val="000000"/>
                <w:sz w:val="20"/>
              </w:rPr>
              <w:t>Návrh smernice Európskeho parlamentu a Rady o </w:t>
            </w:r>
            <w:r>
              <w:rPr>
                <w:b/>
                <w:noProof/>
                <w:color w:val="000000"/>
                <w:sz w:val="20"/>
              </w:rPr>
              <w:t xml:space="preserve">právnom a operačnom rámci pre európsky elektronický preukaz služieb </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hlas)</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hlas) </w:t>
            </w:r>
          </w:p>
        </w:tc>
      </w:tr>
      <w:tr>
        <w:trPr>
          <w:cantSplit/>
        </w:trPr>
        <w:tc>
          <w:tcPr>
            <w:tcW w:w="414" w:type="dxa"/>
            <w:shd w:val="clear" w:color="auto" w:fill="auto"/>
          </w:tcPr>
          <w:p>
            <w:pPr>
              <w:spacing w:after="0"/>
              <w:jc w:val="left"/>
              <w:rPr>
                <w:noProof/>
                <w:sz w:val="20"/>
              </w:rPr>
            </w:pPr>
            <w:r>
              <w:rPr>
                <w:noProof/>
                <w:sz w:val="20"/>
              </w:rPr>
              <w:t>10</w:t>
            </w:r>
          </w:p>
        </w:tc>
        <w:tc>
          <w:tcPr>
            <w:tcW w:w="1977" w:type="dxa"/>
            <w:shd w:val="clear" w:color="auto" w:fill="auto"/>
          </w:tcPr>
          <w:p>
            <w:pPr>
              <w:spacing w:after="0"/>
              <w:jc w:val="left"/>
              <w:rPr>
                <w:noProof/>
                <w:color w:val="000000"/>
                <w:sz w:val="20"/>
              </w:rPr>
            </w:pPr>
            <w:r>
              <w:rPr>
                <w:noProof/>
                <w:color w:val="000000"/>
                <w:sz w:val="20"/>
              </w:rPr>
              <w:t>COM(2016) 824</w:t>
            </w:r>
          </w:p>
        </w:tc>
        <w:tc>
          <w:tcPr>
            <w:tcW w:w="2811" w:type="dxa"/>
            <w:shd w:val="clear" w:color="auto" w:fill="auto"/>
          </w:tcPr>
          <w:p>
            <w:pPr>
              <w:spacing w:after="0"/>
              <w:jc w:val="left"/>
              <w:rPr>
                <w:noProof/>
                <w:color w:val="000000"/>
                <w:sz w:val="20"/>
              </w:rPr>
            </w:pPr>
            <w:r>
              <w:rPr>
                <w:noProof/>
                <w:color w:val="000000"/>
                <w:sz w:val="20"/>
              </w:rPr>
              <w:t>Návrh nariadenia Európskeho parlamentu a Rady o </w:t>
            </w:r>
            <w:r>
              <w:rPr>
                <w:b/>
                <w:noProof/>
                <w:color w:val="000000"/>
                <w:sz w:val="20"/>
              </w:rPr>
              <w:t>zavedení európskeho elektronického preukazu služieb</w:t>
            </w:r>
            <w:r>
              <w:rPr>
                <w:noProof/>
                <w:color w:val="000000"/>
                <w:sz w:val="20"/>
              </w:rPr>
              <w:t xml:space="preserve"> a súvisiacich administratívnych prostriedkoch</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hlas)</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hlas)</w:t>
            </w:r>
          </w:p>
        </w:tc>
      </w:tr>
      <w:tr>
        <w:trPr>
          <w:cantSplit/>
        </w:trPr>
        <w:tc>
          <w:tcPr>
            <w:tcW w:w="414" w:type="dxa"/>
            <w:shd w:val="clear" w:color="auto" w:fill="auto"/>
          </w:tcPr>
          <w:p>
            <w:pPr>
              <w:spacing w:after="0"/>
              <w:jc w:val="left"/>
              <w:rPr>
                <w:noProof/>
                <w:sz w:val="20"/>
              </w:rPr>
            </w:pPr>
            <w:r>
              <w:rPr>
                <w:noProof/>
                <w:sz w:val="20"/>
              </w:rPr>
              <w:t>11</w:t>
            </w:r>
          </w:p>
        </w:tc>
        <w:tc>
          <w:tcPr>
            <w:tcW w:w="1977" w:type="dxa"/>
            <w:shd w:val="clear" w:color="auto" w:fill="auto"/>
          </w:tcPr>
          <w:p>
            <w:pPr>
              <w:spacing w:after="0"/>
              <w:jc w:val="left"/>
              <w:rPr>
                <w:noProof/>
                <w:color w:val="000000"/>
                <w:sz w:val="20"/>
              </w:rPr>
            </w:pPr>
            <w:r>
              <w:rPr>
                <w:noProof/>
                <w:color w:val="000000"/>
                <w:sz w:val="20"/>
              </w:rPr>
              <w:t>COM(2017) 647</w:t>
            </w:r>
          </w:p>
        </w:tc>
        <w:tc>
          <w:tcPr>
            <w:tcW w:w="2811" w:type="dxa"/>
            <w:shd w:val="clear" w:color="auto" w:fill="auto"/>
          </w:tcPr>
          <w:p>
            <w:pPr>
              <w:spacing w:after="0"/>
              <w:jc w:val="left"/>
              <w:rPr>
                <w:noProof/>
                <w:color w:val="000000"/>
                <w:sz w:val="20"/>
              </w:rPr>
            </w:pPr>
            <w:r>
              <w:rPr>
                <w:noProof/>
                <w:color w:val="000000"/>
                <w:sz w:val="20"/>
              </w:rPr>
              <w:t>Návrh nariadenia Európskeho parlamentu a Rady, ktorým sa mení nariadenie (ES) č. 1073/2009 o </w:t>
            </w:r>
            <w:r>
              <w:rPr>
                <w:b/>
                <w:noProof/>
                <w:color w:val="000000"/>
                <w:sz w:val="20"/>
              </w:rPr>
              <w:t>spoločných pravidlách prístupu na medzinárodný trh autokarovej a autobusovej dopravy</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ES </w:t>
            </w:r>
            <w:r>
              <w:rPr>
                <w:i/>
                <w:noProof/>
                <w:sz w:val="20"/>
              </w:rPr>
              <w:t>Cortes Generales</w:t>
            </w:r>
            <w:r>
              <w:rPr>
                <w:noProof/>
                <w:sz w:val="20"/>
              </w:rPr>
              <w:t xml:space="preserve"> (2 hlasy)</w:t>
            </w:r>
          </w:p>
          <w:p>
            <w:pPr>
              <w:spacing w:after="0"/>
              <w:jc w:val="left"/>
              <w:rPr>
                <w:noProof/>
                <w:sz w:val="20"/>
              </w:rPr>
            </w:pPr>
          </w:p>
          <w:p>
            <w:pPr>
              <w:spacing w:after="0"/>
              <w:jc w:val="left"/>
              <w:rPr>
                <w:noProof/>
                <w:sz w:val="20"/>
              </w:rPr>
            </w:pPr>
            <w:r>
              <w:rPr>
                <w:noProof/>
                <w:sz w:val="20"/>
              </w:rPr>
              <w:t xml:space="preserve">IE Houses of the </w:t>
            </w:r>
            <w:r>
              <w:rPr>
                <w:i/>
                <w:noProof/>
                <w:sz w:val="20"/>
              </w:rPr>
              <w:t>Oireachtas</w:t>
            </w:r>
            <w:r>
              <w:rPr>
                <w:noProof/>
                <w:sz w:val="20"/>
              </w:rPr>
              <w:t xml:space="preserve"> (2 hlasy)</w:t>
            </w:r>
          </w:p>
        </w:tc>
      </w:tr>
      <w:tr>
        <w:trPr>
          <w:cantSplit/>
        </w:trPr>
        <w:tc>
          <w:tcPr>
            <w:tcW w:w="414" w:type="dxa"/>
            <w:shd w:val="clear" w:color="auto" w:fill="auto"/>
          </w:tcPr>
          <w:p>
            <w:pPr>
              <w:spacing w:after="0"/>
              <w:jc w:val="left"/>
              <w:rPr>
                <w:noProof/>
                <w:sz w:val="20"/>
              </w:rPr>
            </w:pPr>
            <w:r>
              <w:rPr>
                <w:noProof/>
                <w:sz w:val="20"/>
              </w:rPr>
              <w:t>12</w:t>
            </w:r>
          </w:p>
        </w:tc>
        <w:tc>
          <w:tcPr>
            <w:tcW w:w="1977" w:type="dxa"/>
            <w:shd w:val="clear" w:color="auto" w:fill="auto"/>
          </w:tcPr>
          <w:p>
            <w:pPr>
              <w:spacing w:after="0"/>
              <w:jc w:val="left"/>
              <w:rPr>
                <w:noProof/>
                <w:color w:val="000000"/>
                <w:sz w:val="20"/>
              </w:rPr>
            </w:pPr>
            <w:r>
              <w:rPr>
                <w:noProof/>
                <w:color w:val="000000"/>
                <w:sz w:val="20"/>
              </w:rPr>
              <w:t>COM(2016) 815</w:t>
            </w:r>
          </w:p>
        </w:tc>
        <w:tc>
          <w:tcPr>
            <w:tcW w:w="2811" w:type="dxa"/>
            <w:shd w:val="clear" w:color="auto" w:fill="auto"/>
          </w:tcPr>
          <w:p>
            <w:pPr>
              <w:spacing w:after="0"/>
              <w:jc w:val="left"/>
              <w:rPr>
                <w:noProof/>
                <w:color w:val="000000"/>
                <w:sz w:val="20"/>
              </w:rPr>
            </w:pPr>
            <w:r>
              <w:rPr>
                <w:noProof/>
                <w:color w:val="000000"/>
                <w:sz w:val="20"/>
              </w:rPr>
              <w:t>Návrh nariadenia Európskeho parlamentu a Rady, ktorým sa mení nariadenie (ES) č. 883/2004 o </w:t>
            </w:r>
            <w:r>
              <w:rPr>
                <w:b/>
                <w:noProof/>
                <w:color w:val="000000"/>
                <w:sz w:val="20"/>
              </w:rPr>
              <w:t>koordinácii systémov sociálneho zabezpečenia</w:t>
            </w:r>
            <w:r>
              <w:rPr>
                <w:noProof/>
                <w:color w:val="000000"/>
                <w:sz w:val="20"/>
              </w:rPr>
              <w:t xml:space="preserve"> a nariadenie (ES) č. 987/2009, ktorým sa stanovuje postup vykonávania nariadenia (ES) č. 883/2004</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hlas)</w:t>
            </w:r>
          </w:p>
        </w:tc>
      </w:tr>
      <w:tr>
        <w:trPr>
          <w:cantSplit/>
        </w:trPr>
        <w:tc>
          <w:tcPr>
            <w:tcW w:w="414" w:type="dxa"/>
            <w:shd w:val="clear" w:color="auto" w:fill="auto"/>
          </w:tcPr>
          <w:p>
            <w:pPr>
              <w:spacing w:after="0"/>
              <w:jc w:val="left"/>
              <w:rPr>
                <w:noProof/>
                <w:sz w:val="20"/>
              </w:rPr>
            </w:pPr>
            <w:r>
              <w:rPr>
                <w:noProof/>
                <w:sz w:val="20"/>
              </w:rPr>
              <w:t>13</w:t>
            </w:r>
          </w:p>
        </w:tc>
        <w:tc>
          <w:tcPr>
            <w:tcW w:w="1977" w:type="dxa"/>
            <w:shd w:val="clear" w:color="auto" w:fill="auto"/>
          </w:tcPr>
          <w:p>
            <w:pPr>
              <w:spacing w:after="0"/>
              <w:jc w:val="left"/>
              <w:rPr>
                <w:noProof/>
                <w:color w:val="000000"/>
                <w:sz w:val="20"/>
              </w:rPr>
            </w:pPr>
            <w:r>
              <w:rPr>
                <w:noProof/>
                <w:color w:val="000000"/>
                <w:sz w:val="20"/>
              </w:rPr>
              <w:t>COM(2017) 275</w:t>
            </w:r>
          </w:p>
        </w:tc>
        <w:tc>
          <w:tcPr>
            <w:tcW w:w="2811" w:type="dxa"/>
            <w:shd w:val="clear" w:color="auto" w:fill="auto"/>
          </w:tcPr>
          <w:p>
            <w:pPr>
              <w:spacing w:after="0"/>
              <w:jc w:val="left"/>
              <w:rPr>
                <w:noProof/>
                <w:color w:val="000000"/>
                <w:sz w:val="20"/>
              </w:rPr>
            </w:pPr>
            <w:r>
              <w:rPr>
                <w:noProof/>
                <w:color w:val="000000"/>
                <w:sz w:val="20"/>
              </w:rPr>
              <w:t>Návrh smernice Európskeho parlamentu a Rady, ktorou sa mení smernica 1999/62/ES o </w:t>
            </w:r>
            <w:r>
              <w:rPr>
                <w:b/>
                <w:noProof/>
                <w:color w:val="000000"/>
                <w:sz w:val="20"/>
              </w:rPr>
              <w:t>poplatkoch za používanie určitej dopravnej infraštruktúry ťažkými nákladnými vozidlami</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shd w:val="clear" w:color="auto" w:fill="auto"/>
          </w:tcPr>
          <w:p>
            <w:pPr>
              <w:spacing w:after="0"/>
              <w:jc w:val="left"/>
              <w:rPr>
                <w:noProof/>
                <w:sz w:val="20"/>
              </w:rPr>
            </w:pPr>
            <w:r>
              <w:rPr>
                <w:noProof/>
                <w:sz w:val="20"/>
              </w:rPr>
              <w:t xml:space="preserve">AT </w:t>
            </w:r>
            <w:r>
              <w:rPr>
                <w:i/>
                <w:noProof/>
                <w:sz w:val="20"/>
              </w:rPr>
              <w:t>Bundesrat</w:t>
            </w:r>
            <w:r>
              <w:rPr>
                <w:noProof/>
                <w:sz w:val="20"/>
              </w:rPr>
              <w:t xml:space="preserve"> (1 hlas) </w:t>
            </w:r>
          </w:p>
        </w:tc>
      </w:tr>
      <w:tr>
        <w:trPr>
          <w:cantSplit/>
        </w:trPr>
        <w:tc>
          <w:tcPr>
            <w:tcW w:w="414" w:type="dxa"/>
            <w:shd w:val="clear" w:color="auto" w:fill="auto"/>
          </w:tcPr>
          <w:p>
            <w:pPr>
              <w:spacing w:after="0"/>
              <w:jc w:val="left"/>
              <w:rPr>
                <w:noProof/>
                <w:sz w:val="20"/>
              </w:rPr>
            </w:pPr>
            <w:r>
              <w:rPr>
                <w:noProof/>
                <w:sz w:val="20"/>
              </w:rPr>
              <w:t>14</w:t>
            </w:r>
          </w:p>
        </w:tc>
        <w:tc>
          <w:tcPr>
            <w:tcW w:w="1977" w:type="dxa"/>
            <w:shd w:val="clear" w:color="auto" w:fill="auto"/>
          </w:tcPr>
          <w:p>
            <w:pPr>
              <w:spacing w:after="0"/>
              <w:jc w:val="left"/>
              <w:rPr>
                <w:noProof/>
                <w:color w:val="000000"/>
                <w:sz w:val="20"/>
              </w:rPr>
            </w:pPr>
            <w:r>
              <w:rPr>
                <w:noProof/>
                <w:color w:val="000000"/>
                <w:sz w:val="20"/>
              </w:rPr>
              <w:t>COM(2017) 278</w:t>
            </w:r>
          </w:p>
        </w:tc>
        <w:tc>
          <w:tcPr>
            <w:tcW w:w="2811" w:type="dxa"/>
            <w:shd w:val="clear" w:color="auto" w:fill="auto"/>
          </w:tcPr>
          <w:p>
            <w:pPr>
              <w:spacing w:after="0"/>
              <w:jc w:val="left"/>
              <w:rPr>
                <w:noProof/>
                <w:color w:val="000000"/>
                <w:sz w:val="20"/>
              </w:rPr>
            </w:pPr>
            <w:r>
              <w:rPr>
                <w:noProof/>
                <w:color w:val="000000"/>
                <w:sz w:val="20"/>
              </w:rPr>
              <w:t>Návrh smernice Európskeho parlamentu a Rady, ktorou sa mení smernica 2006/22/ES, pokiaľ ide o </w:t>
            </w:r>
            <w:r>
              <w:rPr>
                <w:b/>
                <w:noProof/>
                <w:color w:val="000000"/>
                <w:sz w:val="20"/>
              </w:rPr>
              <w:t>požiadavky týkajúce sa dodržiavania predpisov</w:t>
            </w:r>
            <w:r>
              <w:rPr>
                <w:noProof/>
                <w:color w:val="000000"/>
                <w:sz w:val="20"/>
              </w:rPr>
              <w:t xml:space="preserve">, a ktorou sa stanovujú konkrétne pravidlá vzhľadom na smernicu 96/71/ES a smernicu 2014/67/EÚ v oblasti </w:t>
            </w:r>
            <w:r>
              <w:rPr>
                <w:b/>
                <w:noProof/>
                <w:color w:val="000000"/>
                <w:sz w:val="20"/>
              </w:rPr>
              <w:t>vysielania vodičov v odvetví cestnej dopravy</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shd w:val="clear" w:color="auto" w:fill="auto"/>
          </w:tcPr>
          <w:p>
            <w:pPr>
              <w:spacing w:after="0"/>
              <w:jc w:val="left"/>
              <w:rPr>
                <w:noProof/>
                <w:sz w:val="20"/>
              </w:rPr>
            </w:pPr>
            <w:r>
              <w:rPr>
                <w:noProof/>
                <w:sz w:val="20"/>
              </w:rPr>
              <w:t xml:space="preserve">PL </w:t>
            </w:r>
            <w:r>
              <w:rPr>
                <w:i/>
                <w:noProof/>
                <w:sz w:val="20"/>
              </w:rPr>
              <w:t>Senat</w:t>
            </w:r>
            <w:r>
              <w:rPr>
                <w:noProof/>
                <w:sz w:val="20"/>
              </w:rPr>
              <w:t xml:space="preserve"> (1 hlas) </w:t>
            </w:r>
          </w:p>
        </w:tc>
      </w:tr>
      <w:tr>
        <w:trPr>
          <w:cantSplit/>
        </w:trPr>
        <w:tc>
          <w:tcPr>
            <w:tcW w:w="414" w:type="dxa"/>
            <w:shd w:val="clear" w:color="auto" w:fill="auto"/>
          </w:tcPr>
          <w:p>
            <w:pPr>
              <w:spacing w:after="0"/>
              <w:jc w:val="left"/>
              <w:rPr>
                <w:noProof/>
                <w:sz w:val="20"/>
              </w:rPr>
            </w:pPr>
            <w:r>
              <w:rPr>
                <w:noProof/>
                <w:sz w:val="20"/>
              </w:rPr>
              <w:t>15</w:t>
            </w:r>
          </w:p>
        </w:tc>
        <w:tc>
          <w:tcPr>
            <w:tcW w:w="1977" w:type="dxa"/>
            <w:shd w:val="clear" w:color="auto" w:fill="auto"/>
          </w:tcPr>
          <w:p>
            <w:pPr>
              <w:spacing w:after="0"/>
              <w:jc w:val="left"/>
              <w:rPr>
                <w:noProof/>
                <w:color w:val="000000"/>
                <w:sz w:val="20"/>
              </w:rPr>
            </w:pPr>
            <w:r>
              <w:rPr>
                <w:noProof/>
                <w:color w:val="000000"/>
                <w:sz w:val="20"/>
              </w:rPr>
              <w:t>COM(2016) 750</w:t>
            </w:r>
          </w:p>
        </w:tc>
        <w:tc>
          <w:tcPr>
            <w:tcW w:w="2811" w:type="dxa"/>
            <w:shd w:val="clear" w:color="auto" w:fill="auto"/>
          </w:tcPr>
          <w:p>
            <w:pPr>
              <w:spacing w:after="0"/>
              <w:jc w:val="left"/>
              <w:rPr>
                <w:noProof/>
                <w:color w:val="000000"/>
                <w:sz w:val="20"/>
              </w:rPr>
            </w:pPr>
            <w:r>
              <w:rPr>
                <w:noProof/>
                <w:color w:val="000000"/>
                <w:sz w:val="20"/>
              </w:rPr>
              <w:t>Návrh nariadenia Európskeho parlamentu a Rady o </w:t>
            </w:r>
            <w:r>
              <w:rPr>
                <w:b/>
                <w:noProof/>
                <w:color w:val="000000"/>
                <w:sz w:val="20"/>
              </w:rPr>
              <w:t>definovaní, prezentácii a označovaní liehovín</w:t>
            </w:r>
            <w:r>
              <w:rPr>
                <w:noProof/>
                <w:color w:val="000000"/>
                <w:sz w:val="20"/>
              </w:rPr>
              <w:t>, o </w:t>
            </w:r>
            <w:r>
              <w:rPr>
                <w:b/>
                <w:noProof/>
                <w:color w:val="000000"/>
                <w:sz w:val="20"/>
              </w:rPr>
              <w:t>používaní názvov liehovín pri prezentácii a označovaní iných potravín a o ochrane zemepisných označení liehovín</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IT </w:t>
            </w:r>
            <w:r>
              <w:rPr>
                <w:i/>
                <w:noProof/>
                <w:color w:val="000000"/>
                <w:sz w:val="20"/>
              </w:rPr>
              <w:t>Senato della Repubblica</w:t>
            </w:r>
            <w:r>
              <w:rPr>
                <w:i/>
                <w:iCs/>
                <w:noProof/>
                <w:color w:val="000000"/>
                <w:sz w:val="20"/>
              </w:rPr>
              <w:br/>
            </w:r>
            <w:r>
              <w:rPr>
                <w:noProof/>
                <w:sz w:val="20"/>
              </w:rPr>
              <w:t xml:space="preserve">(1 hlas) </w:t>
            </w:r>
          </w:p>
        </w:tc>
      </w:tr>
      <w:tr>
        <w:trPr>
          <w:cantSplit/>
        </w:trPr>
        <w:tc>
          <w:tcPr>
            <w:tcW w:w="414" w:type="dxa"/>
            <w:shd w:val="clear" w:color="auto" w:fill="auto"/>
          </w:tcPr>
          <w:p>
            <w:pPr>
              <w:spacing w:after="0"/>
              <w:jc w:val="left"/>
              <w:rPr>
                <w:noProof/>
                <w:sz w:val="20"/>
              </w:rPr>
            </w:pPr>
            <w:r>
              <w:rPr>
                <w:noProof/>
                <w:sz w:val="20"/>
              </w:rPr>
              <w:t>16</w:t>
            </w:r>
          </w:p>
        </w:tc>
        <w:tc>
          <w:tcPr>
            <w:tcW w:w="1977" w:type="dxa"/>
            <w:shd w:val="clear" w:color="auto" w:fill="auto"/>
          </w:tcPr>
          <w:p>
            <w:pPr>
              <w:spacing w:after="0"/>
              <w:jc w:val="left"/>
              <w:rPr>
                <w:noProof/>
                <w:color w:val="000000"/>
                <w:sz w:val="20"/>
              </w:rPr>
            </w:pPr>
            <w:r>
              <w:rPr>
                <w:noProof/>
                <w:color w:val="000000"/>
                <w:sz w:val="20"/>
              </w:rPr>
              <w:t>COM(2017) 477</w:t>
            </w:r>
          </w:p>
        </w:tc>
        <w:tc>
          <w:tcPr>
            <w:tcW w:w="2811" w:type="dxa"/>
            <w:shd w:val="clear" w:color="auto" w:fill="auto"/>
          </w:tcPr>
          <w:p>
            <w:pPr>
              <w:spacing w:after="0"/>
              <w:jc w:val="left"/>
              <w:rPr>
                <w:noProof/>
                <w:color w:val="000000"/>
                <w:sz w:val="20"/>
              </w:rPr>
            </w:pPr>
            <w:r>
              <w:rPr>
                <w:noProof/>
                <w:color w:val="000000"/>
                <w:sz w:val="20"/>
              </w:rPr>
              <w:t>Návrh nariadenia Európskeho parlamentu a Rady o </w:t>
            </w:r>
            <w:r>
              <w:rPr>
                <w:b/>
                <w:noProof/>
                <w:color w:val="000000"/>
                <w:sz w:val="20"/>
              </w:rPr>
              <w:t>Agentúre EÚ pre kybernetickú bezpečnosť</w:t>
            </w:r>
            <w:r>
              <w:rPr>
                <w:noProof/>
                <w:color w:val="000000"/>
                <w:sz w:val="20"/>
              </w:rPr>
              <w:t xml:space="preserve"> (ENISA), o zrušení nariadenia (EÚ) č. 526/2013 a o certifikácii kybernetickej bezpečnosti informačných a komunikačných technológií („</w:t>
            </w:r>
            <w:r>
              <w:rPr>
                <w:b/>
                <w:noProof/>
                <w:color w:val="000000"/>
                <w:sz w:val="20"/>
              </w:rPr>
              <w:t>akt o kybernetickej bezpečnosti</w:t>
            </w:r>
            <w:r>
              <w:rPr>
                <w:noProof/>
                <w:color w:val="000000"/>
                <w:sz w:val="20"/>
              </w:rPr>
              <w:t xml:space="preserve">“) </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hlas) </w:t>
            </w:r>
          </w:p>
        </w:tc>
      </w:tr>
      <w:tr>
        <w:trPr>
          <w:cantSplit/>
        </w:trPr>
        <w:tc>
          <w:tcPr>
            <w:tcW w:w="414" w:type="dxa"/>
            <w:shd w:val="clear" w:color="auto" w:fill="auto"/>
          </w:tcPr>
          <w:p>
            <w:pPr>
              <w:spacing w:after="0"/>
              <w:jc w:val="left"/>
              <w:rPr>
                <w:noProof/>
                <w:sz w:val="20"/>
              </w:rPr>
            </w:pPr>
            <w:r>
              <w:rPr>
                <w:noProof/>
                <w:sz w:val="20"/>
              </w:rPr>
              <w:t>17</w:t>
            </w:r>
          </w:p>
        </w:tc>
        <w:tc>
          <w:tcPr>
            <w:tcW w:w="1977" w:type="dxa"/>
            <w:shd w:val="clear" w:color="auto" w:fill="auto"/>
          </w:tcPr>
          <w:p>
            <w:pPr>
              <w:spacing w:after="0"/>
              <w:jc w:val="left"/>
              <w:rPr>
                <w:noProof/>
                <w:color w:val="000000"/>
                <w:sz w:val="20"/>
              </w:rPr>
            </w:pPr>
            <w:r>
              <w:rPr>
                <w:noProof/>
                <w:color w:val="000000"/>
                <w:sz w:val="20"/>
              </w:rPr>
              <w:t>COM(2017) 495</w:t>
            </w:r>
          </w:p>
        </w:tc>
        <w:tc>
          <w:tcPr>
            <w:tcW w:w="2811" w:type="dxa"/>
            <w:shd w:val="clear" w:color="auto" w:fill="auto"/>
          </w:tcPr>
          <w:p>
            <w:pPr>
              <w:spacing w:after="0"/>
              <w:jc w:val="left"/>
              <w:rPr>
                <w:noProof/>
                <w:color w:val="000000"/>
                <w:sz w:val="20"/>
              </w:rPr>
            </w:pPr>
            <w:r>
              <w:rPr>
                <w:noProof/>
                <w:color w:val="000000"/>
                <w:sz w:val="20"/>
              </w:rPr>
              <w:t>Návrh nariadenia Európskeho parlamentu a Rady o </w:t>
            </w:r>
            <w:r>
              <w:rPr>
                <w:b/>
                <w:noProof/>
                <w:color w:val="000000"/>
                <w:sz w:val="20"/>
              </w:rPr>
              <w:t>rámci pre voľný tok iných ako osobných údajov v Európskej únii</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hlas) </w:t>
            </w:r>
          </w:p>
        </w:tc>
      </w:tr>
      <w:tr>
        <w:trPr>
          <w:cantSplit/>
        </w:trPr>
        <w:tc>
          <w:tcPr>
            <w:tcW w:w="414" w:type="dxa"/>
            <w:shd w:val="clear" w:color="auto" w:fill="auto"/>
          </w:tcPr>
          <w:p>
            <w:pPr>
              <w:spacing w:after="0"/>
              <w:jc w:val="left"/>
              <w:rPr>
                <w:noProof/>
                <w:sz w:val="20"/>
              </w:rPr>
            </w:pPr>
            <w:r>
              <w:rPr>
                <w:noProof/>
                <w:sz w:val="20"/>
              </w:rPr>
              <w:t>18</w:t>
            </w:r>
          </w:p>
        </w:tc>
        <w:tc>
          <w:tcPr>
            <w:tcW w:w="1977" w:type="dxa"/>
            <w:shd w:val="clear" w:color="auto" w:fill="auto"/>
          </w:tcPr>
          <w:p>
            <w:pPr>
              <w:spacing w:after="0"/>
              <w:jc w:val="left"/>
              <w:rPr>
                <w:noProof/>
                <w:color w:val="000000"/>
                <w:sz w:val="20"/>
              </w:rPr>
            </w:pPr>
            <w:r>
              <w:rPr>
                <w:noProof/>
                <w:color w:val="000000"/>
                <w:sz w:val="20"/>
              </w:rPr>
              <w:t>COM(2016) 850</w:t>
            </w:r>
          </w:p>
        </w:tc>
        <w:tc>
          <w:tcPr>
            <w:tcW w:w="2811" w:type="dxa"/>
            <w:shd w:val="clear" w:color="auto" w:fill="auto"/>
          </w:tcPr>
          <w:p>
            <w:pPr>
              <w:spacing w:after="0"/>
              <w:jc w:val="left"/>
              <w:rPr>
                <w:noProof/>
                <w:color w:val="000000"/>
                <w:sz w:val="20"/>
              </w:rPr>
            </w:pPr>
            <w:r>
              <w:rPr>
                <w:noProof/>
                <w:color w:val="000000"/>
                <w:sz w:val="20"/>
              </w:rPr>
              <w:t>Návrh nariadenia Európskeho parlamentu a Rady, ktorým sa mení nariadenie (EÚ) č. 575/2013, pokiaľ ide o </w:t>
            </w:r>
            <w:r>
              <w:rPr>
                <w:b/>
                <w:noProof/>
                <w:color w:val="000000"/>
                <w:sz w:val="20"/>
              </w:rPr>
              <w:t>ukazovateľ finančnej páky, ukazovateľ čistého stabilného financovania, požiadavky na vlastné zdroje a oprávnené záväzky, kreditné riziko protistrany, trhové riziko, expozície voči centrálnym protistranám, expozície voči podnikom kolektívneho investovania, veľkú majetkovú angažovanosť, požiadavky na predkladanie správ a zverejňovanie informácií</w:t>
            </w:r>
            <w:r>
              <w:rPr>
                <w:noProof/>
                <w:color w:val="000000"/>
                <w:sz w:val="20"/>
              </w:rPr>
              <w:t>, a ktorým sa mení nariadenie (EÚ) č. 648/2012</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noProof/>
                <w:color w:val="000000"/>
                <w:sz w:val="20"/>
              </w:rPr>
              <w:t xml:space="preserve">Riksdag </w:t>
            </w:r>
            <w:r>
              <w:rPr>
                <w:noProof/>
                <w:sz w:val="20"/>
              </w:rPr>
              <w:t xml:space="preserve">(2 hlasy) </w:t>
            </w:r>
          </w:p>
        </w:tc>
      </w:tr>
      <w:tr>
        <w:trPr>
          <w:cantSplit/>
        </w:trPr>
        <w:tc>
          <w:tcPr>
            <w:tcW w:w="414" w:type="dxa"/>
            <w:shd w:val="clear" w:color="auto" w:fill="auto"/>
          </w:tcPr>
          <w:p>
            <w:pPr>
              <w:spacing w:after="0"/>
              <w:jc w:val="left"/>
              <w:rPr>
                <w:noProof/>
                <w:sz w:val="20"/>
              </w:rPr>
            </w:pPr>
            <w:r>
              <w:rPr>
                <w:noProof/>
                <w:sz w:val="20"/>
              </w:rPr>
              <w:t>19</w:t>
            </w:r>
          </w:p>
        </w:tc>
        <w:tc>
          <w:tcPr>
            <w:tcW w:w="1977" w:type="dxa"/>
            <w:shd w:val="clear" w:color="auto" w:fill="auto"/>
          </w:tcPr>
          <w:p>
            <w:pPr>
              <w:spacing w:after="0"/>
              <w:jc w:val="left"/>
              <w:rPr>
                <w:noProof/>
                <w:color w:val="000000"/>
                <w:sz w:val="20"/>
              </w:rPr>
            </w:pPr>
            <w:r>
              <w:rPr>
                <w:noProof/>
                <w:color w:val="000000"/>
                <w:sz w:val="20"/>
              </w:rPr>
              <w:t>COM(2016) 854</w:t>
            </w:r>
          </w:p>
        </w:tc>
        <w:tc>
          <w:tcPr>
            <w:tcW w:w="2811" w:type="dxa"/>
            <w:shd w:val="clear" w:color="auto" w:fill="auto"/>
          </w:tcPr>
          <w:p>
            <w:pPr>
              <w:spacing w:after="0"/>
              <w:jc w:val="left"/>
              <w:rPr>
                <w:noProof/>
                <w:color w:val="000000"/>
                <w:sz w:val="20"/>
              </w:rPr>
            </w:pPr>
            <w:r>
              <w:rPr>
                <w:noProof/>
                <w:color w:val="000000"/>
                <w:sz w:val="20"/>
              </w:rPr>
              <w:t>Návrh smernice Európskeho parlamentu a Rady, ktorou sa mení smernica 2013/36/EÚ, pokiaľ ide o </w:t>
            </w:r>
            <w:r>
              <w:rPr>
                <w:b/>
                <w:noProof/>
                <w:color w:val="000000"/>
                <w:sz w:val="20"/>
              </w:rPr>
              <w:t>oslobodené subjekty, finančné holdingové spoločnosti, zmiešané finančné holdingové spoločnosti, odmeňovanie, opatrenia dohľadu a právomoci v oblasti dohľadu a opatrenia na zachovanie kapitálu</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2</w:t>
            </w:r>
          </w:p>
        </w:tc>
        <w:tc>
          <w:tcPr>
            <w:tcW w:w="3022" w:type="dxa"/>
            <w:shd w:val="clear" w:color="auto" w:fill="auto"/>
          </w:tcPr>
          <w:p>
            <w:pPr>
              <w:spacing w:after="0"/>
              <w:jc w:val="left"/>
              <w:rPr>
                <w:noProof/>
                <w:sz w:val="20"/>
              </w:rPr>
            </w:pPr>
            <w:r>
              <w:rPr>
                <w:noProof/>
                <w:sz w:val="20"/>
              </w:rPr>
              <w:t xml:space="preserve">SE </w:t>
            </w:r>
            <w:r>
              <w:rPr>
                <w:i/>
                <w:noProof/>
                <w:color w:val="000000"/>
                <w:sz w:val="20"/>
              </w:rPr>
              <w:t>Riksdag</w:t>
            </w:r>
            <w:r>
              <w:rPr>
                <w:noProof/>
                <w:color w:val="000000"/>
                <w:sz w:val="20"/>
              </w:rPr>
              <w:t xml:space="preserve"> </w:t>
            </w:r>
            <w:r>
              <w:rPr>
                <w:noProof/>
                <w:sz w:val="20"/>
              </w:rPr>
              <w:t xml:space="preserve">(2 hlasy) </w:t>
            </w:r>
          </w:p>
        </w:tc>
      </w:tr>
      <w:tr>
        <w:trPr>
          <w:cantSplit/>
        </w:trPr>
        <w:tc>
          <w:tcPr>
            <w:tcW w:w="414" w:type="dxa"/>
            <w:shd w:val="clear" w:color="auto" w:fill="auto"/>
          </w:tcPr>
          <w:p>
            <w:pPr>
              <w:spacing w:after="0"/>
              <w:jc w:val="left"/>
              <w:rPr>
                <w:noProof/>
                <w:sz w:val="20"/>
              </w:rPr>
            </w:pPr>
            <w:r>
              <w:rPr>
                <w:noProof/>
                <w:sz w:val="20"/>
              </w:rPr>
              <w:t>20</w:t>
            </w:r>
          </w:p>
        </w:tc>
        <w:tc>
          <w:tcPr>
            <w:tcW w:w="1977" w:type="dxa"/>
            <w:shd w:val="clear" w:color="auto" w:fill="auto"/>
          </w:tcPr>
          <w:p>
            <w:pPr>
              <w:spacing w:after="0"/>
              <w:jc w:val="left"/>
              <w:rPr>
                <w:noProof/>
                <w:color w:val="000000"/>
                <w:sz w:val="20"/>
              </w:rPr>
            </w:pPr>
            <w:r>
              <w:rPr>
                <w:noProof/>
                <w:color w:val="000000"/>
                <w:sz w:val="20"/>
              </w:rPr>
              <w:t>COM(2017) 331</w:t>
            </w:r>
          </w:p>
        </w:tc>
        <w:tc>
          <w:tcPr>
            <w:tcW w:w="2811" w:type="dxa"/>
            <w:shd w:val="clear" w:color="auto" w:fill="auto"/>
          </w:tcPr>
          <w:p>
            <w:pPr>
              <w:spacing w:after="0"/>
              <w:jc w:val="left"/>
              <w:rPr>
                <w:noProof/>
                <w:color w:val="000000"/>
                <w:sz w:val="20"/>
              </w:rPr>
            </w:pPr>
            <w:r>
              <w:rPr>
                <w:noProof/>
                <w:color w:val="000000"/>
                <w:sz w:val="20"/>
              </w:rPr>
              <w:t>Návrh nariadenia Európskeho parlamentu a Rady, ktorým sa mení nariadenie (EÚ) č. 1095/2010, ktorým sa zriaďuje Európsky orgán dohľadu (Európsky orgán pre cenné papiere a trhy) a ktorým sa mení nariadenie (EÚ) č. 648/2012, pokiaľ ide o </w:t>
            </w:r>
            <w:r>
              <w:rPr>
                <w:b/>
                <w:noProof/>
                <w:color w:val="000000"/>
                <w:sz w:val="20"/>
              </w:rPr>
              <w:t>postupy udeľovania povolení a orgány zúčastňujúce sa na udeľovaní povolení centrálnym protistranám a požiadavky na uznanie centrálnej protistrany z tretej krajiny</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noProof/>
                <w:color w:val="000000"/>
                <w:sz w:val="20"/>
              </w:rPr>
              <w:t>Riksdag</w:t>
            </w:r>
            <w:r>
              <w:rPr>
                <w:noProof/>
                <w:sz w:val="20"/>
              </w:rPr>
              <w:t xml:space="preserve">(2 hlasy) </w:t>
            </w:r>
          </w:p>
        </w:tc>
      </w:tr>
      <w:tr>
        <w:trPr>
          <w:cantSplit/>
        </w:trPr>
        <w:tc>
          <w:tcPr>
            <w:tcW w:w="414" w:type="dxa"/>
            <w:shd w:val="clear" w:color="auto" w:fill="auto"/>
          </w:tcPr>
          <w:p>
            <w:pPr>
              <w:spacing w:after="0"/>
              <w:jc w:val="left"/>
              <w:rPr>
                <w:noProof/>
                <w:sz w:val="20"/>
              </w:rPr>
            </w:pPr>
            <w:r>
              <w:rPr>
                <w:noProof/>
                <w:sz w:val="20"/>
              </w:rPr>
              <w:t>21</w:t>
            </w:r>
          </w:p>
        </w:tc>
        <w:tc>
          <w:tcPr>
            <w:tcW w:w="1977" w:type="dxa"/>
            <w:shd w:val="clear" w:color="auto" w:fill="auto"/>
          </w:tcPr>
          <w:p>
            <w:pPr>
              <w:spacing w:after="0"/>
              <w:jc w:val="left"/>
              <w:rPr>
                <w:noProof/>
                <w:color w:val="000000"/>
                <w:sz w:val="20"/>
              </w:rPr>
            </w:pPr>
            <w:r>
              <w:rPr>
                <w:noProof/>
                <w:color w:val="000000"/>
                <w:sz w:val="20"/>
              </w:rPr>
              <w:t>COM(2017) 536</w:t>
            </w:r>
          </w:p>
        </w:tc>
        <w:tc>
          <w:tcPr>
            <w:tcW w:w="2811" w:type="dxa"/>
            <w:shd w:val="clear" w:color="auto" w:fill="auto"/>
          </w:tcPr>
          <w:p>
            <w:pPr>
              <w:spacing w:after="0"/>
              <w:jc w:val="left"/>
              <w:rPr>
                <w:b/>
                <w:bCs/>
                <w:noProof/>
                <w:color w:val="000000"/>
                <w:sz w:val="20"/>
              </w:rPr>
            </w:pPr>
            <w:r>
              <w:rPr>
                <w:noProof/>
                <w:color w:val="000000"/>
                <w:sz w:val="20"/>
              </w:rPr>
              <w:t xml:space="preserve">Návrh nariadenia Európskeho parlamentu a Rady, ktorým sa mení nariadenie (EÚ) č. 1093/2010, nariadenie (EÚ) č. 1094/2010, nariadenie (EÚ) č. 1095/2010, nariadenie (EÚ) č. 345/2013, nariadenie (EÚ) č. 346/2013, nariadenie (EÚ) č. 600/2014, nariadenie (EÚ) 2015/760, nariadenie (EÚ) 2016/1011 a nariadenie (EÚ) 2017/1129 (návrhy </w:t>
            </w:r>
            <w:r>
              <w:rPr>
                <w:b/>
                <w:noProof/>
                <w:color w:val="000000"/>
                <w:sz w:val="20"/>
              </w:rPr>
              <w:t>na posilnenie reformy</w:t>
            </w:r>
          </w:p>
          <w:p>
            <w:pPr>
              <w:spacing w:after="0"/>
              <w:jc w:val="left"/>
              <w:rPr>
                <w:noProof/>
                <w:color w:val="000000"/>
                <w:sz w:val="20"/>
              </w:rPr>
            </w:pPr>
            <w:r>
              <w:rPr>
                <w:b/>
                <w:noProof/>
                <w:color w:val="000000"/>
                <w:sz w:val="20"/>
              </w:rPr>
              <w:t>architektúry dohľadu Európskej únie</w:t>
            </w:r>
            <w:r>
              <w:rPr>
                <w:noProof/>
                <w:color w:val="000000"/>
                <w:sz w:val="20"/>
              </w:rPr>
              <w:t>)</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noProof/>
                <w:color w:val="000000"/>
                <w:sz w:val="20"/>
              </w:rPr>
              <w:t xml:space="preserve">Riksdag </w:t>
            </w:r>
            <w:r>
              <w:rPr>
                <w:noProof/>
                <w:sz w:val="20"/>
              </w:rPr>
              <w:t xml:space="preserve">(2 hlasy) </w:t>
            </w:r>
          </w:p>
        </w:tc>
      </w:tr>
      <w:tr>
        <w:trPr>
          <w:cantSplit/>
        </w:trPr>
        <w:tc>
          <w:tcPr>
            <w:tcW w:w="414" w:type="dxa"/>
            <w:shd w:val="clear" w:color="auto" w:fill="auto"/>
          </w:tcPr>
          <w:p>
            <w:pPr>
              <w:spacing w:after="0"/>
              <w:jc w:val="left"/>
              <w:rPr>
                <w:noProof/>
                <w:sz w:val="20"/>
              </w:rPr>
            </w:pPr>
            <w:r>
              <w:rPr>
                <w:noProof/>
                <w:sz w:val="20"/>
              </w:rPr>
              <w:t>22</w:t>
            </w:r>
          </w:p>
        </w:tc>
        <w:tc>
          <w:tcPr>
            <w:tcW w:w="1977" w:type="dxa"/>
            <w:shd w:val="clear" w:color="auto" w:fill="auto"/>
          </w:tcPr>
          <w:p>
            <w:pPr>
              <w:spacing w:after="0"/>
              <w:jc w:val="left"/>
              <w:rPr>
                <w:noProof/>
                <w:color w:val="000000"/>
                <w:sz w:val="20"/>
              </w:rPr>
            </w:pPr>
            <w:r>
              <w:rPr>
                <w:noProof/>
                <w:color w:val="000000"/>
                <w:sz w:val="20"/>
              </w:rPr>
              <w:t>COM(2016) 683</w:t>
            </w:r>
          </w:p>
        </w:tc>
        <w:tc>
          <w:tcPr>
            <w:tcW w:w="2811" w:type="dxa"/>
            <w:shd w:val="clear" w:color="auto" w:fill="auto"/>
          </w:tcPr>
          <w:p>
            <w:pPr>
              <w:spacing w:after="0"/>
              <w:jc w:val="left"/>
              <w:rPr>
                <w:noProof/>
                <w:color w:val="000000"/>
                <w:sz w:val="20"/>
              </w:rPr>
            </w:pPr>
            <w:r>
              <w:rPr>
                <w:noProof/>
                <w:color w:val="000000"/>
                <w:sz w:val="20"/>
              </w:rPr>
              <w:t>Návrh smernice Rady o </w:t>
            </w:r>
            <w:r>
              <w:rPr>
                <w:b/>
                <w:noProof/>
                <w:color w:val="000000"/>
                <w:sz w:val="20"/>
              </w:rPr>
              <w:t>spoločnom konsolidovanom základe dane z príjmov právnických osôb</w:t>
            </w:r>
            <w:r>
              <w:rPr>
                <w:noProof/>
                <w:color w:val="000000"/>
                <w:sz w:val="20"/>
              </w:rPr>
              <w:t xml:space="preserve"> </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UK </w:t>
            </w:r>
            <w:r>
              <w:rPr>
                <w:i/>
                <w:noProof/>
                <w:sz w:val="20"/>
              </w:rPr>
              <w:t>House of Commons</w:t>
            </w:r>
            <w:r>
              <w:rPr>
                <w:noProof/>
                <w:sz w:val="20"/>
              </w:rPr>
              <w:t xml:space="preserve"> (1 hlas) </w:t>
            </w:r>
          </w:p>
        </w:tc>
      </w:tr>
      <w:tr>
        <w:trPr>
          <w:cantSplit/>
        </w:trPr>
        <w:tc>
          <w:tcPr>
            <w:tcW w:w="414" w:type="dxa"/>
            <w:shd w:val="clear" w:color="auto" w:fill="auto"/>
          </w:tcPr>
          <w:p>
            <w:pPr>
              <w:spacing w:after="0"/>
              <w:jc w:val="left"/>
              <w:rPr>
                <w:noProof/>
                <w:sz w:val="20"/>
              </w:rPr>
            </w:pPr>
            <w:r>
              <w:rPr>
                <w:noProof/>
                <w:sz w:val="20"/>
              </w:rPr>
              <w:t>23</w:t>
            </w:r>
          </w:p>
        </w:tc>
        <w:tc>
          <w:tcPr>
            <w:tcW w:w="1977" w:type="dxa"/>
            <w:shd w:val="clear" w:color="auto" w:fill="auto"/>
          </w:tcPr>
          <w:p>
            <w:pPr>
              <w:spacing w:after="0"/>
              <w:jc w:val="left"/>
              <w:rPr>
                <w:noProof/>
                <w:color w:val="000000"/>
                <w:sz w:val="20"/>
              </w:rPr>
            </w:pPr>
            <w:r>
              <w:rPr>
                <w:noProof/>
                <w:color w:val="000000"/>
                <w:sz w:val="20"/>
              </w:rPr>
              <w:t>COM(2016) 685</w:t>
            </w:r>
          </w:p>
        </w:tc>
        <w:tc>
          <w:tcPr>
            <w:tcW w:w="2811" w:type="dxa"/>
            <w:shd w:val="clear" w:color="auto" w:fill="auto"/>
          </w:tcPr>
          <w:p>
            <w:pPr>
              <w:spacing w:after="0"/>
              <w:jc w:val="left"/>
              <w:rPr>
                <w:noProof/>
                <w:color w:val="000000"/>
                <w:sz w:val="20"/>
              </w:rPr>
            </w:pPr>
            <w:r>
              <w:rPr>
                <w:noProof/>
                <w:color w:val="000000"/>
                <w:sz w:val="20"/>
              </w:rPr>
              <w:t>Návrh smernice Rady o </w:t>
            </w:r>
            <w:r>
              <w:rPr>
                <w:b/>
                <w:noProof/>
                <w:color w:val="000000"/>
                <w:sz w:val="20"/>
              </w:rPr>
              <w:t>spoločnom základe dane z príjmov právnických osôb</w:t>
            </w:r>
          </w:p>
        </w:tc>
        <w:tc>
          <w:tcPr>
            <w:tcW w:w="1207" w:type="dxa"/>
            <w:tcBorders>
              <w:bottom w:val="single" w:sz="4" w:space="0" w:color="auto"/>
            </w:tcBorders>
            <w:shd w:val="clear" w:color="auto" w:fill="auto"/>
          </w:tcPr>
          <w:p>
            <w:pPr>
              <w:spacing w:after="0"/>
              <w:jc w:val="center"/>
              <w:rPr>
                <w:noProof/>
                <w:sz w:val="20"/>
              </w:rPr>
            </w:pPr>
            <w:r>
              <w:rPr>
                <w:noProof/>
                <w:sz w:val="20"/>
              </w:rPr>
              <w:t>1</w:t>
            </w:r>
          </w:p>
        </w:tc>
        <w:tc>
          <w:tcPr>
            <w:tcW w:w="1157" w:type="dxa"/>
            <w:tcBorders>
              <w:bottom w:val="single" w:sz="4" w:space="0" w:color="auto"/>
            </w:tcBorders>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UK </w:t>
            </w:r>
            <w:r>
              <w:rPr>
                <w:i/>
                <w:noProof/>
                <w:sz w:val="20"/>
              </w:rPr>
              <w:t>House of Commons</w:t>
            </w:r>
            <w:r>
              <w:rPr>
                <w:noProof/>
                <w:sz w:val="20"/>
              </w:rPr>
              <w:t xml:space="preserve"> (1 hlas) </w:t>
            </w:r>
          </w:p>
        </w:tc>
      </w:tr>
      <w:tr>
        <w:trPr>
          <w:cantSplit/>
        </w:trPr>
        <w:tc>
          <w:tcPr>
            <w:tcW w:w="5202" w:type="dxa"/>
            <w:gridSpan w:val="3"/>
            <w:shd w:val="clear" w:color="auto" w:fill="auto"/>
          </w:tcPr>
          <w:p>
            <w:pPr>
              <w:spacing w:after="0"/>
              <w:jc w:val="left"/>
              <w:rPr>
                <w:noProof/>
                <w:color w:val="000000"/>
                <w:sz w:val="20"/>
              </w:rPr>
            </w:pPr>
            <w:r>
              <w:rPr>
                <w:b/>
                <w:noProof/>
                <w:sz w:val="20"/>
              </w:rPr>
              <w:t>Doručené odôvodnené stanoviská SPOLU</w:t>
            </w:r>
          </w:p>
        </w:tc>
        <w:tc>
          <w:tcPr>
            <w:tcW w:w="1207" w:type="dxa"/>
            <w:tcBorders>
              <w:right w:val="nil"/>
            </w:tcBorders>
            <w:shd w:val="clear" w:color="auto" w:fill="auto"/>
          </w:tcPr>
          <w:p>
            <w:pPr>
              <w:spacing w:after="0"/>
              <w:jc w:val="center"/>
              <w:rPr>
                <w:b/>
                <w:noProof/>
                <w:sz w:val="20"/>
              </w:rPr>
            </w:pPr>
            <w:r>
              <w:rPr>
                <w:b/>
                <w:noProof/>
                <w:sz w:val="20"/>
              </w:rPr>
              <w:t>52</w:t>
            </w:r>
          </w:p>
        </w:tc>
        <w:tc>
          <w:tcPr>
            <w:tcW w:w="1157" w:type="dxa"/>
            <w:tcBorders>
              <w:left w:val="nil"/>
              <w:right w:val="nil"/>
            </w:tcBorders>
            <w:shd w:val="clear" w:color="auto" w:fill="auto"/>
          </w:tcPr>
          <w:p>
            <w:pPr>
              <w:spacing w:after="0"/>
              <w:jc w:val="center"/>
              <w:rPr>
                <w:noProof/>
                <w:sz w:val="20"/>
              </w:rPr>
            </w:pPr>
          </w:p>
        </w:tc>
        <w:tc>
          <w:tcPr>
            <w:tcW w:w="3022" w:type="dxa"/>
            <w:tcBorders>
              <w:left w:val="nil"/>
              <w:bottom w:val="single" w:sz="4" w:space="0" w:color="auto"/>
            </w:tcBorders>
            <w:shd w:val="clear" w:color="auto" w:fill="auto"/>
          </w:tcPr>
          <w:p>
            <w:pPr>
              <w:spacing w:after="0"/>
              <w:jc w:val="left"/>
              <w:rPr>
                <w:noProof/>
                <w:sz w:val="20"/>
              </w:rPr>
            </w:pPr>
          </w:p>
        </w:tc>
      </w:tr>
    </w:tbl>
    <w:p>
      <w:pPr>
        <w:spacing w:after="0"/>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code="9"/>
      <w:pgMar w:top="1021" w:right="1191" w:bottom="1021" w:left="1191" w:header="60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805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tabs>
          <w:tab w:val="left" w:pos="284"/>
        </w:tabs>
        <w:ind w:left="284" w:hanging="284"/>
        <w:rPr>
          <w:rFonts w:asciiTheme="majorBidi" w:hAnsiTheme="majorBidi" w:cstheme="majorBidi"/>
        </w:rPr>
      </w:pPr>
      <w:r>
        <w:rPr>
          <w:rStyle w:val="FootnoteReference"/>
        </w:rPr>
        <w:footnoteRef/>
      </w:r>
      <w:r>
        <w:rPr>
          <w:rFonts w:asciiTheme="majorBidi" w:hAnsiTheme="majorBidi" w:cstheme="majorBidi"/>
        </w:rPr>
        <w:t xml:space="preserve"> </w:t>
      </w:r>
      <w:r>
        <w:tab/>
      </w:r>
      <w:r>
        <w:rPr>
          <w:rFonts w:asciiTheme="majorBidi" w:hAnsiTheme="majorBidi" w:cstheme="majorBidi"/>
        </w:rPr>
        <w:t>Na to, aby bolo stanovisko označené ako odôvodnené stanovisko podľa vymedzenia v protokole č. 2, musí sa v ňom uviesť, prečo sa národný parlament domnieva, že legislatívny návrh nie je v súlade so zásadou subsidiarity, a musí byť zaslané Komisii v lehote ôsmich týždňov od predloženia legislatívneho návrhu národným parlamentom vo všetkých úradných jazykoch.</w:t>
      </w:r>
    </w:p>
  </w:footnote>
  <w:footnote w:id="2">
    <w:p>
      <w:pPr>
        <w:pStyle w:val="FootnoteText"/>
        <w:tabs>
          <w:tab w:val="left" w:pos="284"/>
        </w:tabs>
        <w:ind w:left="284" w:hanging="284"/>
        <w:rPr>
          <w:rFonts w:asciiTheme="majorBidi" w:hAnsiTheme="majorBidi" w:cstheme="majorBidi"/>
          <w:b/>
        </w:rPr>
      </w:pPr>
      <w:r>
        <w:rPr>
          <w:rStyle w:val="FootnoteReference"/>
        </w:rPr>
        <w:footnoteRef/>
      </w:r>
      <w:r>
        <w:rPr>
          <w:rFonts w:asciiTheme="majorBidi" w:hAnsiTheme="majorBidi" w:cstheme="majorBidi"/>
        </w:rPr>
        <w:t xml:space="preserve"> </w:t>
      </w:r>
      <w:r>
        <w:tab/>
      </w:r>
      <w:r>
        <w:rPr>
          <w:rFonts w:asciiTheme="majorBidi" w:hAnsiTheme="majorBidi" w:cstheme="majorBidi"/>
        </w:rPr>
        <w:t>Podľa protokolu č. 2 má každý národný parlament dva hlasy, pričom v prípade dvojkomorového systému má každá komora jeden hlas. Ak odôvodnené stanoviská predstavujú aspoň tretinu (v prípade návrhov podľa článku 76 Zmluvy o fungovaní Európskej únie štvrtinu) všetkých hlasov pridelených národným parlamentom, je dosiahnutý prah na uplatnenie tzv. postupu „žltej karty“ a návrh legislatívneho aktu sa musí preskúmať. Tretinu všetkých pridelených hlasov predstavuje 19 z 56 hlasov.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1"/>
    <w:docVar w:name="LW_ANNEX_UNIQUE" w:val="1"/>
    <w:docVar w:name="LW_CORRIGENDUM" w:val="&lt;UNUSED&gt;"/>
    <w:docVar w:name="LW_COVERPAGE_EXISTS" w:val="True"/>
    <w:docVar w:name="LW_COVERPAGE_GUID" w:val="595E0FF3-F742-4DF7-B830-D539546BF801"/>
    <w:docVar w:name="LW_COVERPAGE_TYPE" w:val="1"/>
    <w:docVar w:name="LW_CROSSREFERENCE" w:val="&lt;UNUSED&gt;"/>
    <w:docVar w:name="LW_DocType" w:val="REP"/>
    <w:docVar w:name="LW_EMISSION" w:val="23. 10. 2018"/>
    <w:docVar w:name="LW_EMISSION_ISODATE" w:val="2018-10-23"/>
    <w:docVar w:name="LW_EMISSION_LOCATION" w:val="BRX"/>
    <w:docVar w:name="LW_EMISSION_PREFIX" w:val="V Bruseli"/>
    <w:docVar w:name="LW_EMISSION_SUFFIX" w:val=" "/>
    <w:docVar w:name="LW_ID_DOCTYPE_NONLW" w:val="CP-039"/>
    <w:docVar w:name="LW_LANGUE" w:val="SK"/>
    <w:docVar w:name="LW_LEVEL_OF_SENSITIVITY" w:val="Standard treatment"/>
    <w:docVar w:name="LW_NOM.INST" w:val="EURÓPSKA KOMISIA"/>
    <w:docVar w:name="LW_NOM.INST_JOINTDOC" w:val="&lt;EMPTY&gt;"/>
    <w:docVar w:name="LW_OBJETACTEPRINCIPAL.CP" w:val="VÝRO\u268?NÁ SPRÁVA ZA ROK 2017_x000b_O UPLAT\u327?OVANÍ ZÁSAD SUBSIDIARITY A PROPORCIONALITY"/>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ÍLOHA_x000b_"/>
    <w:docVar w:name="LW_TYPEACTEPRINCIPAL.CP" w:val="SPRÁVE KOMISI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sk-SK"/>
    </w:rPr>
  </w:style>
  <w:style w:type="character" w:customStyle="1" w:styleId="HeaderChar">
    <w:name w:val="Header Char"/>
    <w:basedOn w:val="DefaultParagraphFont"/>
    <w:link w:val="Header"/>
    <w:uiPriority w:val="99"/>
    <w:rPr>
      <w:sz w:val="24"/>
      <w:lang w:eastAsia="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rPr>
      <w:lang w:eastAsia="sk-SK"/>
    </w:rPr>
  </w:style>
  <w:style w:type="character" w:styleId="FootnoteReference">
    <w:name w:val="footnote reference"/>
    <w:uiPriority w:val="99"/>
    <w:semiHidden/>
    <w:rPr>
      <w:shd w:val="clear" w:color="auto" w:fill="auto"/>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sk-SK"/>
    </w:rPr>
  </w:style>
  <w:style w:type="character" w:customStyle="1" w:styleId="HeaderChar">
    <w:name w:val="Header Char"/>
    <w:basedOn w:val="DefaultParagraphFont"/>
    <w:link w:val="Header"/>
    <w:uiPriority w:val="99"/>
    <w:rPr>
      <w:sz w:val="24"/>
      <w:lang w:eastAsia="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rPr>
      <w:lang w:eastAsia="sk-SK"/>
    </w:rPr>
  </w:style>
  <w:style w:type="character" w:styleId="FootnoteReference">
    <w:name w:val="footnote reference"/>
    <w:uiPriority w:val="99"/>
    <w:semiHidden/>
    <w:rPr>
      <w:shd w:val="clear" w:color="auto" w:fill="auto"/>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Created>
    <Version>4.6</Version>
    <Date>2018-08-29T14:15:07</Date>
    <Language>EN</Language>
  </Created>
  <Edited>
    <Version>10.0.37441.0</Version>
    <Date>2018-08-29T14:18:08</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AC5F7B91-AF2B-4778-AC25-05BCD0DA553B}">
  <ds:schemaRefs/>
</ds:datastoreItem>
</file>

<file path=customXml/itemProps2.xml><?xml version="1.0" encoding="utf-8"?>
<ds:datastoreItem xmlns:ds="http://schemas.openxmlformats.org/officeDocument/2006/customXml" ds:itemID="{5B1E9563-3F6D-4E0D-B110-DBD1D793F22A}">
  <ds:schemaRefs/>
</ds:datastoreItem>
</file>

<file path=customXml/itemProps3.xml><?xml version="1.0" encoding="utf-8"?>
<ds:datastoreItem xmlns:ds="http://schemas.openxmlformats.org/officeDocument/2006/customXml" ds:itemID="{FD100039-0FCC-476C-9215-23B3C1092BF2}">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1032</Words>
  <Characters>5868</Characters>
  <Application>Microsoft Office Word</Application>
  <DocSecurity>0</DocSecurity>
  <PresentationFormat>Microsoft Word 14.0</PresentationFormat>
  <Lines>419</Lines>
  <Paragraphs>209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14</cp:revision>
  <dcterms:created xsi:type="dcterms:W3CDTF">2018-08-29T12:16:00Z</dcterms:created>
  <dcterms:modified xsi:type="dcterms:W3CDTF">2018-10-23T07:02:00Z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1</vt:lpwstr>
  </property>
  <property fmtid="{D5CDD505-2E9C-101B-9397-08002B2CF9AE}" pid="16" name="Unique annex">
    <vt:lpwstr>1</vt:lpwstr>
  </property>
  <property fmtid="{D5CDD505-2E9C-101B-9397-08002B2CF9AE}" pid="17" name="Part">
    <vt:lpwstr>1</vt:lpwstr>
  </property>
  <property fmtid="{D5CDD505-2E9C-101B-9397-08002B2CF9AE}" pid="18" name="Total parts">
    <vt:lpwstr>1</vt:lpwstr>
  </property>
  <property fmtid="{D5CDD505-2E9C-101B-9397-08002B2CF9AE}" pid="19" name="DocStatus">
    <vt:lpwstr>Green</vt:lpwstr>
  </property>
</Properties>
</file>