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D09" w:rsidRDefault="00A3583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55FD282-788D-4538-ADFE-96E01186CE5B" style="width:450.45pt;height:389pt">
            <v:imagedata r:id="rId8" o:title=""/>
          </v:shape>
        </w:pict>
      </w:r>
    </w:p>
    <w:bookmarkEnd w:id="0"/>
    <w:p w:rsidR="00BB7D09" w:rsidRDefault="00BB7D09">
      <w:pPr>
        <w:jc w:val="both"/>
        <w:rPr>
          <w:rFonts w:ascii="Times New Roman" w:hAnsi="Times New Roman" w:cs="Times New Roman"/>
          <w:noProof/>
        </w:rPr>
        <w:sectPr w:rsidR="00BB7D09">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B7D09">
        <w:tc>
          <w:tcPr>
            <w:tcW w:w="9288" w:type="dxa"/>
            <w:shd w:val="clear" w:color="auto" w:fill="BFBFBF"/>
          </w:tcPr>
          <w:p w:rsidR="00BB7D09" w:rsidRDefault="00A35831">
            <w:pPr>
              <w:jc w:val="both"/>
              <w:rPr>
                <w:rFonts w:ascii="Times New Roman" w:hAnsi="Times New Roman" w:cs="Times New Roman"/>
                <w:i/>
                <w:noProof/>
              </w:rPr>
            </w:pPr>
            <w:r>
              <w:rPr>
                <w:rFonts w:ascii="Times New Roman" w:hAnsi="Times New Roman"/>
                <w:i/>
                <w:noProof/>
              </w:rPr>
              <w:lastRenderedPageBreak/>
              <w:t xml:space="preserve">Poročilo o mehanizmu opozarjanja je začetna točka letnega cikla postopka v zvezi z makroekonomskimi neravnotežji, katerega namen je opredeliti in odpraviti neravnotežja, ki ovirajo nemoteno delovanje gospodarstev držav članic ali gospodarstva EU ter lahko </w:t>
            </w:r>
            <w:r>
              <w:rPr>
                <w:rFonts w:ascii="Times New Roman" w:hAnsi="Times New Roman"/>
                <w:i/>
                <w:noProof/>
              </w:rPr>
              <w:t xml:space="preserve">ogrozijo pravilno delovanje ekonomske in monetarne unije. </w:t>
            </w:r>
          </w:p>
          <w:p w:rsidR="00BB7D09" w:rsidRDefault="00A35831">
            <w:pPr>
              <w:jc w:val="both"/>
              <w:rPr>
                <w:rFonts w:ascii="Times New Roman" w:hAnsi="Times New Roman" w:cs="Times New Roman"/>
                <w:noProof/>
              </w:rPr>
            </w:pPr>
            <w:r>
              <w:rPr>
                <w:rFonts w:ascii="Times New Roman" w:hAnsi="Times New Roman"/>
                <w:i/>
                <w:noProof/>
              </w:rPr>
              <w:t>Poročilo o mehanizmu opozarjanja temelji na pregledu izbranih kazalnikov ter širšem naboru pomožnih kazalnikov in dodatnih relevantnih informacij z namenom pregleda držav članic, da se odkrijejo mo</w:t>
            </w:r>
            <w:r>
              <w:rPr>
                <w:rFonts w:ascii="Times New Roman" w:hAnsi="Times New Roman"/>
                <w:i/>
                <w:noProof/>
              </w:rPr>
              <w:t>rebitna ekonomska neravnotežja, ki zahtevajo ukrepanje na ravni politik. Poročilo o mehanizmu opozarjanja opredeli, za katere države članice je potrebna analiza v poglobljenem pregledu, da se oceni, kako se makroekonomska tveganja v državah članicah kopiči</w:t>
            </w:r>
            <w:r>
              <w:rPr>
                <w:rFonts w:ascii="Times New Roman" w:hAnsi="Times New Roman"/>
                <w:i/>
                <w:noProof/>
              </w:rPr>
              <w:t>jo ali odpravljajo, in ugotovi, ali obstajajo neravnotežja ali čezmerna neravnotežja. Ob upoštevanju razprav o poročilu o mehanizmu opozarjanja z Evropskim parlamentom ter v okviru Sveta in Euroskupine bo Komisija pripravila poglobljene preglede za zadevne</w:t>
            </w:r>
            <w:r>
              <w:rPr>
                <w:rFonts w:ascii="Times New Roman" w:hAnsi="Times New Roman"/>
                <w:i/>
                <w:noProof/>
              </w:rPr>
              <w:t xml:space="preserve"> države članice. V skladu z ustaljeno prakso se poglobljeni pregledi v vsakem primeru pripravijo za države članice, za katere so bila ugotovljena neravnotežja v prejšnjem krogu poglobljenih pregledov. Ugotovitve poglobljenih pregledov bodo vključene v prip</w:t>
            </w:r>
            <w:r>
              <w:rPr>
                <w:rFonts w:ascii="Times New Roman" w:hAnsi="Times New Roman"/>
                <w:i/>
                <w:noProof/>
              </w:rPr>
              <w:t>oročila za posamezne države v okviru evropskega semestra za usklajevanje ekonomskih politik. Ti pregledi bodo predvidoma objavljeni februarja 2019, pred svežnjem evropskega semestra s priporočili za posamezne države članice.</w:t>
            </w:r>
          </w:p>
        </w:tc>
      </w:tr>
    </w:tbl>
    <w:p w:rsidR="00BB7D09" w:rsidRDefault="00BB7D09">
      <w:pPr>
        <w:jc w:val="both"/>
        <w:rPr>
          <w:rFonts w:ascii="Times New Roman" w:hAnsi="Times New Roman" w:cs="Times New Roman"/>
          <w:b/>
          <w:bCs/>
          <w:noProof/>
        </w:rPr>
      </w:pPr>
    </w:p>
    <w:p w:rsidR="00BB7D09" w:rsidRDefault="00A35831">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Povzetek</w:t>
      </w:r>
    </w:p>
    <w:p w:rsidR="00BB7D09" w:rsidRDefault="00A35831">
      <w:pPr>
        <w:jc w:val="both"/>
        <w:rPr>
          <w:rFonts w:ascii="Times New Roman" w:hAnsi="Times New Roman" w:cs="Times New Roman"/>
          <w:noProof/>
        </w:rPr>
      </w:pPr>
      <w:r>
        <w:rPr>
          <w:rFonts w:ascii="Times New Roman" w:hAnsi="Times New Roman"/>
          <w:b/>
          <w:noProof/>
        </w:rPr>
        <w:t xml:space="preserve">S tem poročilom </w:t>
      </w:r>
      <w:r>
        <w:rPr>
          <w:rFonts w:ascii="Times New Roman" w:hAnsi="Times New Roman"/>
          <w:b/>
          <w:noProof/>
        </w:rPr>
        <w:t>se začenja osmi letni krog postopka v zvezi z makroekonomskimi neravnotežji (MIP)</w:t>
      </w:r>
      <w:r>
        <w:rPr>
          <w:rFonts w:ascii="Times New Roman" w:hAnsi="Times New Roman"/>
          <w:noProof/>
          <w:vertAlign w:val="superscript"/>
        </w:rPr>
        <w:footnoteReference w:id="1"/>
      </w:r>
      <w:r>
        <w:rPr>
          <w:rFonts w:ascii="Times New Roman" w:hAnsi="Times New Roman"/>
          <w:b/>
          <w:noProof/>
        </w:rPr>
        <w:t>.</w:t>
      </w:r>
      <w:r>
        <w:rPr>
          <w:rFonts w:ascii="Times New Roman" w:hAnsi="Times New Roman"/>
          <w:noProof/>
        </w:rPr>
        <w:t xml:space="preserve"> Namen postopka je odkriti neravnotežja, ki ovirajo nemoteno delovanje gospodarstev držav članic, in spodbuditi ustrezne odzive politike. Izvajanje postopka v zvezi z makroe</w:t>
      </w:r>
      <w:r>
        <w:rPr>
          <w:rFonts w:ascii="Times New Roman" w:hAnsi="Times New Roman"/>
          <w:noProof/>
        </w:rPr>
        <w:t>konomskimi neravnotežji je vključeno v evropski semester usklajevanja ekonomskih politik, da bi se zagotovila skladnost z analizami in priporočili, pripravljenimi v okviru drugih instrumentov za gospodarski nadzor. Letni pregled rasti, sprejet hkrati s tem</w:t>
      </w:r>
      <w:r>
        <w:rPr>
          <w:rFonts w:ascii="Times New Roman" w:hAnsi="Times New Roman"/>
          <w:noProof/>
        </w:rPr>
        <w:t xml:space="preserve"> poročilom, vsebuje oceno gospodarskih in socialnih razmer v Evropi in določa širše prednostne naloge politik za EU kot celoto za naslednje leto.</w:t>
      </w:r>
    </w:p>
    <w:p w:rsidR="00BB7D09" w:rsidRDefault="00A35831">
      <w:pPr>
        <w:jc w:val="both"/>
        <w:rPr>
          <w:rFonts w:ascii="Times New Roman" w:hAnsi="Times New Roman" w:cs="Times New Roman"/>
          <w:noProof/>
        </w:rPr>
      </w:pPr>
      <w:r>
        <w:rPr>
          <w:rFonts w:ascii="Times New Roman" w:hAnsi="Times New Roman"/>
          <w:b/>
          <w:noProof/>
        </w:rPr>
        <w:t>V poročilu so obravnavane države članice, za katere je treba opraviti poglobljeni pregled, da se oceni, ali so</w:t>
      </w:r>
      <w:r>
        <w:rPr>
          <w:rFonts w:ascii="Times New Roman" w:hAnsi="Times New Roman"/>
          <w:b/>
          <w:noProof/>
        </w:rPr>
        <w:t xml:space="preserve"> jih prizadela neravnotežja, zaradi katerih je potrebno ukrepanje na ravni politik</w:t>
      </w:r>
      <w:r>
        <w:rPr>
          <w:rFonts w:ascii="Times New Roman" w:hAnsi="Times New Roman"/>
          <w:noProof/>
          <w:vertAlign w:val="superscript"/>
        </w:rPr>
        <w:footnoteReference w:id="2"/>
      </w:r>
      <w:r>
        <w:rPr>
          <w:rFonts w:ascii="Times New Roman" w:hAnsi="Times New Roman"/>
          <w:b/>
          <w:noProof/>
        </w:rPr>
        <w:t>.</w:t>
      </w:r>
      <w:r>
        <w:rPr>
          <w:rFonts w:ascii="Times New Roman" w:hAnsi="Times New Roman"/>
          <w:noProof/>
        </w:rPr>
        <w:t xml:space="preserve"> Poročilo o mehanizmu opozarjanja je orodje za pregled ekonomskih neravnotežij, ki se objavi na začetku vsakega letnega cikla usklajevanja ekonomskih politik. Temelji predv</w:t>
      </w:r>
      <w:r>
        <w:rPr>
          <w:rFonts w:ascii="Times New Roman" w:hAnsi="Times New Roman"/>
          <w:noProof/>
        </w:rPr>
        <w:t>sem na ekonomski razlagi pregleda kazalnikov z okvirnimi pragovi skupaj z nizom pomožnih kazalnikov. Poročilo o mehanizmu opozarjanja vsebuje tudi analizo posledic neravnotežij v posameznih državah članicah za celotno euroobmočje ter proučuje, v kakšnem ob</w:t>
      </w:r>
      <w:r>
        <w:rPr>
          <w:rFonts w:ascii="Times New Roman" w:hAnsi="Times New Roman"/>
          <w:noProof/>
        </w:rPr>
        <w:t>segu je glede na soodvisnost znotraj euroobmočja potreben usklajen pristop k odzivom politike</w:t>
      </w:r>
      <w:r>
        <w:rPr>
          <w:rFonts w:ascii="Times New Roman" w:hAnsi="Times New Roman"/>
          <w:noProof/>
          <w:vertAlign w:val="superscript"/>
        </w:rPr>
        <w:footnoteReference w:id="3"/>
      </w:r>
      <w:r>
        <w:rPr>
          <w:rFonts w:ascii="Times New Roman" w:hAnsi="Times New Roman"/>
          <w:noProof/>
        </w:rPr>
        <w:t xml:space="preserve">. V zvezi s tem analiza iz tega poročila dopolnjuje oceno </w:t>
      </w:r>
      <w:r>
        <w:rPr>
          <w:rFonts w:ascii="Times New Roman" w:hAnsi="Times New Roman"/>
          <w:noProof/>
        </w:rPr>
        <w:lastRenderedPageBreak/>
        <w:t>iz delovnega dokumenta služb Komisije z naslovom „Analiza gospodarstva euroobmočja“, ki je priložen prip</w:t>
      </w:r>
      <w:r>
        <w:rPr>
          <w:rFonts w:ascii="Times New Roman" w:hAnsi="Times New Roman"/>
          <w:noProof/>
        </w:rPr>
        <w:t>oročilu Komisije za priporočilo Sveta o gospodarski politiki euroobmočja.</w:t>
      </w:r>
    </w:p>
    <w:p w:rsidR="00BB7D09" w:rsidRDefault="00A35831">
      <w:pPr>
        <w:jc w:val="both"/>
        <w:rPr>
          <w:rFonts w:ascii="Times New Roman" w:hAnsi="Times New Roman" w:cs="Times New Roman"/>
          <w:noProof/>
        </w:rPr>
      </w:pPr>
      <w:r>
        <w:rPr>
          <w:rFonts w:ascii="Times New Roman" w:hAnsi="Times New Roman"/>
          <w:b/>
          <w:noProof/>
        </w:rPr>
        <w:t xml:space="preserve">Ocena v poročilu o mehanizmu opozarjanja upošteva gospodarsko rast, ki je kljub manjši upočasnitvi še vedno široko osnovana. </w:t>
      </w:r>
      <w:r>
        <w:rPr>
          <w:rFonts w:ascii="Times New Roman" w:hAnsi="Times New Roman"/>
          <w:noProof/>
        </w:rPr>
        <w:t>V gospodarski napovedi Evropske komisije iz jeseni 2018 s</w:t>
      </w:r>
      <w:r>
        <w:rPr>
          <w:rFonts w:ascii="Times New Roman" w:hAnsi="Times New Roman"/>
          <w:noProof/>
        </w:rPr>
        <w:t>e predvideva, da bo realna rast BDP v letu 2018 znašala 2,1 %, v letu 2019 pa 1,9 %, tako za EU kot za euroobmočje, kar pomeni, da se bo nekoliko upočasnila glede na rast v višini 2,4 %, zabeleženo za leto 2017. V vseh državah članicah se pričakuje pozitiv</w:t>
      </w:r>
      <w:r>
        <w:rPr>
          <w:rFonts w:ascii="Times New Roman" w:hAnsi="Times New Roman"/>
          <w:noProof/>
        </w:rPr>
        <w:t>na rast. Pogoji zaposlovanja naj bi se dodatno izboljšali in postopno privedli do bolj trajne rasti plač, kar bi spodbudilo potrošnjo in sčasoma podprlo dinamiko osnovne inflacije, ki bi se približala inflacijskemu cilju monetarnih organov. Pričakuje se, d</w:t>
      </w:r>
      <w:r>
        <w:rPr>
          <w:rFonts w:ascii="Times New Roman" w:hAnsi="Times New Roman"/>
          <w:noProof/>
        </w:rPr>
        <w:t>a bo rast naložb ostala trdna kljub rahli upočasnitvi. Na drugi strani se kažejo znaki nižanja prispevka neto izvoza k rasti zaradi večje negotovosti v zvezi z okoljem trgovinske politike in nedavnega dviga vrednosti eura. V celoti gledano ostajajo obeti z</w:t>
      </w:r>
      <w:r>
        <w:rPr>
          <w:rFonts w:ascii="Times New Roman" w:hAnsi="Times New Roman"/>
          <w:noProof/>
        </w:rPr>
        <w:t>a rast trdno zasidrani v zdravih temeljih, vključno z na splošno močnimi trgi dela, ugodnimi kreditnimi pogoji ter izboljšanimi bilancami stanja ter dobički bank in nefinančnih družb, vendar naj bi se rast upočasnila, ko bo cikel na glavnih svetovnih območ</w:t>
      </w:r>
      <w:r>
        <w:rPr>
          <w:rFonts w:ascii="Times New Roman" w:hAnsi="Times New Roman"/>
          <w:noProof/>
        </w:rPr>
        <w:t>jih dozorel</w:t>
      </w:r>
      <w:r>
        <w:rPr>
          <w:rStyle w:val="FootnoteReference"/>
          <w:rFonts w:ascii="Times New Roman" w:hAnsi="Times New Roman"/>
          <w:noProof/>
        </w:rPr>
        <w:footnoteReference w:id="4"/>
      </w:r>
      <w:r>
        <w:rPr>
          <w:rFonts w:ascii="Times New Roman" w:hAnsi="Times New Roman"/>
          <w:noProof/>
        </w:rPr>
        <w:t xml:space="preserve">. </w:t>
      </w:r>
    </w:p>
    <w:p w:rsidR="00BB7D09" w:rsidRDefault="00A35831">
      <w:pPr>
        <w:jc w:val="both"/>
        <w:rPr>
          <w:rFonts w:ascii="Times New Roman" w:hAnsi="Times New Roman" w:cs="Times New Roman"/>
          <w:noProof/>
        </w:rPr>
      </w:pPr>
      <w:r>
        <w:rPr>
          <w:rFonts w:ascii="Times New Roman" w:hAnsi="Times New Roman"/>
          <w:b/>
          <w:noProof/>
        </w:rPr>
        <w:t>Odpravljanje makroekonomskih neravnotežij v EU napreduje, pri čemer ga podpira večja nominalna rast BDP, vendar so obeti na srednji rok manj predvidljivi zaradi večje negotovosti</w:t>
      </w:r>
      <w:r>
        <w:rPr>
          <w:rFonts w:ascii="Times New Roman" w:hAnsi="Times New Roman"/>
          <w:noProof/>
        </w:rPr>
        <w:t xml:space="preserve">. Gospodarska rast in stopnje inflacije, ki se postopoma </w:t>
      </w:r>
      <w:r>
        <w:rPr>
          <w:rFonts w:ascii="Times New Roman" w:hAnsi="Times New Roman"/>
          <w:noProof/>
        </w:rPr>
        <w:t>približujejo ciljnim vrednostim, prispevajo k zmanjševanju deleža javnega dolga v BDP. Vendar zasebni in javni dolgovi ostajajo na zgodovinsko visokih ravneh, v bilancah stanja v finančnem sektorju pa so še vedno prisotne ranljivosti. Ker se inflacija post</w:t>
      </w:r>
      <w:r>
        <w:rPr>
          <w:rFonts w:ascii="Times New Roman" w:hAnsi="Times New Roman"/>
          <w:noProof/>
        </w:rPr>
        <w:t>opoma približuje cilju ECB, se krepi argument za normalizacijo monetarne politike, kar bi vplivalo na stroške izposojanja, cene sredstev in bilance stanja. Na podlagi tega bi lahko številni dejavniki povzročili preobrat v odnosu do tveganja, z učinki na za</w:t>
      </w:r>
      <w:r>
        <w:rPr>
          <w:rFonts w:ascii="Times New Roman" w:hAnsi="Times New Roman"/>
          <w:noProof/>
        </w:rPr>
        <w:t xml:space="preserve">upanje, ki bi vplivali na države članice, ki se soočajo s slabšimi obeti za javne finance ali finančni sektor ali so izpostavljene negativnim šokom za gospodarsko rast (vključno s tistimi, ki so povezani s posledicami izstopa Združenega kraljestva iz EU). </w:t>
      </w:r>
      <w:r>
        <w:rPr>
          <w:rFonts w:ascii="Times New Roman" w:hAnsi="Times New Roman"/>
          <w:noProof/>
        </w:rPr>
        <w:t>Številna negativna tveganja izhajajo iz okolja zunaj EU, zlasti v zvezi z uresničitvijo protekcionističnih ukrepov trgovinske politike, posledicami geopolitičnih napetosti, zlasti za cene energije, koncem fiskalne ekspanzije ZDA ob zaostrovanju denarne pol</w:t>
      </w:r>
      <w:r>
        <w:rPr>
          <w:rFonts w:ascii="Times New Roman" w:hAnsi="Times New Roman"/>
          <w:noProof/>
        </w:rPr>
        <w:t>itike ter posledicami za kapitalske tokove in devizne tečaje, ki izhajajo iz normalizacije neusklajene denarne politike na različnih področjih svetovnega gospodarstva</w:t>
      </w:r>
      <w:r>
        <w:rPr>
          <w:rStyle w:val="FootnoteReference"/>
          <w:rFonts w:ascii="Times New Roman" w:hAnsi="Times New Roman"/>
          <w:noProof/>
        </w:rPr>
        <w:footnoteReference w:id="5"/>
      </w:r>
      <w:r>
        <w:rPr>
          <w:rFonts w:ascii="Times New Roman" w:hAnsi="Times New Roman"/>
          <w:noProof/>
        </w:rPr>
        <w:t>. Medsebojno delovanje teh virov tveganj nagiba ravnovesje tveganj na negativno stran, za</w:t>
      </w:r>
      <w:r>
        <w:rPr>
          <w:rFonts w:ascii="Times New Roman" w:hAnsi="Times New Roman"/>
          <w:noProof/>
        </w:rPr>
        <w:t xml:space="preserve">radi česar so obeti vedno bolj negotovi, in sicer v razmerah, </w:t>
      </w:r>
      <w:r>
        <w:rPr>
          <w:rFonts w:ascii="Times New Roman" w:hAnsi="Times New Roman"/>
          <w:noProof/>
        </w:rPr>
        <w:lastRenderedPageBreak/>
        <w:t>ko je možnost blaženja pretresov z zasebnimi in javnimi prihranki v pomembnem številu držav članic omejena.</w:t>
      </w:r>
    </w:p>
    <w:p w:rsidR="00BB7D09" w:rsidRDefault="00A35831">
      <w:pPr>
        <w:jc w:val="both"/>
        <w:rPr>
          <w:rFonts w:ascii="Times New Roman" w:hAnsi="Times New Roman" w:cs="Times New Roman"/>
          <w:b/>
          <w:noProof/>
        </w:rPr>
      </w:pPr>
      <w:r>
        <w:rPr>
          <w:rFonts w:ascii="Times New Roman" w:hAnsi="Times New Roman"/>
          <w:b/>
          <w:noProof/>
        </w:rPr>
        <w:t>Na podlagi horizontalne analize, predstavljene v poročilu o mehanizmu opozarjanja, lah</w:t>
      </w:r>
      <w:r>
        <w:rPr>
          <w:rFonts w:ascii="Times New Roman" w:hAnsi="Times New Roman"/>
          <w:b/>
          <w:noProof/>
        </w:rPr>
        <w:t>ko ugotovimo naslednje:</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Ponovno uravnoteženje stanj na tekočih računih se mora nadaljevati.</w:t>
      </w:r>
      <w:r>
        <w:rPr>
          <w:rFonts w:ascii="Times New Roman" w:hAnsi="Times New Roman"/>
          <w:noProof/>
        </w:rPr>
        <w:t xml:space="preserve"> Veliki primanjkljaji na tekočih računih so bili v večini držav članic odpravljeni, v nekaj primerih pa so za ohranitev ustrezne hitrosti zmanjšanja ravni neto zunan</w:t>
      </w:r>
      <w:r>
        <w:rPr>
          <w:rFonts w:ascii="Times New Roman" w:hAnsi="Times New Roman"/>
          <w:noProof/>
        </w:rPr>
        <w:t>jih obveznosti potrebni preudarnejši zunanji položaji. Do zmanjšanj nekaterih največjih presežkov na tekočih računih je prišlo šele pred kratkim, pri čemer ta ostajajo skromna. V številnih državah članicah na tekoče račune vedno bolj vplivajo čezmejni posl</w:t>
      </w:r>
      <w:r>
        <w:rPr>
          <w:rFonts w:ascii="Times New Roman" w:hAnsi="Times New Roman"/>
          <w:noProof/>
        </w:rPr>
        <w:t>i, povezani z dejavnostmi multinacionalnih družb in mednarodno usmerjenih storitvenih sektorjev, ki vplivajo tako na trgovinske bilance kot na salde dohodkov.</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 xml:space="preserve">Stanja mednarodnih naložb ostajajo neuravnotežena, prilagajanje pa poteka postopoma. </w:t>
      </w:r>
      <w:r>
        <w:rPr>
          <w:rFonts w:ascii="Times New Roman" w:hAnsi="Times New Roman"/>
          <w:noProof/>
        </w:rPr>
        <w:t>Visoka negat</w:t>
      </w:r>
      <w:r>
        <w:rPr>
          <w:rFonts w:ascii="Times New Roman" w:hAnsi="Times New Roman"/>
          <w:noProof/>
        </w:rPr>
        <w:t xml:space="preserve">ivna neto stanja mednarodnih naložb (NIIP), zabeležena v državah članicah, ki so imele v preteklosti velike primanjkljaje na tekočem računu, se odpravljajo zaradi stanj zunanjih tokov, ki so blizu ravnotežja ali v presežku, in ponovne nominalne rasti BDP, </w:t>
      </w:r>
      <w:r>
        <w:rPr>
          <w:rFonts w:ascii="Times New Roman" w:hAnsi="Times New Roman"/>
          <w:noProof/>
        </w:rPr>
        <w:t xml:space="preserve">ki jih je treba ohraniti, da se bo doseglo zmanjšanje obveznosti na bolj razumne ravni. V državah z velikimi presežki neto stanja mednarodnih naložb še naprej rastejo. </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 xml:space="preserve">Razmere v zvezi s stroškovno konkurenčnostjo za več držav članic postajajo manj ugodne </w:t>
      </w:r>
      <w:r>
        <w:rPr>
          <w:rFonts w:ascii="Times New Roman" w:hAnsi="Times New Roman"/>
          <w:b/>
          <w:noProof/>
        </w:rPr>
        <w:t xml:space="preserve">in na splošno manj podpirajo ponovno bolj simetrično uravnoteženje. </w:t>
      </w:r>
      <w:r>
        <w:rPr>
          <w:rFonts w:ascii="Times New Roman" w:hAnsi="Times New Roman"/>
          <w:noProof/>
        </w:rPr>
        <w:t>Od leta 2016</w:t>
      </w:r>
      <w:r>
        <w:rPr>
          <w:rFonts w:ascii="Times New Roman" w:hAnsi="Times New Roman"/>
          <w:b/>
          <w:noProof/>
        </w:rPr>
        <w:t xml:space="preserve"> </w:t>
      </w:r>
      <w:r>
        <w:rPr>
          <w:rFonts w:ascii="Times New Roman" w:hAnsi="Times New Roman"/>
          <w:noProof/>
        </w:rPr>
        <w:t>stroški dela na enoto v večini držav članic EU rastejo hitreje, pri čemer je močna pospešitev zabeležena zlasti v državah članicah EU iz srednje in vzhodne Evrope, deloma zara</w:t>
      </w:r>
      <w:r>
        <w:rPr>
          <w:rFonts w:ascii="Times New Roman" w:hAnsi="Times New Roman"/>
          <w:noProof/>
        </w:rPr>
        <w:t>di ozkih grl na strani ponudbe delovne sile. Rast stroškovne konkurenčnosti po krizi je bila v neto dolžnicah iz euroobmočja hitrejša kot v neto upnicah. Vendar se v zadnjem času prednost neto dolžnic v smislu dinamike stroškovne konkurenčnosti glede na up</w:t>
      </w:r>
      <w:r>
        <w:rPr>
          <w:rFonts w:ascii="Times New Roman" w:hAnsi="Times New Roman"/>
          <w:noProof/>
        </w:rPr>
        <w:t>nice upočasnjuje zaradi razmer na trgu dela, ki jih zaznamuje visoko povpraševanju po delu na eni strani in nizka stopnja brezposelnosti na drugi strani, in počasnejšega izboljševanja produktivnosti, hkrati pa z delovno silo še vedno nezadostno preskrbljen</w:t>
      </w:r>
      <w:r>
        <w:rPr>
          <w:rFonts w:ascii="Times New Roman" w:hAnsi="Times New Roman"/>
          <w:noProof/>
        </w:rPr>
        <w:t>i trgi dela v neto upnicah še niso privedli do znatne pospešitve rasti plač. Ta nedavni razvoj na področju stroškovne konkurenčnosti se ne odraža povsem v ustreznem poslabšanju cenovne konkurenčnosti, verjetno zaradi izravnalnega učinka nižjih marž. Ta uči</w:t>
      </w:r>
      <w:r>
        <w:rPr>
          <w:rFonts w:ascii="Times New Roman" w:hAnsi="Times New Roman"/>
          <w:noProof/>
        </w:rPr>
        <w:t>nek bi lahko bil eden od razlogov, zakaj ni dokazov prima facie, ki bi kazali na to, da so izgube stroškovne konkurenčnosti že negativno vplivale na rast deležev na izvoznih trgih, vendar bi lahko učinki postali vidni, če se bo ta trend nadaljeval.</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Razdolž</w:t>
      </w:r>
      <w:r>
        <w:rPr>
          <w:rFonts w:ascii="Times New Roman" w:hAnsi="Times New Roman"/>
          <w:b/>
          <w:noProof/>
        </w:rPr>
        <w:t xml:space="preserve">evanje zasebnega sektorja še poteka, pri čemer se vse bolj opira na ponovno nominalno rast. </w:t>
      </w:r>
      <w:r>
        <w:rPr>
          <w:rFonts w:ascii="Times New Roman" w:hAnsi="Times New Roman"/>
          <w:noProof/>
        </w:rPr>
        <w:t>Deleži zasebnega dolga v BDP upadajo v večjem številu držav članic kot pred letom. To je posledica višje nominalne rasti BDP, saj aktivno razdolževanje, tj. zmanjše</w:t>
      </w:r>
      <w:r>
        <w:rPr>
          <w:rFonts w:ascii="Times New Roman" w:hAnsi="Times New Roman"/>
          <w:noProof/>
        </w:rPr>
        <w:t xml:space="preserve">vanje zadolženosti na podlagi upadajočih ravni dolga v nominalnem smislu, poteka le v nekaj državah in je počasno. Aktivno razdolževanje je v glavnem omejeno na podjetniški sektor, saj se je dinamika pri posojanju gospodinjstvom okrepila. Razdolževanje je </w:t>
      </w:r>
      <w:r>
        <w:rPr>
          <w:rFonts w:ascii="Times New Roman" w:hAnsi="Times New Roman"/>
          <w:noProof/>
        </w:rPr>
        <w:t xml:space="preserve">v podjetniškem sektorju še vedno hitrejše kot v sektorju gospodinjstev tudi zato, ker so ravni </w:t>
      </w:r>
      <w:r>
        <w:rPr>
          <w:rFonts w:ascii="Times New Roman" w:hAnsi="Times New Roman"/>
          <w:noProof/>
        </w:rPr>
        <w:lastRenderedPageBreak/>
        <w:t xml:space="preserve">dolga v podjetniškem sektorju višje in je zato učinek nominalne rasti BDP na delež dolga večji. </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V državah z visokimi stopnjami javnega dolga se je razdolževanje</w:t>
      </w:r>
      <w:r>
        <w:rPr>
          <w:rFonts w:ascii="Times New Roman" w:hAnsi="Times New Roman"/>
          <w:b/>
          <w:noProof/>
        </w:rPr>
        <w:t xml:space="preserve"> s strani države začelo šele pred kratkim in poteka počasi</w:t>
      </w:r>
      <w:r>
        <w:rPr>
          <w:rFonts w:ascii="Times New Roman" w:hAnsi="Times New Roman"/>
          <w:noProof/>
        </w:rPr>
        <w:t>. Kljub ponovni nominalni rasti in nižjim plačilom obresti, ki so prispevali k zmanjševanju deleža javnega dolga v BDP v večini držav članic, v vedno večjem številu držav fiskalna politika postaja m</w:t>
      </w:r>
      <w:r>
        <w:rPr>
          <w:rFonts w:ascii="Times New Roman" w:hAnsi="Times New Roman"/>
          <w:noProof/>
        </w:rPr>
        <w:t xml:space="preserve">anj restriktivna, kar ima prociklične učinke in lahko vpliva na možnost blaženja pretresov v slabih razmerah. </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Razmere v bančnem sektorju EU se izboljšujejo, vendar se v nekaterih državah članicah banke še naprej soočajo z nizkimi stopnjami dobičkonosnosti</w:t>
      </w:r>
      <w:r>
        <w:rPr>
          <w:rFonts w:ascii="Times New Roman" w:hAnsi="Times New Roman"/>
          <w:b/>
          <w:noProof/>
        </w:rPr>
        <w:t xml:space="preserve"> in visokimi ravnmi slabih posojil. </w:t>
      </w:r>
      <w:r>
        <w:rPr>
          <w:rFonts w:ascii="Times New Roman" w:hAnsi="Times New Roman"/>
          <w:noProof/>
        </w:rPr>
        <w:t>Dobičkonosnost se je izboljšala zlasti v državah, kjer je za bančni sektor značilna nizka dobičkonosnost. Delež slabih posojil se je še zmanjšal, zlasti v državah članicah, kjer so ravni slabih posojil najvišje. Količnik</w:t>
      </w:r>
      <w:r>
        <w:rPr>
          <w:rFonts w:ascii="Times New Roman" w:hAnsi="Times New Roman"/>
          <w:noProof/>
        </w:rPr>
        <w:t xml:space="preserve">i kapitaliziranosti so se v večini držav še izboljšali. Vrednotenja lastniškega kapitala bank so se večala do začetka leta 2018, nato pa je prišlo do popravka navzdol. </w:t>
      </w:r>
    </w:p>
    <w:p w:rsidR="00BB7D09" w:rsidRDefault="00A35831">
      <w:pPr>
        <w:pStyle w:val="ListParagraph"/>
        <w:numPr>
          <w:ilvl w:val="0"/>
          <w:numId w:val="14"/>
        </w:numPr>
        <w:jc w:val="both"/>
        <w:rPr>
          <w:rFonts w:ascii="Times New Roman" w:hAnsi="Times New Roman" w:cs="Times New Roman"/>
          <w:noProof/>
        </w:rPr>
      </w:pPr>
      <w:r>
        <w:rPr>
          <w:rFonts w:ascii="Times New Roman" w:hAnsi="Times New Roman"/>
          <w:b/>
          <w:noProof/>
        </w:rPr>
        <w:t>Rast cen stanovanjskih nepremičnin se je pospešila in postaja pozitivna v vedno več drž</w:t>
      </w:r>
      <w:r>
        <w:rPr>
          <w:rFonts w:ascii="Times New Roman" w:hAnsi="Times New Roman"/>
          <w:b/>
          <w:noProof/>
        </w:rPr>
        <w:t xml:space="preserve">avah članicah, več pa jih kaže možne znake precenjenosti. </w:t>
      </w:r>
      <w:r>
        <w:rPr>
          <w:rFonts w:ascii="Times New Roman" w:hAnsi="Times New Roman"/>
          <w:noProof/>
        </w:rPr>
        <w:t>Hkrati se je rast cen stanovanjskih nepremičnin nedavno umirila v državah, kjer so znaki precenjenosti najočitnejši. Nasprotno je precej hitrejšo rast opaziti zlasti v državah, kjer trenutno ni znak</w:t>
      </w:r>
      <w:r>
        <w:rPr>
          <w:rFonts w:ascii="Times New Roman" w:hAnsi="Times New Roman"/>
          <w:noProof/>
        </w:rPr>
        <w:t xml:space="preserve">ov precenjenosti ali pa ti niso izraziti. </w:t>
      </w:r>
    </w:p>
    <w:p w:rsidR="00BB7D09" w:rsidRDefault="00A35831">
      <w:pPr>
        <w:numPr>
          <w:ilvl w:val="0"/>
          <w:numId w:val="1"/>
        </w:numPr>
        <w:jc w:val="both"/>
        <w:rPr>
          <w:rFonts w:ascii="Times New Roman" w:hAnsi="Times New Roman" w:cs="Times New Roman"/>
          <w:noProof/>
        </w:rPr>
      </w:pPr>
      <w:r>
        <w:rPr>
          <w:rFonts w:ascii="Times New Roman" w:hAnsi="Times New Roman"/>
          <w:b/>
          <w:noProof/>
        </w:rPr>
        <w:t xml:space="preserve">Trgi dela se še naprej izboljšujejo in plače postopoma ponovno začenjajo rasti. </w:t>
      </w:r>
      <w:r>
        <w:rPr>
          <w:rFonts w:ascii="Times New Roman" w:hAnsi="Times New Roman"/>
          <w:noProof/>
        </w:rPr>
        <w:t>Stopnje brezposelnosti se še naprej zmanjšujejo, tudi pri mladih in dolgotrajno brezposelnih, vendar je brezposelnost v nekaterih drž</w:t>
      </w:r>
      <w:r>
        <w:rPr>
          <w:rFonts w:ascii="Times New Roman" w:hAnsi="Times New Roman"/>
          <w:noProof/>
        </w:rPr>
        <w:t>avah članicah še vedno visoka, udeležba na trgu dela pa nizka, čeprav se marsikje povečuje. Socialna stiska se zmanjšuje kljub dolgotrajni brezposelnosti in nižjim prihodkom v številnih državah</w:t>
      </w:r>
      <w:r>
        <w:rPr>
          <w:rStyle w:val="FootnoteReference"/>
          <w:rFonts w:ascii="Times New Roman" w:hAnsi="Times New Roman"/>
          <w:noProof/>
        </w:rPr>
        <w:footnoteReference w:id="6"/>
      </w:r>
      <w:r>
        <w:rPr>
          <w:rFonts w:ascii="Times New Roman" w:hAnsi="Times New Roman"/>
          <w:noProof/>
        </w:rPr>
        <w:t>. Rast plač na ravni euroobmočja ostaja pod ravnjo, ki bi jo b</w:t>
      </w:r>
      <w:r>
        <w:rPr>
          <w:rFonts w:ascii="Times New Roman" w:hAnsi="Times New Roman"/>
          <w:noProof/>
        </w:rPr>
        <w:t>ilo mogoče pričakova</w:t>
      </w:r>
      <w:r>
        <w:rPr>
          <w:noProof/>
        </w:rPr>
        <w:t>ti ob trenutnih stopnjah brezposelnosti na podlagi preteklih podatkov. Plače v državah EU pa vendarle postopoma ponovno rastejo, čeprav z različno hitrostjo, kar je na splošno posledica obsega nizke brezposelnosti in visokega povpraševa</w:t>
      </w:r>
      <w:r>
        <w:rPr>
          <w:noProof/>
        </w:rPr>
        <w:t xml:space="preserve">nja na trgih dela in ozkih grl na strani ponudbe delovne sile v nekaterih državah. </w:t>
      </w:r>
    </w:p>
    <w:p w:rsidR="00BB7D09" w:rsidRDefault="00A35831">
      <w:pPr>
        <w:jc w:val="both"/>
        <w:rPr>
          <w:rFonts w:ascii="Times New Roman" w:hAnsi="Times New Roman" w:cs="Times New Roman"/>
          <w:noProof/>
        </w:rPr>
      </w:pPr>
      <w:r>
        <w:rPr>
          <w:rFonts w:ascii="Times New Roman" w:hAnsi="Times New Roman"/>
          <w:b/>
          <w:noProof/>
        </w:rPr>
        <w:t xml:space="preserve">Težavam pri ponovnem uravnoteženju euroobmočja je treba nameniti posebno pozornost. </w:t>
      </w:r>
      <w:r>
        <w:rPr>
          <w:rFonts w:ascii="Times New Roman" w:hAnsi="Times New Roman"/>
          <w:noProof/>
        </w:rPr>
        <w:t xml:space="preserve">Presežek na tekočem računu euroobmočja se je leta 2016 stabiliziral in je nato ostal na </w:t>
      </w:r>
      <w:r>
        <w:rPr>
          <w:rFonts w:ascii="Times New Roman" w:hAnsi="Times New Roman"/>
          <w:noProof/>
        </w:rPr>
        <w:t xml:space="preserve">splošno nespremenjen. Po obsegu je največji na svetu in presega ravni, skladne z gospodarskimi temelji. Zaradi medsebojne povezanosti in učinkov prelivanja znotraj euroobmočja je potrebna ustrezna kombinacija politik v državah euroobmočja, da se zagotovi, </w:t>
      </w:r>
      <w:r>
        <w:rPr>
          <w:rFonts w:ascii="Times New Roman" w:hAnsi="Times New Roman"/>
          <w:noProof/>
        </w:rPr>
        <w:t>da je ponovna rast vzdržna in združljiva z makroekonomsko stabilnostjo. V neto dolžnicah je za zmanjšanje velikega obsega tujih in domačih dolgov treba ohraniti preudarne salde tekočih računov in zagotoviti ustrezno hitrost zmanjševanja dolgov, ne da bi se</w:t>
      </w:r>
      <w:r>
        <w:rPr>
          <w:rFonts w:ascii="Times New Roman" w:hAnsi="Times New Roman"/>
          <w:noProof/>
        </w:rPr>
        <w:t xml:space="preserve"> pri tem ogrozil cilj povečanja potenciala za rast in z namenom preprečiti tveganje prociklične zaostritve v času slabih gospodarskih razmer. V neto upnicah bi obravnavanje trajnih </w:t>
      </w:r>
      <w:r>
        <w:rPr>
          <w:rFonts w:ascii="Times New Roman" w:hAnsi="Times New Roman"/>
          <w:noProof/>
        </w:rPr>
        <w:lastRenderedPageBreak/>
        <w:t>velikih presežkov s pomočjo politik, ki spodbujajo naložbe in obravnavajo s</w:t>
      </w:r>
      <w:r>
        <w:rPr>
          <w:rFonts w:ascii="Times New Roman" w:hAnsi="Times New Roman"/>
          <w:noProof/>
        </w:rPr>
        <w:t>tagniranje plač, prispevalo k povečevanju potenciala za rast in doseganju rasti, ki je manj odvisna od tujega povpraševanja. V okviru 2 je širše obravnavana razsežnost euroobmočja pri neravnotežjih.</w:t>
      </w:r>
    </w:p>
    <w:p w:rsidR="00BB7D09" w:rsidRDefault="00A35831">
      <w:pPr>
        <w:jc w:val="both"/>
        <w:rPr>
          <w:rFonts w:ascii="Times New Roman" w:hAnsi="Times New Roman" w:cs="Times New Roman"/>
          <w:noProof/>
        </w:rPr>
      </w:pPr>
      <w:r>
        <w:rPr>
          <w:rFonts w:ascii="Times New Roman" w:hAnsi="Times New Roman"/>
          <w:b/>
          <w:noProof/>
        </w:rPr>
        <w:t>Na splošno se tveganja, povezana z obstoječimi neravnotež</w:t>
      </w:r>
      <w:r>
        <w:rPr>
          <w:rFonts w:ascii="Times New Roman" w:hAnsi="Times New Roman"/>
          <w:b/>
          <w:noProof/>
        </w:rPr>
        <w:t xml:space="preserve">ji, po zaslugi gospodarske rasti še vedno zmanjšujejo, vendar so še vedno prisotne ranljivosti, povezane z neravnotežji na strani stanj, prisotni pa so tudi znaki morebitnih nevzdržnih trendov. </w:t>
      </w:r>
      <w:r>
        <w:rPr>
          <w:rFonts w:ascii="Times New Roman" w:hAnsi="Times New Roman"/>
          <w:noProof/>
        </w:rPr>
        <w:t>Potencialni viri tveganja so na splošno enaki kot tisti iz por</w:t>
      </w:r>
      <w:r>
        <w:rPr>
          <w:rFonts w:ascii="Times New Roman" w:hAnsi="Times New Roman"/>
          <w:noProof/>
        </w:rPr>
        <w:t>očila o mehanizmu opozarjanja za leto 2018. Še vedno so prisotni veliki presežki, hkrati pa razvoj na področju konkurenčnosti manj podpira ponovno uravnoteženje. Gospodarska rast je prispevala k razdolževanju zasebnega sektorja, vendar je to še vedno neena</w:t>
      </w:r>
      <w:r>
        <w:rPr>
          <w:rFonts w:ascii="Times New Roman" w:hAnsi="Times New Roman"/>
          <w:noProof/>
        </w:rPr>
        <w:t>komerno, saj se visoke ravni dolga ne odpravljajo dovolj hitro. Kar je še pomembneje, ob počasnejšem aktivnem razdolževanju v zasebnem in zlasti javnem sektorju se postavlja vprašanje, ali bi se lahko razdolževanje v prihodnje vedno bolj zanašalo na potenc</w:t>
      </w:r>
      <w:r>
        <w:rPr>
          <w:rFonts w:ascii="Times New Roman" w:hAnsi="Times New Roman"/>
          <w:noProof/>
        </w:rPr>
        <w:t>ialno rast BDP. Ta izziv poudarja potrebo po nadaljevanju procesa reform, ki se je v zadnjih letih začel v vrsti držav EU, in ohranjanja politik in reform, katerih cilj je povečati potencial za rast, visoko na dnevnem redu</w:t>
      </w:r>
      <w:r>
        <w:rPr>
          <w:rStyle w:val="FootnoteReference"/>
          <w:rFonts w:ascii="Times New Roman" w:hAnsi="Times New Roman"/>
          <w:noProof/>
        </w:rPr>
        <w:footnoteReference w:id="7"/>
      </w:r>
      <w:r>
        <w:rPr>
          <w:rFonts w:ascii="Times New Roman" w:hAnsi="Times New Roman"/>
          <w:noProof/>
        </w:rPr>
        <w:t>. Glede na vedno bolj negotove sr</w:t>
      </w:r>
      <w:r>
        <w:rPr>
          <w:rFonts w:ascii="Times New Roman" w:hAnsi="Times New Roman"/>
          <w:noProof/>
        </w:rPr>
        <w:t>ednjeročne obete so prizadevanja za razdolževanje zasebnega in javnega sektorja v trenutnem obdobju nadaljnje gospodarske rasti ključnega pomena, tudi ker lahko nizka zadolženost pripomore k ublažitvi negativnih šokov za gospodarsko rast, ko se gospodarski</w:t>
      </w:r>
      <w:r>
        <w:rPr>
          <w:rFonts w:ascii="Times New Roman" w:hAnsi="Times New Roman"/>
          <w:noProof/>
        </w:rPr>
        <w:t xml:space="preserve"> pogoji poslabšajo in se tveganja uresničijo. Hkrati so v več državah prisotni znaki morebitnega pregrevanja, ki so povezani predvsem s hitro rastočimi stroški dela na enoto, ki pomenijo manjšo stroškovno konkurenčnost, in dinamično rastjo cen stanovanjski</w:t>
      </w:r>
      <w:r>
        <w:rPr>
          <w:rFonts w:ascii="Times New Roman" w:hAnsi="Times New Roman"/>
          <w:noProof/>
        </w:rPr>
        <w:t>h nepremičnin, ki so že tako bile na razmeroma visokih ravneh. Glede na to, da je bila odpravljena večina neravnotežij na strani tokov in da se resnost neravnotežij na strani stanj postopno zmanjšuje, ter glede na možne znake pregrevanja v več državah se p</w:t>
      </w:r>
      <w:r>
        <w:rPr>
          <w:rFonts w:ascii="Times New Roman" w:hAnsi="Times New Roman"/>
          <w:noProof/>
        </w:rPr>
        <w:t>ri nadzoru v okviru postopka v zvezi z makroekonomskimi neravnotežji vedno več pozornosti namenja spremljanju morebitnih nevzdržnih trendov in preprečevanju nastajanja tveganj, ki bi se lahko uresničila v srednjeročnem obdobju.</w:t>
      </w:r>
    </w:p>
    <w:p w:rsidR="00BB7D09" w:rsidRDefault="00A35831">
      <w:pPr>
        <w:jc w:val="both"/>
        <w:rPr>
          <w:rFonts w:ascii="Times New Roman" w:hAnsi="Times New Roman" w:cs="Times New Roman"/>
          <w:noProof/>
        </w:rPr>
      </w:pPr>
      <w:r>
        <w:rPr>
          <w:rFonts w:ascii="Times New Roman" w:hAnsi="Times New Roman"/>
          <w:b/>
          <w:noProof/>
        </w:rPr>
        <w:t>Za več držav članic, obravna</w:t>
      </w:r>
      <w:r>
        <w:rPr>
          <w:rFonts w:ascii="Times New Roman" w:hAnsi="Times New Roman"/>
          <w:b/>
          <w:noProof/>
        </w:rPr>
        <w:t>vanih v poročilu o mehanizmu opozarjanja, bodo podrobnejše in celovitejše analize vsebovali poglobljeni pregledi</w:t>
      </w:r>
      <w:r>
        <w:rPr>
          <w:rFonts w:ascii="Times New Roman" w:hAnsi="Times New Roman"/>
          <w:noProof/>
        </w:rPr>
        <w:t xml:space="preserve">. Podobno kot v zadnjih letnih ciklih bodo poglobljeni pregledi sestavni del poročil o državah, v katerih službe Komisije analizirajo ekonomske </w:t>
      </w:r>
      <w:r>
        <w:rPr>
          <w:rFonts w:ascii="Times New Roman" w:hAnsi="Times New Roman"/>
          <w:noProof/>
        </w:rPr>
        <w:t>in socialne izzive v državah članicah. Pri pripravi poglobljenih pregledov bo Komisija svojo analizo oprla na obsežen nabor podatkov in relevantnih informacij ter ustrezne okvire za ocenjevanje, ki jih je razvila Komisija v sodelovanju z odbori in delovnim</w:t>
      </w:r>
      <w:r>
        <w:rPr>
          <w:rFonts w:ascii="Times New Roman" w:hAnsi="Times New Roman"/>
          <w:noProof/>
        </w:rPr>
        <w:t>i skupinami Sveta. Analiza v okviru poglobljenih pregledov bo zagotovila podlago za ugotavljanje neravnotežij ali čezmernih neravnotežij v državah članicah in za morebitne posodobitve v priporočilih za posamezne države, izdanih državam članicam</w:t>
      </w:r>
      <w:r>
        <w:rPr>
          <w:rFonts w:ascii="Times New Roman" w:hAnsi="Times New Roman"/>
          <w:noProof/>
          <w:vertAlign w:val="superscript"/>
        </w:rPr>
        <w:footnoteReference w:id="8"/>
      </w:r>
      <w:r>
        <w:rPr>
          <w:rFonts w:ascii="Times New Roman" w:hAnsi="Times New Roman"/>
          <w:noProof/>
        </w:rPr>
        <w:t>. Za države</w:t>
      </w:r>
      <w:r>
        <w:rPr>
          <w:rFonts w:ascii="Times New Roman" w:hAnsi="Times New Roman"/>
          <w:noProof/>
        </w:rPr>
        <w:t>, za katere so bila ugotovljena neravnotežja ali čezmerna neravnotežja, se izvaja in se bo še naprej izvajalo posebno spremljanje, da se zagotovi stalen nadzor politik v okviru postopka v zvezi z makroekonomskimi neravnotežji.</w:t>
      </w:r>
    </w:p>
    <w:p w:rsidR="00BB7D09" w:rsidRDefault="00A35831">
      <w:pPr>
        <w:jc w:val="both"/>
        <w:rPr>
          <w:rFonts w:ascii="Times New Roman" w:hAnsi="Times New Roman" w:cs="Times New Roman"/>
          <w:noProof/>
        </w:rPr>
      </w:pPr>
      <w:r>
        <w:rPr>
          <w:rFonts w:ascii="Times New Roman" w:hAnsi="Times New Roman"/>
          <w:b/>
          <w:noProof/>
        </w:rPr>
        <w:t xml:space="preserve">Poglobljeni pregledi bodo pripravljeni za države članice, v katerih so že bila ugotovljena neravnotežja ali čezmerna neravnotežja. </w:t>
      </w:r>
      <w:r>
        <w:rPr>
          <w:rFonts w:ascii="Times New Roman" w:hAnsi="Times New Roman"/>
          <w:noProof/>
        </w:rPr>
        <w:t xml:space="preserve">V skladu z uveljavljeno nadzorno prakso bodo poglobljeni </w:t>
      </w:r>
      <w:r>
        <w:rPr>
          <w:rFonts w:ascii="Times New Roman" w:hAnsi="Times New Roman"/>
          <w:noProof/>
        </w:rPr>
        <w:lastRenderedPageBreak/>
        <w:t>pregledi pripravljeni, da se oceni, ali se obstoječa neravnotežja zm</w:t>
      </w:r>
      <w:r>
        <w:rPr>
          <w:rFonts w:ascii="Times New Roman" w:hAnsi="Times New Roman"/>
          <w:noProof/>
        </w:rPr>
        <w:t>anjšujejo, ali vztrajajo ali se poslabšujejo, ob tem pa preuči politike za njihovo odpravljanje, ki se izvajajo. Poglobljeni pregledi so zato predvideni za 11 držav članic, za katere so bila na podlagi rezultatov poglobljenih pregledov v letu 2018 ugotovlj</w:t>
      </w:r>
      <w:r>
        <w:rPr>
          <w:rFonts w:ascii="Times New Roman" w:hAnsi="Times New Roman"/>
          <w:noProof/>
        </w:rPr>
        <w:t>ena neravnotežja</w:t>
      </w:r>
      <w:r>
        <w:rPr>
          <w:rFonts w:ascii="Times New Roman" w:hAnsi="Times New Roman"/>
          <w:noProof/>
          <w:vertAlign w:val="superscript"/>
        </w:rPr>
        <w:footnoteReference w:id="9"/>
      </w:r>
      <w:r>
        <w:rPr>
          <w:rFonts w:ascii="Times New Roman" w:hAnsi="Times New Roman"/>
          <w:noProof/>
        </w:rPr>
        <w:t xml:space="preserve">. Te države so </w:t>
      </w:r>
      <w:r>
        <w:rPr>
          <w:rFonts w:ascii="Times New Roman" w:hAnsi="Times New Roman"/>
          <w:b/>
          <w:noProof/>
        </w:rPr>
        <w:t>Bolgarija, Hrvaška, Ciper, Francija, Nemčija, Irska, Italija, Nizozemska, Portugalska, Španija</w:t>
      </w:r>
      <w:r>
        <w:rPr>
          <w:rFonts w:ascii="Times New Roman" w:hAnsi="Times New Roman"/>
          <w:noProof/>
        </w:rPr>
        <w:t xml:space="preserve"> in </w:t>
      </w:r>
      <w:r>
        <w:rPr>
          <w:rFonts w:ascii="Times New Roman" w:hAnsi="Times New Roman"/>
          <w:b/>
          <w:noProof/>
        </w:rPr>
        <w:t>Švedska</w:t>
      </w:r>
      <w:r>
        <w:rPr>
          <w:rFonts w:ascii="Times New Roman" w:hAnsi="Times New Roman"/>
          <w:noProof/>
        </w:rPr>
        <w:t>.</w:t>
      </w:r>
    </w:p>
    <w:p w:rsidR="00BB7D09" w:rsidRDefault="00A35831">
      <w:pPr>
        <w:jc w:val="both"/>
        <w:rPr>
          <w:rFonts w:ascii="Times New Roman" w:hAnsi="Times New Roman" w:cs="Times New Roman"/>
          <w:noProof/>
        </w:rPr>
      </w:pPr>
      <w:r>
        <w:rPr>
          <w:rFonts w:ascii="Times New Roman" w:hAnsi="Times New Roman"/>
          <w:b/>
          <w:noProof/>
        </w:rPr>
        <w:t xml:space="preserve">Poglobljena pregleda bosta pripravljena tudi za Grčijo, za katero se prvič izvaja nadzor v okviru postopka v zvezi z </w:t>
      </w:r>
      <w:r>
        <w:rPr>
          <w:rFonts w:ascii="Times New Roman" w:hAnsi="Times New Roman"/>
          <w:b/>
          <w:noProof/>
        </w:rPr>
        <w:t xml:space="preserve">makroekonomskimi neravnotežji , in za Romunijo. </w:t>
      </w:r>
      <w:r>
        <w:rPr>
          <w:rFonts w:ascii="Times New Roman" w:hAnsi="Times New Roman"/>
          <w:noProof/>
        </w:rPr>
        <w:t xml:space="preserve">Na podlagi analize iz poročila o mehanizmu opozarjanja bo izdan poglobljeni pregled za </w:t>
      </w:r>
      <w:r>
        <w:rPr>
          <w:rFonts w:ascii="Times New Roman" w:hAnsi="Times New Roman"/>
          <w:b/>
          <w:noProof/>
        </w:rPr>
        <w:t>Grčijo</w:t>
      </w:r>
      <w:r>
        <w:rPr>
          <w:rFonts w:ascii="Times New Roman" w:hAnsi="Times New Roman"/>
          <w:noProof/>
        </w:rPr>
        <w:t>, ki je bila prej izključena iz nadzora v okviru postopka v zvezi z makroekonomskimi neravnotežji, ker je bila do a</w:t>
      </w:r>
      <w:r>
        <w:rPr>
          <w:rFonts w:ascii="Times New Roman" w:hAnsi="Times New Roman"/>
          <w:noProof/>
        </w:rPr>
        <w:t>vgusta 2018 vključena v program za makroekonomsko prilagoditev v okviru finančne pomoči</w:t>
      </w:r>
      <w:r>
        <w:rPr>
          <w:rStyle w:val="FootnoteReference"/>
          <w:rFonts w:ascii="Times New Roman" w:hAnsi="Times New Roman"/>
          <w:noProof/>
        </w:rPr>
        <w:footnoteReference w:id="10"/>
      </w:r>
      <w:r>
        <w:rPr>
          <w:rFonts w:ascii="Times New Roman" w:hAnsi="Times New Roman"/>
          <w:noProof/>
        </w:rPr>
        <w:t>. Ocena iz poročila o mehanizmu opozarjanja ne kaže na znatna dodatna tveganja v primerjavi s tistimi, opredeljenimi v zadnjih razpoložljivih poglobljenih pregledih, za</w:t>
      </w:r>
      <w:r>
        <w:rPr>
          <w:rFonts w:ascii="Times New Roman" w:hAnsi="Times New Roman"/>
          <w:noProof/>
        </w:rPr>
        <w:t xml:space="preserve"> vrsto držav članic, za katere se je v zadnjih letih prenehal nadzor v okviru postopka v zvezi z makroekonomskimi neravnotežji, to je za Slovenijo (za katero za leto 2018 niso bila ugotovljena neravnotežja), Finsko (konec nadzora leta 2017), Belgijo in Mad</w:t>
      </w:r>
      <w:r>
        <w:rPr>
          <w:rFonts w:ascii="Times New Roman" w:hAnsi="Times New Roman"/>
          <w:noProof/>
        </w:rPr>
        <w:t>žarsko (konec nadzora leta 2016). Razmere so prav tako niso bistveno spremenile v Avstriji, kjer v oceni iz poglobljenega pregleda za leto 2016 niso bila ugotovljena nobena neravnotežja. Tudi primer Estonije je bil analiziran v poglobljenem pregledu leta 2</w:t>
      </w:r>
      <w:r>
        <w:rPr>
          <w:rFonts w:ascii="Times New Roman" w:hAnsi="Times New Roman"/>
          <w:noProof/>
        </w:rPr>
        <w:t>016, v katerem prav tako niso bila ugotovljena neravnotežja. Kljub znatni rasti stroškov dela na enoto od takrat so bili učinki na zunanji saldo zanemarljivi, argument za novi poglobljeni pregled za Estonijo pa ni dovolj trden, čeprav je potrebno skrbno sp</w:t>
      </w:r>
      <w:r>
        <w:rPr>
          <w:rFonts w:ascii="Times New Roman" w:hAnsi="Times New Roman"/>
          <w:noProof/>
        </w:rPr>
        <w:t>remljanje v prihajajočem poročilu o državi. Po drugi strani</w:t>
      </w:r>
      <w:r>
        <w:rPr>
          <w:noProof/>
        </w:rPr>
        <w:t xml:space="preserve"> je utemeljeno pripraviti poglobljeni pregled za analizo stanja v </w:t>
      </w:r>
      <w:r>
        <w:rPr>
          <w:rFonts w:ascii="Times New Roman" w:hAnsi="Times New Roman"/>
          <w:b/>
          <w:noProof/>
        </w:rPr>
        <w:t>Romuniji</w:t>
      </w:r>
      <w:r>
        <w:rPr>
          <w:noProof/>
        </w:rPr>
        <w:t>, da se ocenita razvoj in možna ponovna pojavitev tveganih trendov, ki so bili opredeljeni že v prejšnjih poglobljenih preg</w:t>
      </w:r>
      <w:r>
        <w:rPr>
          <w:noProof/>
        </w:rPr>
        <w:t>ledih (leta 2015 in 2016), zlasti v zvezi s konkurenčnostjo in zunanjim saldom. Skrbna analiza v poročilih za posamezne države se zdi utemeljena za tveganja, povezana z razvojem na trgih stanovanjskih nepremičnin v vrsti držav članic (Avstrija, Belgija, Če</w:t>
      </w:r>
      <w:r>
        <w:rPr>
          <w:noProof/>
        </w:rPr>
        <w:t>ška, Danska, Madžarska, Luksemburg in Združeno kraljestvo) in razvojem na področju konkurenčnosti (Češka, Estonija, Madžarska, Latvija in Litva)</w:t>
      </w:r>
      <w:r>
        <w:rPr>
          <w:rStyle w:val="FootnoteReference"/>
          <w:rFonts w:ascii="Times New Roman" w:hAnsi="Times New Roman"/>
          <w:noProof/>
        </w:rPr>
        <w:footnoteReference w:id="11"/>
      </w:r>
      <w:r>
        <w:rPr>
          <w:noProof/>
        </w:rPr>
        <w:t>.</w:t>
      </w:r>
      <w:r>
        <w:rPr>
          <w:rFonts w:ascii="Times New Roman" w:hAnsi="Times New Roman"/>
          <w:noProof/>
        </w:rPr>
        <w:t xml:space="preserve"> Na podlagi poročila o mehanizmu opozarjanja je torej treba opraviti poglobljene preglede za skupaj 13 držav č</w:t>
      </w:r>
      <w:r>
        <w:rPr>
          <w:rFonts w:ascii="Times New Roman" w:hAnsi="Times New Roman"/>
          <w:noProof/>
        </w:rPr>
        <w:t>lanic (v prejšnjem ciklu 12).</w:t>
      </w:r>
    </w:p>
    <w:p w:rsidR="00BB7D09" w:rsidRDefault="00BB7D09">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BB7D09">
        <w:tc>
          <w:tcPr>
            <w:tcW w:w="9288" w:type="dxa"/>
            <w:shd w:val="clear" w:color="auto" w:fill="BFBFBF"/>
          </w:tcPr>
          <w:p w:rsidR="00BB7D09" w:rsidRDefault="00A35831">
            <w:pPr>
              <w:spacing w:after="60"/>
              <w:jc w:val="both"/>
              <w:rPr>
                <w:b/>
                <w:noProof/>
              </w:rPr>
            </w:pPr>
            <w:r>
              <w:rPr>
                <w:noProof/>
              </w:rPr>
              <w:lastRenderedPageBreak/>
              <w:br w:type="page"/>
            </w:r>
            <w:r>
              <w:rPr>
                <w:noProof/>
              </w:rPr>
              <w:br w:type="page"/>
            </w:r>
            <w:r>
              <w:rPr>
                <w:noProof/>
              </w:rPr>
              <w:br w:type="page"/>
            </w:r>
            <w:r>
              <w:rPr>
                <w:rFonts w:ascii="Times New Roman" w:hAnsi="Times New Roman"/>
                <w:b/>
                <w:i/>
                <w:noProof/>
              </w:rPr>
              <w:t xml:space="preserve">Okvir 1: </w:t>
            </w:r>
            <w:r>
              <w:rPr>
                <w:b/>
                <w:noProof/>
              </w:rPr>
              <w:t>Spremembe, ki so bile uvedene za pomožne kazalnike v preglednici postopka v zvezi z makroekonomskimi neravnotežji</w:t>
            </w:r>
          </w:p>
          <w:p w:rsidR="00BB7D09" w:rsidRDefault="00A35831">
            <w:pPr>
              <w:spacing w:before="120" w:after="60" w:line="240" w:lineRule="auto"/>
              <w:jc w:val="both"/>
              <w:rPr>
                <w:noProof/>
              </w:rPr>
            </w:pPr>
            <w:r>
              <w:rPr>
                <w:b/>
                <w:noProof/>
              </w:rPr>
              <w:t xml:space="preserve">Preglednica v okviru postopka v zvezi z makroekonomskimi neravnotežji je dopolnjena z nizom </w:t>
            </w:r>
            <w:r>
              <w:rPr>
                <w:b/>
                <w:noProof/>
              </w:rPr>
              <w:t>pomožnih kazalnikov.</w:t>
            </w:r>
            <w:r>
              <w:rPr>
                <w:noProof/>
              </w:rPr>
              <w:t xml:space="preserve"> Kot je določeno v uredbi o postopku v zvezi z makroekonomskimi neravnotežji</w:t>
            </w:r>
            <w:r>
              <w:rPr>
                <w:b/>
                <w:noProof/>
              </w:rPr>
              <w:t xml:space="preserve"> </w:t>
            </w:r>
            <w:r>
              <w:rPr>
                <w:noProof/>
              </w:rPr>
              <w:t>(Uredba (EU) št. 1176/2011), se pri ekonomski razlagi preglednice ne uporabljajo zgolj glavni kazalniki iz preglednice, temveč tudi dodatni relevantni kazalnik</w:t>
            </w:r>
            <w:r>
              <w:rPr>
                <w:noProof/>
              </w:rPr>
              <w:t>i in informacije. Od uvedbe nadzora v okviru postopka v zvezi z makroekonomskimi neravnotežji je ekonomsko razlago glavnih kazalnikov dopolnjeval niz pomožnih kazalnikov. Za razliko od glavnih kazalnikov za pomožne kazalnike ni pragov (glej preglednico 2.1</w:t>
            </w:r>
            <w:r>
              <w:rPr>
                <w:noProof/>
              </w:rPr>
              <w:t>).</w:t>
            </w:r>
          </w:p>
          <w:p w:rsidR="00BB7D09" w:rsidRDefault="00A35831">
            <w:pPr>
              <w:spacing w:before="120" w:after="60" w:line="240" w:lineRule="auto"/>
              <w:jc w:val="both"/>
              <w:rPr>
                <w:noProof/>
              </w:rPr>
            </w:pPr>
            <w:r>
              <w:rPr>
                <w:b/>
                <w:noProof/>
              </w:rPr>
              <w:t xml:space="preserve">V skladu z uredbo o postopku v zvezi z makroekonomskimi neravnotežji mora Komisija redno pregledovati in po potrebi revidirati preglednico postopka v zvezi z makroekonomskimi neravnotežji. </w:t>
            </w:r>
            <w:r>
              <w:rPr>
                <w:noProof/>
              </w:rPr>
              <w:t>Preglednica je bila od začetka postopka v zvezi z makroekonomski</w:t>
            </w:r>
            <w:r>
              <w:rPr>
                <w:noProof/>
              </w:rPr>
              <w:t>mi neravnotežji večkrat revidirana. Leta 2012 je bil dodan glavni kazalnik za finančni sektor (skupne obveznosti finančnega sektorja). Leta 2013 je bila revidirana opredelitev vrste glavnih spremenljivk preglednice (realni efektivni devizni tečaj, dolg zas</w:t>
            </w:r>
            <w:r>
              <w:rPr>
                <w:noProof/>
              </w:rPr>
              <w:t xml:space="preserve">ebnega sektorja in kreditni tok), dodani pa so bili tudi nekateri pomožni kazalniki (vključno z nizom socialnih in zaposlitvenih kazalnikov). Leta 2015 so bili dodani glavni zaposlitveni kazalniki. Na splošno so bile spremembe ciljno usmerjene in omejene. </w:t>
            </w:r>
          </w:p>
          <w:p w:rsidR="00BB7D09" w:rsidRDefault="00A35831">
            <w:pPr>
              <w:spacing w:before="120" w:after="60" w:line="240" w:lineRule="auto"/>
              <w:jc w:val="both"/>
              <w:rPr>
                <w:noProof/>
              </w:rPr>
            </w:pPr>
            <w:r>
              <w:rPr>
                <w:b/>
                <w:noProof/>
              </w:rPr>
              <w:t>Poročilo o mehanizmu opozarjanja uvaja nekatere spremembe pomožnih kazalnikov, da se bodo lahko izkoristila izboljšanja razpoložljivih statističnih podatkov in zagotovila relevantnost kazalnikov.</w:t>
            </w:r>
            <w:r>
              <w:rPr>
                <w:noProof/>
              </w:rPr>
              <w:t xml:space="preserve"> S temi zadnjimi revizijami niza pomožnih kazalnikov se želi</w:t>
            </w:r>
            <w:r>
              <w:rPr>
                <w:noProof/>
              </w:rPr>
              <w:t xml:space="preserve"> izkoristiti izboljšane statistične podatke o plačilnih bilancah in o bančnem sektorju (zlasti o slabih posojilih) ter prispevati k temu, da preglednica upošteva kazalnike, ki se že na splošno veliko uporabljajo pri analizi poročila o mehanizmu opozarjanja</w:t>
            </w:r>
            <w:r>
              <w:rPr>
                <w:noProof/>
              </w:rPr>
              <w:t xml:space="preserve"> in poglobljenih pregledov. Kot v prejšnjih revizijah preglednice je bilo opravljeno ustrezno posvetovanje z Evropskim parlamentom in Svetom (vključno z njegovimi strokovnimi odbori), Evropski odbor za sistemska tveganja pa je bil o njih obveščen. Te reviz</w:t>
            </w:r>
            <w:r>
              <w:rPr>
                <w:noProof/>
              </w:rPr>
              <w:t>ije je mogoče povzeti, kot sledi</w:t>
            </w:r>
            <w:r>
              <w:rPr>
                <w:rStyle w:val="FootnoteReference"/>
                <w:noProof/>
              </w:rPr>
              <w:footnoteReference w:id="12"/>
            </w:r>
            <w:r>
              <w:rPr>
                <w:noProof/>
              </w:rPr>
              <w:t>:</w:t>
            </w:r>
          </w:p>
          <w:p w:rsidR="00BB7D09" w:rsidRDefault="00A35831">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Neto zunanji dolg</w:t>
            </w:r>
            <w:r>
              <w:rPr>
                <w:noProof/>
              </w:rPr>
              <w:t xml:space="preserve"> je nadomeščen z </w:t>
            </w:r>
            <w:r>
              <w:rPr>
                <w:rFonts w:ascii="Times New Roman" w:hAnsi="Times New Roman"/>
                <w:i/>
                <w:noProof/>
              </w:rPr>
              <w:t>neto stanjem mednarodnih naložb razen instrumentov brez tveganja neplačila</w:t>
            </w:r>
            <w:r>
              <w:rPr>
                <w:noProof/>
              </w:rPr>
              <w:t xml:space="preserve"> (</w:t>
            </w:r>
            <w:r>
              <w:rPr>
                <w:i/>
                <w:noProof/>
              </w:rPr>
              <w:t>NIIP excluding non-defaultable instruments – NENDI</w:t>
            </w:r>
            <w:r>
              <w:rPr>
                <w:noProof/>
              </w:rPr>
              <w:t>), da bi se pridobila širša slika pozicij do tujine (tako sre</w:t>
            </w:r>
            <w:r>
              <w:rPr>
                <w:noProof/>
              </w:rPr>
              <w:t>dstev kot obveznosti), ki vključujejo tveganje neplačila.</w:t>
            </w:r>
            <w:r>
              <w:rPr>
                <w:rFonts w:ascii="Times New Roman" w:hAnsi="Times New Roman"/>
                <w:noProof/>
              </w:rPr>
              <w:t xml:space="preserve"> Novi kazalnik uporablja revidirano metodologijo za statistične podatke o plačilnih bilancah (z BPM5 na BPM6), ki omogoča natančnejšo razčlenitev sredstev in obveznosti do tujine. </w:t>
            </w:r>
            <w:r>
              <w:rPr>
                <w:noProof/>
              </w:rPr>
              <w:t>V primerjavi z neto</w:t>
            </w:r>
            <w:r>
              <w:rPr>
                <w:noProof/>
              </w:rPr>
              <w:t xml:space="preserve"> zunanjim dolgom NENDI: (i) izključuje neto dolgove iz naslova neposrednih tujih naložb znotraj podjetij, ki v nekaterih primerih predstavljajo velik delež čezmejnega dolga, ne da bi pri tem predstavljali tveganje za solventnost; (ii) vključuje delnice vza</w:t>
            </w:r>
            <w:r>
              <w:rPr>
                <w:noProof/>
              </w:rPr>
              <w:t>jemnih skladov, ki so včasih zelo velika postavka in so večinoma krite z obveznicami; in (iii) vključuje neto izvedene finančne instrumente. Z drugega vidika je NENDI podskupina neto stanja mednarodnih naložb, ki izključuje sestavine, povezane z lastniškim</w:t>
            </w:r>
            <w:r>
              <w:rPr>
                <w:noProof/>
              </w:rPr>
              <w:t xml:space="preserve"> kapitalom, in sicer lastniški kapital in lastniške deleže iz naslova neposrednih tujih naložb in čezmejne dolgove znotraj podjetja iz naslova neposrednih tujih naložb. </w:t>
            </w:r>
          </w:p>
          <w:p w:rsidR="00BB7D09" w:rsidRDefault="00A35831">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Kazalnik </w:t>
            </w:r>
            <w:r>
              <w:rPr>
                <w:rFonts w:ascii="Times New Roman" w:hAnsi="Times New Roman"/>
                <w:i/>
                <w:noProof/>
              </w:rPr>
              <w:t>nekonsolidiranega</w:t>
            </w:r>
            <w:r>
              <w:rPr>
                <w:rFonts w:ascii="Times New Roman" w:hAnsi="Times New Roman"/>
                <w:noProof/>
              </w:rPr>
              <w:t xml:space="preserve"> </w:t>
            </w:r>
            <w:r>
              <w:rPr>
                <w:rFonts w:ascii="Times New Roman" w:hAnsi="Times New Roman"/>
                <w:i/>
                <w:noProof/>
              </w:rPr>
              <w:t>finančnega vzvoda finančnega sektorja</w:t>
            </w:r>
            <w:r>
              <w:rPr>
                <w:rFonts w:ascii="Times New Roman" w:hAnsi="Times New Roman"/>
                <w:noProof/>
              </w:rPr>
              <w:t xml:space="preserve"> iz nacionalnih računo</w:t>
            </w:r>
            <w:r>
              <w:rPr>
                <w:rFonts w:ascii="Times New Roman" w:hAnsi="Times New Roman"/>
                <w:noProof/>
              </w:rPr>
              <w:t xml:space="preserve">v je nadomestil </w:t>
            </w:r>
            <w:r>
              <w:rPr>
                <w:rFonts w:ascii="Times New Roman" w:hAnsi="Times New Roman"/>
                <w:i/>
                <w:noProof/>
              </w:rPr>
              <w:t>konsolidirani finančni vzvod v bančnem sektorju, domači in tuji subjekti</w:t>
            </w:r>
            <w:r>
              <w:rPr>
                <w:rFonts w:ascii="Times New Roman" w:hAnsi="Times New Roman"/>
                <w:noProof/>
              </w:rPr>
              <w:t xml:space="preserve"> iz konsolidiranih bančnih podatkov ECB, ki omogoča bolj jasno ekonomsko razlago, je primerljiv med državami in dosledno temelji na knjigovodskih vrednostih, tudi kadar</w:t>
            </w:r>
            <w:r>
              <w:rPr>
                <w:rFonts w:ascii="Times New Roman" w:hAnsi="Times New Roman"/>
                <w:noProof/>
              </w:rPr>
              <w:t xml:space="preserve"> zajema samo bančni sektor. </w:t>
            </w:r>
          </w:p>
          <w:p w:rsidR="00BB7D09" w:rsidRDefault="00A35831">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Dodana sta dva kazalnika, ki se redno uporabljata pri analizi v okviru postopka v zvezi z makroekonomskimi neravnotežji: prvi, </w:t>
            </w:r>
            <w:r>
              <w:rPr>
                <w:rFonts w:ascii="Times New Roman" w:hAnsi="Times New Roman"/>
                <w:i/>
                <w:noProof/>
              </w:rPr>
              <w:t>dolg gospodinjstev (konsolidirano)</w:t>
            </w:r>
            <w:r>
              <w:rPr>
                <w:rFonts w:ascii="Times New Roman" w:hAnsi="Times New Roman"/>
                <w:noProof/>
              </w:rPr>
              <w:t>, ki dopolnjuje glavni kazalnik dolga zasebnega sektorja; in druga</w:t>
            </w:r>
            <w:r>
              <w:rPr>
                <w:rFonts w:ascii="Times New Roman" w:hAnsi="Times New Roman"/>
                <w:noProof/>
              </w:rPr>
              <w:t xml:space="preserve">, </w:t>
            </w:r>
            <w:r>
              <w:rPr>
                <w:rFonts w:ascii="Times New Roman" w:hAnsi="Times New Roman"/>
                <w:i/>
                <w:noProof/>
              </w:rPr>
              <w:t>bruto slaba posojila</w:t>
            </w:r>
            <w:r>
              <w:rPr>
                <w:rFonts w:ascii="Times New Roman" w:hAnsi="Times New Roman"/>
                <w:noProof/>
              </w:rPr>
              <w:t xml:space="preserve">, ki zagotavlja dodatne informacije za oceno dolga zasebnega sektorja. Slednja sta se lahko dodala zaradi razpoložljivosti podatkov, primerljivih med državami, v konsolidiranih bančnih statistikah ECB od leta 2015. </w:t>
            </w:r>
          </w:p>
          <w:p w:rsidR="00BB7D09" w:rsidRDefault="00A35831">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 xml:space="preserve">Da bi preglednica </w:t>
            </w:r>
            <w:r>
              <w:rPr>
                <w:rFonts w:ascii="Times New Roman" w:hAnsi="Times New Roman"/>
                <w:noProof/>
              </w:rPr>
              <w:t>ostala relevantna in ustrezno omejena, je skupno število kazalnikov ostalo nespremenjeno pri 28. Dva pomožna kazalnika, ki sta bila prej vključena, sta opuščena: (i) desetletna sprememba nominalnih stroškov dela na enoto (ker se prekriva s podatki o trilet</w:t>
            </w:r>
            <w:r>
              <w:rPr>
                <w:rFonts w:ascii="Times New Roman" w:hAnsi="Times New Roman"/>
                <w:noProof/>
              </w:rPr>
              <w:t xml:space="preserve">ni spremembi stroškov dela na enoto med glavnimi kazalniki in podatki o desetletni spremembi stroškov dela na enoto, ki se nanašajo na euroobmočje, ki so prav tako med pomožnimi kazalniki); (ii) nekonsolidirani dolg zasebnega sektorja (ki ga je nadomestil </w:t>
            </w:r>
            <w:r>
              <w:rPr>
                <w:rFonts w:ascii="Times New Roman" w:hAnsi="Times New Roman"/>
                <w:noProof/>
              </w:rPr>
              <w:t>glavni kazalnik konsolidiranega dolga zasebnega sektorja).</w:t>
            </w:r>
          </w:p>
        </w:tc>
      </w:tr>
    </w:tbl>
    <w:p w:rsidR="00BB7D09" w:rsidRDefault="00BB7D09">
      <w:pPr>
        <w:rPr>
          <w:rFonts w:ascii="Times New Roman Bold" w:eastAsia="MS Gothic" w:hAnsi="Times New Roman Bold" w:cs="Times New Roman" w:hint="eastAsia"/>
          <w:b/>
          <w:bCs/>
          <w:smallCaps/>
          <w:noProof/>
        </w:rPr>
      </w:pPr>
    </w:p>
    <w:p w:rsidR="00BB7D09" w:rsidRDefault="00A35831">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Neravnotežja, tveganja in prilagajanje: najpomembnejša dogajanja po državah</w:t>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Poročilo o mehanizmu opozarjanja temelji na ekonomski razlagi preglednice postopka v zvezi z makroekonomskimi </w:t>
      </w:r>
      <w:r>
        <w:rPr>
          <w:rFonts w:ascii="Times New Roman" w:hAnsi="Times New Roman"/>
          <w:b/>
          <w:noProof/>
        </w:rPr>
        <w:t>neravnotežji, ki je pripomoček za odkrivanje dokazov prima facie o možnih tveganjih in ranljivostih.</w:t>
      </w:r>
      <w:r>
        <w:rPr>
          <w:rFonts w:ascii="Times New Roman" w:hAnsi="Times New Roman"/>
          <w:noProof/>
        </w:rPr>
        <w:t xml:space="preserve"> Preglednica zajema 14 kazalnikov in okvirnih pragov za področja, kot so zunanji položaj, konkurenčnost, zasebni dolg, stanovanjski trgi, bančni sektor in z</w:t>
      </w:r>
      <w:r>
        <w:rPr>
          <w:rFonts w:ascii="Times New Roman" w:hAnsi="Times New Roman"/>
          <w:noProof/>
        </w:rPr>
        <w:t>aposlovanje. Temelji na dejanskih podatkih dobre statistične kakovosti, da bi zagotovili stabilnost in doslednost podatkov med državami. Zato preglednica, uporabljena v tem poročilu, vključuje podatke do leta 2017. V skladu z uredbo o postopku v zvezi z ma</w:t>
      </w:r>
      <w:r>
        <w:rPr>
          <w:rFonts w:ascii="Times New Roman" w:hAnsi="Times New Roman"/>
          <w:noProof/>
        </w:rPr>
        <w:t xml:space="preserve">kroekonomskimi neravnotežji (Uredba (EU) št. 1176/2011) se vrednosti iz preglednice v ocenah, vključenih v poročilo o mehanizmu opozarjanja, ne tolmačijo mehanično, ampak na podlagi ekonomske razlage, ki omogoča globlje razumevanje splošnega gospodarskega </w:t>
      </w:r>
      <w:r>
        <w:rPr>
          <w:rFonts w:ascii="Times New Roman" w:hAnsi="Times New Roman"/>
          <w:noProof/>
        </w:rPr>
        <w:t>ozadja in upoštevanje posebnosti posameznih držav</w:t>
      </w:r>
      <w:r>
        <w:rPr>
          <w:rFonts w:ascii="Times New Roman" w:hAnsi="Times New Roman"/>
          <w:noProof/>
          <w:vertAlign w:val="superscript"/>
        </w:rPr>
        <w:footnoteReference w:id="13"/>
      </w:r>
      <w:r>
        <w:rPr>
          <w:rFonts w:ascii="Times New Roman" w:hAnsi="Times New Roman"/>
          <w:noProof/>
        </w:rPr>
        <w:t xml:space="preserve">. Razlago preglednice dopolnjuje niz pomožnih kazalnikov. V poročilu o mehanizmu opozarjanja so upoštevani tudi novejši podatki in dodatne informacije, spoznanja, ki izhajajo iz okvirov za ocenjevanje, ter </w:t>
      </w:r>
      <w:r>
        <w:rPr>
          <w:rFonts w:ascii="Times New Roman" w:hAnsi="Times New Roman"/>
          <w:noProof/>
        </w:rPr>
        <w:t>ugotovitve v obstoječih poglobljenih pregledih in ustreznih analizah kot tudi napoved služb Komisije iz jeseni 2018.</w:t>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Spremenljivke iz preglednice, ki se nanašajo na leto 2017, kažejo na vztrajna neravnotežja na strani stanj, ki pa se postopno zmanjšujejo. </w:t>
      </w:r>
      <w:r>
        <w:rPr>
          <w:rFonts w:ascii="Times New Roman" w:hAnsi="Times New Roman"/>
          <w:noProof/>
        </w:rPr>
        <w:t>Kar zadeva javni dolg, neto stanje mednarodnih naložb in zasebni dolg, so še naprej pogoste vrednosti nad pragom iz pregleda iz poročila o mehanizmu opozarjanja (graf 1)</w:t>
      </w:r>
      <w:r>
        <w:rPr>
          <w:rFonts w:ascii="Times New Roman" w:hAnsi="Times New Roman"/>
          <w:noProof/>
          <w:vertAlign w:val="superscript"/>
        </w:rPr>
        <w:footnoteReference w:id="14"/>
      </w:r>
      <w:r>
        <w:rPr>
          <w:rFonts w:ascii="Times New Roman" w:hAnsi="Times New Roman"/>
          <w:noProof/>
        </w:rPr>
        <w:t xml:space="preserve">. Število držav članic, pri katerih so ti trije kazalniki presegali prag, je nekoliko </w:t>
      </w:r>
      <w:r>
        <w:rPr>
          <w:rFonts w:ascii="Times New Roman" w:hAnsi="Times New Roman"/>
          <w:noProof/>
        </w:rPr>
        <w:t>pod pogostostjo, zabeleženo v preglednicah iz prejšnjih letih, in potrjuje dolgotrajno naravo teh neravnotežij na strani stanj ter prilagoditev, ki poteka le postopoma. Večina primerov saldov tekočega računa, ki so nad pragom, je v veliki meri povezana z v</w:t>
      </w:r>
      <w:r>
        <w:rPr>
          <w:rFonts w:ascii="Times New Roman" w:hAnsi="Times New Roman"/>
          <w:noProof/>
        </w:rPr>
        <w:t>ztrajno velikimi presežki; povečanje števila vrednosti, ki so nad pragom, leta 2017 je posledica večjega števila velikih primanjkljajev. Okrevanje zaposlovanja, ki je trenutno v teku, se odraža v nadaljnjem zmanjšanju števila držav EU z rezultati, ki prese</w:t>
      </w:r>
      <w:r>
        <w:rPr>
          <w:rFonts w:ascii="Times New Roman" w:hAnsi="Times New Roman"/>
          <w:noProof/>
        </w:rPr>
        <w:t xml:space="preserve">gajo prag stopnje brezposelnosti, še več zmanjšanj pa se nanaša na kazalnike brezposelnosti mladih in dolgotrajne brezposelnosti zaradi njihove običajno večje občutljivosti na razmere na trgu dela. Kljub razširjenemu in trdnemu okrevanju cen stanovanjskih </w:t>
      </w:r>
      <w:r>
        <w:rPr>
          <w:rFonts w:ascii="Times New Roman" w:hAnsi="Times New Roman"/>
          <w:noProof/>
        </w:rPr>
        <w:t>nepremičnin po Evropi preglednica kaže, da je število držav članic, ki so presegle prag za rast cen stanovanjskih nepremičnin, manjše, saj so nekatere države, katerih vrednosti so bile nekoliko nad pragom, medtem padle pod prag. Število držav z rastjo stro</w:t>
      </w:r>
      <w:r>
        <w:rPr>
          <w:rFonts w:ascii="Times New Roman" w:hAnsi="Times New Roman"/>
          <w:noProof/>
        </w:rPr>
        <w:t xml:space="preserve">škov dela na enoto nad pragom je ostalo na splošno stabilno, prag za realni efektivni devizni tečaj pa presega manjše število držav, in to le v primerih, ko je realni devizni tečaj nižji od spodnjega praga. Število držav članic, ki beležijo izgube deležev </w:t>
      </w:r>
      <w:r>
        <w:rPr>
          <w:rFonts w:ascii="Times New Roman" w:hAnsi="Times New Roman"/>
          <w:noProof/>
        </w:rPr>
        <w:t xml:space="preserve">na izvoznih trgih, ki presegajo prag, se je še dodatno zmanjšalo. </w:t>
      </w:r>
    </w:p>
    <w:p w:rsidR="00BB7D09" w:rsidRDefault="00A35831">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Graf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Število držav, pri katerih spremenljivke presegajo prag</w:t>
      </w:r>
    </w:p>
    <w:p w:rsidR="00BB7D09" w:rsidRDefault="00A35831">
      <w:pPr>
        <w:keepNext/>
        <w:spacing w:before="120" w:after="120" w:line="240" w:lineRule="auto"/>
        <w:jc w:val="center"/>
        <w:rPr>
          <w:rFonts w:ascii="Times New Roman" w:eastAsia="MS Mincho" w:hAnsi="Times New Roman" w:cs="Times New Roman"/>
          <w:b/>
          <w:bCs/>
          <w:noProof/>
          <w:sz w:val="24"/>
          <w:szCs w:val="20"/>
        </w:rPr>
      </w:pPr>
      <w:r>
        <w:rPr>
          <w:noProof/>
          <w:lang w:val="fr-BE" w:eastAsia="fr-BE" w:bidi="ar-SA"/>
        </w:rPr>
        <w:drawing>
          <wp:inline distT="0" distB="0" distL="0" distR="0">
            <wp:extent cx="5760720" cy="285409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54095"/>
                    </a:xfrm>
                    <a:prstGeom prst="rect">
                      <a:avLst/>
                    </a:prstGeom>
                    <a:noFill/>
                    <a:ln>
                      <a:noFill/>
                    </a:ln>
                  </pic:spPr>
                </pic:pic>
              </a:graphicData>
            </a:graphic>
          </wp:inline>
        </w:drawing>
      </w:r>
    </w:p>
    <w:p w:rsidR="00BB7D09" w:rsidRDefault="00A35831">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w:t>
      </w:r>
    </w:p>
    <w:p w:rsidR="00BB7D09" w:rsidRDefault="00A35831">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Opomba: </w:t>
      </w:r>
      <w:r>
        <w:rPr>
          <w:rFonts w:ascii="Times New Roman" w:hAnsi="Times New Roman"/>
          <w:noProof/>
          <w:sz w:val="20"/>
        </w:rPr>
        <w:t>število držav, pri katerih spremenljivke presegajo prag, temelji na podatkih</w:t>
      </w:r>
      <w:r>
        <w:rPr>
          <w:rFonts w:ascii="Times New Roman" w:hAnsi="Times New Roman"/>
          <w:noProof/>
          <w:sz w:val="20"/>
        </w:rPr>
        <w:t xml:space="preserve"> iz pregledov, objavljenih z ustreznimi letnimi poročili o mehanizmu opozarjanja. Morebitne naknadne revizije podatkov lahko pomenijo razliko med številom vrednosti, pri katerih je prag presežen, izračunanem z uporabo najnovejših podatkov glede spremenljiv</w:t>
      </w:r>
      <w:r>
        <w:rPr>
          <w:rFonts w:ascii="Times New Roman" w:hAnsi="Times New Roman"/>
          <w:noProof/>
          <w:sz w:val="20"/>
        </w:rPr>
        <w:t>k, in številom, ki je navedeno v zgornjem grafu.</w:t>
      </w:r>
    </w:p>
    <w:p w:rsidR="00BB7D09" w:rsidRDefault="00BB7D09">
      <w:pPr>
        <w:spacing w:after="0" w:line="240" w:lineRule="auto"/>
        <w:jc w:val="both"/>
        <w:rPr>
          <w:rFonts w:ascii="Times New Roman" w:eastAsia="Times New Roman" w:hAnsi="Times New Roman" w:cs="Times New Roman"/>
          <w:noProof/>
          <w:szCs w:val="24"/>
        </w:rPr>
      </w:pPr>
    </w:p>
    <w:p w:rsidR="00BB7D09" w:rsidRDefault="00BB7D09">
      <w:pPr>
        <w:spacing w:after="0" w:line="240" w:lineRule="auto"/>
        <w:jc w:val="both"/>
        <w:rPr>
          <w:rFonts w:ascii="Times New Roman" w:eastAsia="Times New Roman" w:hAnsi="Times New Roman" w:cs="Times New Roman"/>
          <w:noProof/>
          <w:szCs w:val="24"/>
        </w:rPr>
      </w:pP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Večina držav EU še naprej beleži tekoče račune, ki so uravnoteženi ali v presežku, v nekaterih državah pa še vedno obstajajo veliki presežki na tekočem računu, ki se v najboljšem primeru zgolj nekoliko </w:t>
      </w:r>
      <w:r>
        <w:rPr>
          <w:rFonts w:ascii="Times New Roman" w:hAnsi="Times New Roman"/>
          <w:b/>
          <w:noProof/>
        </w:rPr>
        <w:t>zmanjšujejo.</w:t>
      </w:r>
      <w:r>
        <w:rPr>
          <w:rFonts w:ascii="Times New Roman" w:hAnsi="Times New Roman"/>
          <w:noProof/>
        </w:rPr>
        <w:t xml:space="preserve"> Na splošno so bile nedavne spremembe saldov tekočega računa razmeroma omejene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graf 3</w:t>
      </w:r>
      <w:r>
        <w:rPr>
          <w:rFonts w:ascii="Times New Roman" w:eastAsia="Times New Roman" w:hAnsi="Times New Roman" w:cs="Times New Roman"/>
          <w:noProof/>
        </w:rPr>
        <w:fldChar w:fldCharType="end"/>
      </w:r>
      <w:r>
        <w:rPr>
          <w:rFonts w:ascii="Times New Roman" w:hAnsi="Times New Roman"/>
          <w:noProof/>
        </w:rPr>
        <w:t>). Večina velikih in nevzdržnih primanjkljajev na te</w:t>
      </w:r>
      <w:r>
        <w:rPr>
          <w:rFonts w:ascii="Times New Roman" w:hAnsi="Times New Roman"/>
          <w:noProof/>
        </w:rPr>
        <w:t>kočih računih je bila prilagojena že v prvih letih desetletja in se je spremenila v presežke ali uravnotežene položaje, ki so se v zadnjih letih ohranili in pogosto nekoliko izboljšali. Veliki presežki v neto upnicah so na splošno ostali skoraj nespremenje</w:t>
      </w:r>
      <w:r>
        <w:rPr>
          <w:rFonts w:ascii="Times New Roman" w:hAnsi="Times New Roman"/>
          <w:noProof/>
        </w:rPr>
        <w:t>ni ali pa so se celo povečali. Na salde tekočih računov zgolj v omejenem obsegu vplivajo ciklični dejavniki: razlika med dejanskimi in ciklično prilagojenimi tekočimi računi je na splošno majhna in se še zmanjšuje zaradi zmanjševanja proizvodnih vrzeli (gr</w:t>
      </w:r>
      <w:r>
        <w:rPr>
          <w:rFonts w:ascii="Times New Roman" w:hAnsi="Times New Roman"/>
          <w:noProof/>
        </w:rPr>
        <w:t>af 2)</w:t>
      </w:r>
      <w:r>
        <w:rPr>
          <w:rStyle w:val="FootnoteReference"/>
          <w:noProof/>
        </w:rPr>
        <w:footnoteReference w:id="15"/>
      </w:r>
      <w:r>
        <w:rPr>
          <w:rFonts w:ascii="Times New Roman" w:hAnsi="Times New Roman"/>
          <w:noProof/>
        </w:rPr>
        <w:t>.</w:t>
      </w:r>
      <w:r>
        <w:rPr>
          <w:noProof/>
        </w:rPr>
        <w:t xml:space="preserve"> </w:t>
      </w:r>
      <w:r>
        <w:rPr>
          <w:rFonts w:ascii="Times New Roman" w:hAnsi="Times New Roman"/>
          <w:noProof/>
        </w:rPr>
        <w:t>Najnovejši rezultati v zvezi s tekočimi računi v večini držav EU presegajo to, kar je bilo mogoče pričakovati na podlagi gospodarskih temeljev (na primer staranja in relativne višine dohodka na prebivalca)</w:t>
      </w:r>
      <w:r>
        <w:rPr>
          <w:rFonts w:ascii="Times New Roman" w:hAnsi="Times New Roman"/>
          <w:noProof/>
          <w:vertAlign w:val="superscript"/>
        </w:rPr>
        <w:footnoteReference w:id="16"/>
      </w:r>
      <w:r>
        <w:rPr>
          <w:rFonts w:ascii="Times New Roman" w:hAnsi="Times New Roman"/>
          <w:noProof/>
        </w:rPr>
        <w:t>. Vendar so lahko v nekaterih primerih ned</w:t>
      </w:r>
      <w:r>
        <w:rPr>
          <w:rFonts w:ascii="Times New Roman" w:hAnsi="Times New Roman"/>
          <w:noProof/>
        </w:rPr>
        <w:t>avni rezultati še vedno nezadostni za ustrezno hitro zmanjšanje stanja neto zunanjih obveznosti. Na splošno uravnoteženi položaji na tekočih računih v letu 2017 so v manjši meri kot poprej posledica cikličnih pogojev, saj se negativne proizvodne vrzeli v d</w:t>
      </w:r>
      <w:r>
        <w:rPr>
          <w:rFonts w:ascii="Times New Roman" w:hAnsi="Times New Roman"/>
          <w:noProof/>
        </w:rPr>
        <w:t>ržavah članicah zmanjšujejo ali postajajo pozitivne. Zaradi rastočih cen nafte je razvoj energetske bilance skoraj povsod odstopal od skupne bilance, vendar pogosto samo nekoliko (glej preglednico 2.1 v prilogi za podatke o energetski bilanci).</w:t>
      </w:r>
    </w:p>
    <w:p w:rsidR="00BB7D09" w:rsidRDefault="00A3583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Ciper je dr</w:t>
      </w:r>
      <w:r>
        <w:rPr>
          <w:rFonts w:ascii="Times New Roman" w:hAnsi="Times New Roman"/>
          <w:b/>
          <w:noProof/>
        </w:rPr>
        <w:t>žava članica, ki beleži največji primanjkljaj na tekočem računu, ki je prekoračil prag iz postopka v zvezi z makroekonomskimi neravnotežji</w:t>
      </w:r>
      <w:r>
        <w:rPr>
          <w:rFonts w:ascii="Times New Roman" w:hAnsi="Times New Roman"/>
          <w:noProof/>
        </w:rPr>
        <w:t xml:space="preserve"> (na podlagi triletnega povprečja za obdobje do leta 2017). Letni podatki so se v zadnjih letih poslabšali samo za Cip</w:t>
      </w:r>
      <w:r>
        <w:rPr>
          <w:rFonts w:ascii="Times New Roman" w:hAnsi="Times New Roman"/>
          <w:noProof/>
        </w:rPr>
        <w:t xml:space="preserve">er. Rezultati so </w:t>
      </w:r>
      <w:r>
        <w:rPr>
          <w:rFonts w:ascii="Times New Roman" w:hAnsi="Times New Roman"/>
          <w:b/>
          <w:noProof/>
        </w:rPr>
        <w:t>pod tem, kar bi bilo mogoče pričakovati na podlagi temeljev</w:t>
      </w:r>
      <w:r>
        <w:rPr>
          <w:rFonts w:ascii="Times New Roman" w:hAnsi="Times New Roman"/>
          <w:noProof/>
        </w:rPr>
        <w:t xml:space="preserve"> </w:t>
      </w:r>
      <w:r>
        <w:rPr>
          <w:rFonts w:ascii="Times New Roman" w:hAnsi="Times New Roman"/>
          <w:b/>
          <w:noProof/>
        </w:rPr>
        <w:t>in kar je potrebno za izboljšanje neto stanja mednarodnih naložb z ustrezno hitrostjo</w:t>
      </w:r>
      <w:r>
        <w:rPr>
          <w:rFonts w:ascii="Times New Roman" w:hAnsi="Times New Roman"/>
          <w:noProof/>
        </w:rPr>
        <w:t>, poslabšanja tekočega računa v letu 2017 pa ni mogoče pojasniti z učinki cikla. Zunaj euroobm</w:t>
      </w:r>
      <w:r>
        <w:rPr>
          <w:rFonts w:ascii="Times New Roman" w:hAnsi="Times New Roman"/>
          <w:noProof/>
        </w:rPr>
        <w:t>očja je pod pragom iz preglednice postopka v zvezi z makroekonomskimi neravnotežji tekoči račun Združenega kraljestva.</w:t>
      </w:r>
    </w:p>
    <w:p w:rsidR="00BB7D09" w:rsidRDefault="00A3583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Leta 2017 je samo </w:t>
      </w:r>
      <w:r>
        <w:rPr>
          <w:rFonts w:ascii="Times New Roman" w:hAnsi="Times New Roman"/>
          <w:b/>
          <w:noProof/>
        </w:rPr>
        <w:t>pet drugih držav članic zabeležilo primanjkljaje na tekočem računu</w:t>
      </w:r>
      <w:r>
        <w:rPr>
          <w:rFonts w:ascii="Times New Roman" w:hAnsi="Times New Roman"/>
          <w:noProof/>
        </w:rPr>
        <w:t>: Finska, Francija, Grčija, Romunija in Slovaška, pri</w:t>
      </w:r>
      <w:r>
        <w:rPr>
          <w:rFonts w:ascii="Times New Roman" w:hAnsi="Times New Roman"/>
          <w:noProof/>
        </w:rPr>
        <w:t xml:space="preserve"> čemer sta samo zadnji dve zabeležili vrednosti, višje od 1 % BDP. </w:t>
      </w:r>
      <w:r>
        <w:rPr>
          <w:rFonts w:ascii="Times New Roman" w:hAnsi="Times New Roman"/>
          <w:b/>
          <w:noProof/>
        </w:rPr>
        <w:t>Romunija je zabeležila poslabšanje</w:t>
      </w:r>
      <w:r>
        <w:rPr>
          <w:rFonts w:ascii="Times New Roman" w:hAnsi="Times New Roman"/>
          <w:noProof/>
        </w:rPr>
        <w:t xml:space="preserve"> primanjkljaja na tekočem računu, za katerega je v videti, da je pod temelji za leto 2017. </w:t>
      </w:r>
      <w:r>
        <w:rPr>
          <w:rFonts w:ascii="Times New Roman" w:hAnsi="Times New Roman"/>
          <w:b/>
          <w:noProof/>
        </w:rPr>
        <w:t>Grčija izstopa zaradi velikega prispevka negativne proizvodne vr</w:t>
      </w:r>
      <w:r>
        <w:rPr>
          <w:rFonts w:ascii="Times New Roman" w:hAnsi="Times New Roman"/>
          <w:b/>
          <w:noProof/>
        </w:rPr>
        <w:t>zeli</w:t>
      </w:r>
      <w:r>
        <w:rPr>
          <w:rFonts w:ascii="Times New Roman" w:hAnsi="Times New Roman"/>
          <w:noProof/>
        </w:rPr>
        <w:t xml:space="preserve"> za nizek nominalni primanjkljaj tekočega računa; ob upoštevanju cikla se zdi tekoči račun pod ravnjo, potrebno za hitro zmanjšanje neto stanja mednarodnih naložb, in pod standardno ravnjo tekočega računa. </w:t>
      </w:r>
    </w:p>
    <w:p w:rsidR="00BB7D09" w:rsidRDefault="00A35831">
      <w:pPr>
        <w:numPr>
          <w:ilvl w:val="0"/>
          <w:numId w:val="8"/>
        </w:numPr>
        <w:spacing w:before="120" w:after="120"/>
        <w:ind w:left="567" w:hanging="425"/>
        <w:jc w:val="both"/>
        <w:rPr>
          <w:rFonts w:ascii="Times New Roman" w:eastAsia="Times New Roman" w:hAnsi="Times New Roman" w:cs="Times New Roman"/>
          <w:noProof/>
        </w:rPr>
      </w:pPr>
      <w:r>
        <w:rPr>
          <w:noProof/>
        </w:rPr>
        <w:t xml:space="preserve">V </w:t>
      </w:r>
      <w:r>
        <w:rPr>
          <w:rFonts w:ascii="Times New Roman" w:hAnsi="Times New Roman"/>
          <w:b/>
          <w:noProof/>
        </w:rPr>
        <w:t xml:space="preserve">državah z visokimi negativnimi neto stanji </w:t>
      </w:r>
      <w:r>
        <w:rPr>
          <w:rFonts w:ascii="Times New Roman" w:hAnsi="Times New Roman"/>
          <w:b/>
          <w:noProof/>
        </w:rPr>
        <w:t>mednarodnih naložb</w:t>
      </w:r>
      <w:r>
        <w:rPr>
          <w:rFonts w:ascii="Times New Roman" w:hAnsi="Times New Roman"/>
          <w:noProof/>
        </w:rPr>
        <w:t>, kot sta Portugalska in Španija, so tekoči računi presegli raven, ki bi se lahko pričakovala na podlagi temeljev, vendar v primeru Portugalske ne dovolj, da bi zagotovili izboljšanje neto stanja mednarodnih naložb z ustrezno hitrostjo. H</w:t>
      </w:r>
      <w:r>
        <w:rPr>
          <w:rFonts w:ascii="Times New Roman" w:hAnsi="Times New Roman"/>
          <w:noProof/>
        </w:rPr>
        <w:t>rvaška je zabeležila presežek, ki spodbuja zmanjševanje neto stanja mednarodnih naložb z zadovoljivo hitrostjo. Irska je po nedavnih znatnih popravkih navzdol za nazaj v letu 2017 zabeležila velik presežek na tekočem računu, medtem ko je v letu 2016 še bel</w:t>
      </w:r>
      <w:r>
        <w:rPr>
          <w:rFonts w:ascii="Times New Roman" w:hAnsi="Times New Roman"/>
          <w:noProof/>
        </w:rPr>
        <w:t>ežila primanjkljaj. V primeru Irske so na podatke o tekočem računu znatno vplivali čezmejni posli, povezani z dejavnostmi multinacionalnih družb.</w:t>
      </w:r>
    </w:p>
    <w:p w:rsidR="00BB7D09" w:rsidRDefault="00A3583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Prag iz preglednice postopka v zvezi z makroekonomskimi neravnotežji trenutno zaradi presežkov presegajo štiri</w:t>
      </w:r>
      <w:r>
        <w:rPr>
          <w:rFonts w:ascii="Times New Roman" w:hAnsi="Times New Roman"/>
          <w:b/>
          <w:noProof/>
        </w:rPr>
        <w:t xml:space="preserve"> države EU</w:t>
      </w:r>
      <w:r>
        <w:rPr>
          <w:rFonts w:ascii="Times New Roman" w:hAnsi="Times New Roman"/>
          <w:noProof/>
        </w:rPr>
        <w:t>. Vrednosti nad pragom se že več let beležijo na Danskem, v Nemčiji in na Nizozemskem, nedavno pa tudi na Malti. Leta 2017 je nemški presežek padel za 0,5 % BDP, presežek Nizozemske pa se je povečal za 2,5 % BDP. V vseh štirih primerih so ti pres</w:t>
      </w:r>
      <w:r>
        <w:rPr>
          <w:rFonts w:ascii="Times New Roman" w:hAnsi="Times New Roman"/>
          <w:noProof/>
        </w:rPr>
        <w:t xml:space="preserve">ežki precej </w:t>
      </w:r>
      <w:r>
        <w:rPr>
          <w:rFonts w:ascii="Times New Roman" w:hAnsi="Times New Roman"/>
          <w:b/>
          <w:noProof/>
        </w:rPr>
        <w:t>nad tem, kar je mogoče pojasniti s temelji</w:t>
      </w:r>
      <w:r>
        <w:rPr>
          <w:rFonts w:ascii="Times New Roman" w:hAnsi="Times New Roman"/>
          <w:noProof/>
        </w:rPr>
        <w:t>, vedno za vsaj 5 odstotnih točk BDP. Dinamiko presežkov na Nizozemskem in Malti v veliki meri poganjajo čezmejni posli, povezani z dejavnostmi multinacionalnih družb in mednarodno usmerjenih storitveni</w:t>
      </w:r>
      <w:r>
        <w:rPr>
          <w:rFonts w:ascii="Times New Roman" w:hAnsi="Times New Roman"/>
          <w:noProof/>
        </w:rPr>
        <w:t>h sektorjev, ki vplivajo tako na trgovinske bilance kot na salde dohodkov. Več drugih držav že nekaj let beleži presežke na tekočem računu, čeprav so ti pod pragom, kar velja tudi za velike države euroobmočja, zlasti Italijo (za več informacij o presežku n</w:t>
      </w:r>
      <w:r>
        <w:rPr>
          <w:rFonts w:ascii="Times New Roman" w:hAnsi="Times New Roman"/>
          <w:noProof/>
        </w:rPr>
        <w:t>a tekočem računu v euroobmočju glej tudi okvir 2).</w:t>
      </w:r>
    </w:p>
    <w:p w:rsidR="00BB7D09" w:rsidRDefault="00A35831">
      <w:pPr>
        <w:rPr>
          <w:rFonts w:ascii="Times New Roman" w:eastAsia="MS Mincho" w:hAnsi="Times New Roman" w:cs="Times New Roman"/>
          <w:b/>
          <w:bCs/>
          <w:noProof/>
        </w:rPr>
      </w:pPr>
      <w:r>
        <w:rPr>
          <w:noProof/>
        </w:rPr>
        <w:br w:type="page"/>
      </w:r>
    </w:p>
    <w:p w:rsidR="00BB7D09" w:rsidRDefault="00A35831">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Saldi tekočega računa in referenčne vrednosti v letu 2017</w:t>
      </w:r>
    </w:p>
    <w:p w:rsidR="00BB7D09" w:rsidRDefault="00A35831">
      <w:pPr>
        <w:keepNext/>
        <w:spacing w:before="120" w:after="120" w:line="240" w:lineRule="auto"/>
        <w:jc w:val="center"/>
        <w:rPr>
          <w:rFonts w:ascii="Times New Roman" w:eastAsia="MS Mincho" w:hAnsi="Times New Roman" w:cs="Times New Roman"/>
          <w:b/>
          <w:bCs/>
          <w:noProof/>
        </w:rPr>
      </w:pPr>
      <w:r>
        <w:rPr>
          <w:noProof/>
          <w:lang w:val="fr-BE" w:eastAsia="fr-BE" w:bidi="ar-SA"/>
        </w:rPr>
        <w:drawing>
          <wp:inline distT="0" distB="0" distL="0" distR="0">
            <wp:extent cx="5105400" cy="300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rsidR="00BB7D09" w:rsidRDefault="00A35831">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(podatki po BPM6) in izračuni služb Komisije.</w:t>
      </w:r>
    </w:p>
    <w:p w:rsidR="00BB7D09" w:rsidRDefault="00A35831">
      <w:pPr>
        <w:spacing w:after="0" w:line="240" w:lineRule="auto"/>
        <w:jc w:val="both"/>
        <w:rPr>
          <w:noProof/>
          <w:sz w:val="20"/>
        </w:rPr>
      </w:pPr>
      <w:r>
        <w:rPr>
          <w:rFonts w:ascii="Times New Roman" w:hAnsi="Times New Roman"/>
          <w:i/>
          <w:noProof/>
          <w:sz w:val="20"/>
        </w:rPr>
        <w:t>Opomba:</w:t>
      </w:r>
      <w:r>
        <w:rPr>
          <w:rFonts w:ascii="Times New Roman" w:hAnsi="Times New Roman"/>
          <w:noProof/>
          <w:sz w:val="20"/>
        </w:rPr>
        <w:t xml:space="preserve"> države so razvrščene glede na saldo tekočega računa v letu 2017. </w:t>
      </w:r>
      <w:r>
        <w:rPr>
          <w:i/>
          <w:noProof/>
          <w:sz w:val="20"/>
        </w:rPr>
        <w:t>Ciklično prilagojeni saldi tekočega računa</w:t>
      </w:r>
      <w:r>
        <w:rPr>
          <w:noProof/>
          <w:sz w:val="20"/>
        </w:rPr>
        <w:t>: glej opombo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Standarde ravni teko</w:t>
      </w:r>
      <w:r>
        <w:rPr>
          <w:i/>
          <w:noProof/>
          <w:sz w:val="20"/>
        </w:rPr>
        <w:t>čega računa</w:t>
      </w:r>
      <w:r>
        <w:rPr>
          <w:noProof/>
          <w:sz w:val="20"/>
        </w:rPr>
        <w:t>: glej opombo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Referenčna vrednost za </w:t>
      </w:r>
      <w:r>
        <w:rPr>
          <w:i/>
          <w:noProof/>
          <w:sz w:val="20"/>
        </w:rPr>
        <w:t>tekoči račun, potreben za stabilizacijo NIIP</w:t>
      </w:r>
      <w:r>
        <w:rPr>
          <w:noProof/>
          <w:sz w:val="20"/>
        </w:rPr>
        <w:t>, je opredeljena kot tekoči račun, ki je potreben z</w:t>
      </w:r>
      <w:r>
        <w:rPr>
          <w:noProof/>
          <w:sz w:val="20"/>
        </w:rPr>
        <w:t>a stabilizacijo neto stanja mednarodnih naložb na sedanji ravni v obdobju naslednjih 10 let ali, če je sedanje neto stanje mednarodnih naložb pod previdnostnim pragom posamezne države, tekoči račun, ki je potreben, da se v naslednjih 10 letih doseže previd</w:t>
      </w:r>
      <w:r>
        <w:rPr>
          <w:noProof/>
          <w:sz w:val="20"/>
        </w:rPr>
        <w:t>nostni prag neto stanja mednarodnih naložb</w:t>
      </w:r>
      <w:r>
        <w:rPr>
          <w:rFonts w:ascii="Times New Roman" w:hAnsi="Times New Roman"/>
          <w:noProof/>
          <w:sz w:val="20"/>
          <w:vertAlign w:val="superscript"/>
        </w:rPr>
        <w:footnoteReference w:id="17"/>
      </w:r>
      <w:r>
        <w:rPr>
          <w:noProof/>
          <w:sz w:val="20"/>
        </w:rPr>
        <w:t xml:space="preserve">. </w:t>
      </w:r>
    </w:p>
    <w:p w:rsidR="00BB7D09" w:rsidRDefault="00BB7D09">
      <w:pPr>
        <w:spacing w:before="120" w:after="0" w:line="240" w:lineRule="auto"/>
        <w:jc w:val="both"/>
        <w:rPr>
          <w:rFonts w:ascii="Times New Roman" w:eastAsia="Times New Roman" w:hAnsi="Times New Roman" w:cs="Times New Roman"/>
          <w:noProof/>
          <w:szCs w:val="24"/>
        </w:rPr>
      </w:pPr>
    </w:p>
    <w:p w:rsidR="00BB7D09" w:rsidRDefault="00A35831">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gibanje saldov tekočega računa</w:t>
      </w:r>
    </w:p>
    <w:p w:rsidR="00BB7D09" w:rsidRDefault="00A35831">
      <w:pPr>
        <w:keepNext/>
        <w:spacing w:before="120" w:after="120" w:line="240" w:lineRule="auto"/>
        <w:jc w:val="center"/>
        <w:rPr>
          <w:rFonts w:ascii="Times New Roman" w:eastAsia="MS Mincho" w:hAnsi="Times New Roman" w:cs="Times New Roman"/>
          <w:b/>
          <w:bCs/>
          <w:noProof/>
        </w:rPr>
      </w:pPr>
      <w:r>
        <w:rPr>
          <w:noProof/>
          <w:lang w:val="fr-BE" w:eastAsia="fr-BE" w:bidi="ar-SA"/>
        </w:rPr>
        <w:drawing>
          <wp:inline distT="0" distB="0" distL="0" distR="0">
            <wp:extent cx="5257800" cy="304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BB7D09" w:rsidRDefault="00A35831">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in izračuni služb Komisije.</w:t>
      </w:r>
    </w:p>
    <w:p w:rsidR="00BB7D09" w:rsidRDefault="00A35831">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Opomba: države so predstavljene v naraščajočem vrstnem redu glede na spremembo neto stanja mednarodnih</w:t>
      </w:r>
      <w:r>
        <w:rPr>
          <w:rFonts w:ascii="Times New Roman" w:hAnsi="Times New Roman"/>
          <w:noProof/>
          <w:sz w:val="20"/>
        </w:rPr>
        <w:t xml:space="preserve"> naložb kot deleža BDP med letoma 2007 in 2017. Sprememba, ki se lahko pripiše ciklu, se izračuna kot sprememba tekočega računa, ki ni upoštevana v spremembi ciklično prilagojenega salda tekočega računa; glej</w:t>
      </w:r>
      <w:r>
        <w:rPr>
          <w:noProof/>
          <w:sz w:val="20"/>
        </w:rPr>
        <w:t xml:space="preserve"> opombo </w:t>
      </w:r>
      <w:r>
        <w:rPr>
          <w:noProof/>
          <w:sz w:val="20"/>
        </w:rPr>
        <w:fldChar w:fldCharType="begin" w:fldLock="1"/>
      </w:r>
      <w:r>
        <w:rPr>
          <w:noProof/>
          <w:sz w:val="20"/>
        </w:rPr>
        <w:instrText xml:space="preserve"> NOTEREF _Ref526849001 \h  \* MERGEFORMA</w:instrText>
      </w:r>
      <w:r>
        <w:rPr>
          <w:noProof/>
          <w:sz w:val="20"/>
        </w:rPr>
        <w:instrText xml:space="preserve">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Neto stanje mednarodnih naložb se še naprej izboljšuje v skoraj vseh državah članicah, izrazito negativno stanje pa povzroča zaskrbljenost v nekaterih.</w:t>
      </w:r>
      <w:r>
        <w:rPr>
          <w:rFonts w:ascii="Times New Roman" w:hAnsi="Times New Roman"/>
          <w:noProof/>
        </w:rPr>
        <w:t xml:space="preserve"> Neto stanja mednarodnih naložb</w:t>
      </w:r>
      <w:r>
        <w:rPr>
          <w:rFonts w:ascii="Times New Roman" w:hAnsi="Times New Roman"/>
          <w:noProof/>
        </w:rPr>
        <w:t xml:space="preserve"> so v številnih državah članicah EU še vedno zelo negativna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graf 4</w:t>
      </w:r>
      <w:r>
        <w:rPr>
          <w:rFonts w:ascii="Times New Roman" w:eastAsia="Times New Roman" w:hAnsi="Times New Roman" w:cs="Times New Roman"/>
          <w:noProof/>
        </w:rPr>
        <w:fldChar w:fldCharType="end"/>
      </w:r>
      <w:r>
        <w:rPr>
          <w:rFonts w:ascii="Times New Roman" w:hAnsi="Times New Roman"/>
          <w:noProof/>
        </w:rPr>
        <w:t>). V večini držav EU z negativnim neto stanjem mednarodnih naložb stanje zunanjih obveznosti presega neto stanje mednarodnih naložb, ki bi se lahko pričakovalo na podlagi gospodarskih temeljev</w:t>
      </w:r>
      <w:r>
        <w:rPr>
          <w:rFonts w:ascii="Times New Roman" w:hAnsi="Times New Roman"/>
          <w:noProof/>
        </w:rPr>
        <w:t>, medtem ko se zdi, da je le v manjšem številu primerov pod previdnostnim pragom</w:t>
      </w:r>
      <w:r>
        <w:rPr>
          <w:rFonts w:ascii="Times New Roman" w:hAnsi="Times New Roman"/>
          <w:noProof/>
          <w:vertAlign w:val="superscript"/>
        </w:rPr>
        <w:footnoteReference w:id="18"/>
      </w:r>
      <w:r>
        <w:rPr>
          <w:rFonts w:ascii="Times New Roman" w:hAnsi="Times New Roman"/>
          <w:noProof/>
        </w:rPr>
        <w:t>. V nekaterih državah je stanje zunanjih obveznosti veliko tudi, če se izračuna brez upoštevanja manj tveganih finančnih instrumentov (NENDI). Izboljšanje neto stanja mednarod</w:t>
      </w:r>
      <w:r>
        <w:rPr>
          <w:rFonts w:ascii="Times New Roman" w:hAnsi="Times New Roman"/>
          <w:noProof/>
        </w:rPr>
        <w:t>nih naložb se je v letu 2017 nadaljevalo zaradi pogosto pozitivnih rezultatov pri tekočih računih in ponovne nominalne rasti BDP (graf 5). Izboljšanja so bila v glavnem nekoliko manjša kot v prejšnjih letih, učinki vrednotenja pa so pogosto manj prispevali</w:t>
      </w:r>
      <w:r>
        <w:rPr>
          <w:rFonts w:ascii="Times New Roman" w:hAnsi="Times New Roman"/>
          <w:noProof/>
        </w:rPr>
        <w:t xml:space="preserve"> k izboljšanju neto stanja mednarodnih naložb ali pa ga celo nekoliko zmanjšali. Predznak pri spremembah neto stanja mednarodnih naložb in njihov obseg nista bila zelo povezana z začetnim neto stanjem mednarodnih naložb, vendar so neto dolžnice leta 2017 v</w:t>
      </w:r>
      <w:r>
        <w:rPr>
          <w:rFonts w:ascii="Times New Roman" w:hAnsi="Times New Roman"/>
          <w:noProof/>
        </w:rPr>
        <w:t xml:space="preserve"> večini primerov izboljšale ali stabilizirale svoje rezultate.</w:t>
      </w:r>
    </w:p>
    <w:p w:rsidR="00BB7D09" w:rsidRDefault="00A35831">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letu 2017 </w:t>
      </w:r>
      <w:r>
        <w:rPr>
          <w:rFonts w:ascii="Times New Roman" w:hAnsi="Times New Roman"/>
          <w:b/>
          <w:noProof/>
        </w:rPr>
        <w:t>je skoraj polovica držav članic zabeležila neto stanje mednarodnih naložb, ki je bilo slabše od praga iz preglednice</w:t>
      </w:r>
      <w:r>
        <w:rPr>
          <w:rFonts w:ascii="Times New Roman" w:hAnsi="Times New Roman"/>
          <w:noProof/>
        </w:rPr>
        <w:t xml:space="preserve"> v višini –35 % BDP. Nekatere so še naprej presegale –100 % BDP (</w:t>
      </w:r>
      <w:r>
        <w:rPr>
          <w:rFonts w:ascii="Times New Roman" w:hAnsi="Times New Roman"/>
          <w:noProof/>
        </w:rPr>
        <w:t xml:space="preserve">Ciper, Grčija, Irska in Portugalska), Španija pa –80 % BDP; tudi Bolgarija, Hrvaška, Madžarska, Latvija, Litva, Poljska, Romunija in Slovaška še vedno zaostajajo za pragom –35 % BDP. </w:t>
      </w:r>
    </w:p>
    <w:p w:rsidR="00BB7D09" w:rsidRDefault="00A35831">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V državah z </w:t>
      </w:r>
      <w:r>
        <w:rPr>
          <w:rFonts w:ascii="Times New Roman" w:hAnsi="Times New Roman"/>
          <w:b/>
          <w:noProof/>
        </w:rPr>
        <w:t>visoko negativnimi neto stanji mednarodnih naložb</w:t>
      </w:r>
      <w:r>
        <w:rPr>
          <w:rFonts w:ascii="Times New Roman" w:hAnsi="Times New Roman"/>
          <w:noProof/>
        </w:rPr>
        <w:t xml:space="preserve"> so rezulta</w:t>
      </w:r>
      <w:r>
        <w:rPr>
          <w:rFonts w:ascii="Times New Roman" w:hAnsi="Times New Roman"/>
          <w:noProof/>
        </w:rPr>
        <w:t xml:space="preserve">ti na splošno </w:t>
      </w:r>
      <w:r>
        <w:rPr>
          <w:rFonts w:ascii="Times New Roman" w:hAnsi="Times New Roman"/>
          <w:b/>
          <w:noProof/>
        </w:rPr>
        <w:t>pod referenčnimi vrednostmi za posamezne države</w:t>
      </w:r>
      <w:r>
        <w:rPr>
          <w:rFonts w:ascii="Times New Roman" w:hAnsi="Times New Roman"/>
          <w:noProof/>
        </w:rPr>
        <w:t>, tako standardnimi ravnmi neto stanja mednarodnih naložb kot previdnostnimi pragovi za neto stanje mednarodnih naložb. To velja za Irsko, Grčijo, Ciper, Portugalsko in tudi Španijo. Grčija je za</w:t>
      </w:r>
      <w:r>
        <w:rPr>
          <w:rFonts w:ascii="Times New Roman" w:hAnsi="Times New Roman"/>
          <w:noProof/>
        </w:rPr>
        <w:t>beležila manjše poslabšanje neto stanja mednarodnih naložb, na Portugalskem pa je to ostalo nespremenjeno, pri čemer so v obeh primerih učinki vrednotenja v letu 2017 nekoliko zmanjšali neto stanje mednarodnih naložb; vse druge države članice so izboljšale</w:t>
      </w:r>
      <w:r>
        <w:rPr>
          <w:rFonts w:ascii="Times New Roman" w:hAnsi="Times New Roman"/>
          <w:noProof/>
        </w:rPr>
        <w:t xml:space="preserve"> svoje rezultate. Za ta, najbolj negativna neto stanja mednarodnih naložb, je značilen velik </w:t>
      </w:r>
      <w:r>
        <w:rPr>
          <w:rFonts w:ascii="Times New Roman" w:hAnsi="Times New Roman"/>
          <w:b/>
          <w:noProof/>
        </w:rPr>
        <w:t>vpliv neto obveznosti za dolg</w:t>
      </w:r>
      <w:r>
        <w:rPr>
          <w:rStyle w:val="FootnoteReference"/>
          <w:rFonts w:ascii="Times New Roman" w:hAnsi="Times New Roman"/>
          <w:noProof/>
        </w:rPr>
        <w:footnoteReference w:id="19"/>
      </w:r>
      <w:r>
        <w:rPr>
          <w:rFonts w:ascii="Times New Roman" w:hAnsi="Times New Roman"/>
          <w:noProof/>
        </w:rPr>
        <w:t>. Številke za Ciper in Irsko je treba obravnavati tudi ob upoštevanju pomena dejavnosti multinacionalnih družb in mednarodno usmerjen</w:t>
      </w:r>
      <w:r>
        <w:rPr>
          <w:rFonts w:ascii="Times New Roman" w:hAnsi="Times New Roman"/>
          <w:noProof/>
        </w:rPr>
        <w:t xml:space="preserve">ih storitvenih sektorjev za ti dve državi; v Grčiji pa ob upoštevanju velikega zunanjega javnega dolga po zelo ugodnih obrestnih merah. </w:t>
      </w:r>
    </w:p>
    <w:p w:rsidR="00BB7D09" w:rsidRDefault="00A35831">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državah s </w:t>
      </w:r>
      <w:r>
        <w:rPr>
          <w:rFonts w:ascii="Times New Roman" w:hAnsi="Times New Roman"/>
          <w:b/>
          <w:noProof/>
        </w:rPr>
        <w:t>srednje visokimi negativnimi neto stanji mednarodnih naložb</w:t>
      </w:r>
      <w:r>
        <w:rPr>
          <w:rFonts w:ascii="Times New Roman" w:hAnsi="Times New Roman"/>
          <w:noProof/>
        </w:rPr>
        <w:t xml:space="preserve">, ki so še vedno </w:t>
      </w:r>
      <w:r>
        <w:rPr>
          <w:rFonts w:ascii="Times New Roman" w:hAnsi="Times New Roman"/>
          <w:noProof/>
          <w:color w:val="000000"/>
        </w:rPr>
        <w:t>pod pragom –35 % BDP iz pregled</w:t>
      </w:r>
      <w:r>
        <w:rPr>
          <w:rFonts w:ascii="Times New Roman" w:hAnsi="Times New Roman"/>
          <w:noProof/>
          <w:color w:val="000000"/>
        </w:rPr>
        <w:t>nice</w:t>
      </w:r>
      <w:r>
        <w:rPr>
          <w:rFonts w:ascii="Times New Roman" w:hAnsi="Times New Roman"/>
          <w:noProof/>
        </w:rPr>
        <w:t xml:space="preserve">, so neto stanja mednarodnih naložb pogosto pod standardno ravnjo in v nekaterih primerih nekoliko pod previdnostnim pragom. V teh državah </w:t>
      </w:r>
      <w:r>
        <w:rPr>
          <w:rFonts w:ascii="Times New Roman" w:hAnsi="Times New Roman"/>
          <w:noProof/>
          <w:color w:val="000000"/>
        </w:rPr>
        <w:t>ima lastniški kapital velik vpliv na negativno neto stanje mednarodnih naložb, tudi zaradi neto stanj vhodnih nep</w:t>
      </w:r>
      <w:r>
        <w:rPr>
          <w:rFonts w:ascii="Times New Roman" w:hAnsi="Times New Roman"/>
          <w:noProof/>
          <w:color w:val="000000"/>
        </w:rPr>
        <w:t xml:space="preserve">osrednih tujih naložb. </w:t>
      </w:r>
      <w:r>
        <w:rPr>
          <w:rFonts w:ascii="Times New Roman" w:hAnsi="Times New Roman"/>
          <w:noProof/>
        </w:rPr>
        <w:t xml:space="preserve">V državah z </w:t>
      </w:r>
      <w:r>
        <w:rPr>
          <w:rFonts w:ascii="Times New Roman" w:hAnsi="Times New Roman"/>
          <w:b/>
          <w:noProof/>
        </w:rPr>
        <w:t>zmernimi stanji mednarodnih naložb</w:t>
      </w:r>
      <w:r>
        <w:rPr>
          <w:rFonts w:ascii="Times New Roman" w:hAnsi="Times New Roman"/>
          <w:noProof/>
        </w:rPr>
        <w:t xml:space="preserve"> so neto stanja mednarodnih naložb pogosto nad zadevnimi standardnimi ravnmi, razen pri Franciji in Sloveniji, kjer so pod njimi.</w:t>
      </w:r>
    </w:p>
    <w:p w:rsidR="00BB7D09" w:rsidRDefault="00A35831">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večini držav z </w:t>
      </w:r>
      <w:r>
        <w:rPr>
          <w:rFonts w:ascii="Times New Roman" w:hAnsi="Times New Roman"/>
          <w:b/>
          <w:noProof/>
        </w:rPr>
        <w:t>velikimi in pozitivnimi neto stanji medn</w:t>
      </w:r>
      <w:r>
        <w:rPr>
          <w:rFonts w:ascii="Times New Roman" w:hAnsi="Times New Roman"/>
          <w:b/>
          <w:noProof/>
        </w:rPr>
        <w:t xml:space="preserve">arodnih naložb </w:t>
      </w:r>
      <w:r>
        <w:rPr>
          <w:rFonts w:ascii="Times New Roman" w:hAnsi="Times New Roman"/>
          <w:noProof/>
        </w:rPr>
        <w:t>so ta stanja nad standardno ravnjo in so se v letu</w:t>
      </w:r>
      <w:r>
        <w:rPr>
          <w:rFonts w:ascii="Times New Roman" w:hAnsi="Times New Roman"/>
          <w:b/>
          <w:noProof/>
        </w:rPr>
        <w:t xml:space="preserve"> </w:t>
      </w:r>
      <w:r>
        <w:rPr>
          <w:rFonts w:ascii="Times New Roman" w:hAnsi="Times New Roman"/>
          <w:noProof/>
        </w:rPr>
        <w:t>2017 povečevala zaradi velikih presežkov na tekočih računih. Nizozemska in Danska sta zabeležili neznatno zmanjšanje neto stanja mednarodnih naložb zaradi negativnih učinkov vrednotenja. Mal</w:t>
      </w:r>
      <w:r>
        <w:rPr>
          <w:rFonts w:ascii="Times New Roman" w:hAnsi="Times New Roman"/>
          <w:noProof/>
        </w:rPr>
        <w:t>ta in Nizozemska sta leto 2017 zaključili z neto stanjem mednarodnih naložb v višini približno 60 % BDP, Belgija, Danska in Nemčija v višini nad 50 %</w:t>
      </w:r>
      <w:r>
        <w:rPr>
          <w:rStyle w:val="FootnoteReference"/>
          <w:rFonts w:ascii="Times New Roman" w:hAnsi="Times New Roman"/>
          <w:noProof/>
        </w:rPr>
        <w:footnoteReference w:id="20"/>
      </w:r>
      <w:r>
        <w:rPr>
          <w:rFonts w:ascii="Times New Roman" w:hAnsi="Times New Roman"/>
          <w:noProof/>
        </w:rPr>
        <w:t xml:space="preserve">. </w:t>
      </w: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Neto stanja mednarodnih naložb in referenčne vrednosti za leto 2017</w:t>
      </w:r>
    </w:p>
    <w:p w:rsidR="00BB7D09" w:rsidRDefault="00A35831">
      <w:pPr>
        <w:keepNext/>
        <w:spacing w:before="120" w:after="120"/>
        <w:jc w:val="center"/>
        <w:rPr>
          <w:rFonts w:ascii="Times New Roman" w:eastAsia="MS Mincho" w:hAnsi="Times New Roman" w:cs="Times New Roman"/>
          <w:b/>
          <w:bCs/>
          <w:noProof/>
          <w:sz w:val="24"/>
          <w:szCs w:val="20"/>
        </w:rPr>
      </w:pPr>
      <w:r>
        <w:rPr>
          <w:noProof/>
          <w:lang w:val="fr-BE" w:eastAsia="fr-BE" w:bidi="ar-SA"/>
        </w:rPr>
        <w:drawing>
          <wp:inline distT="0" distB="0" distL="0" distR="0">
            <wp:extent cx="5219700" cy="3133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3133725"/>
                    </a:xfrm>
                    <a:prstGeom prst="rect">
                      <a:avLst/>
                    </a:prstGeom>
                    <a:noFill/>
                    <a:ln>
                      <a:noFill/>
                    </a:ln>
                  </pic:spPr>
                </pic:pic>
              </a:graphicData>
            </a:graphic>
          </wp:inline>
        </w:drawing>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(BPM6 in ESR10), izračuni služb Komisije. </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države so predstavljene v padajočem vrstnem redu glede na neto stanje mednarodnih naložb kot delež BDP v letu 2017. NENDI je neto stanje mednarodnih naložb, iz katerega so izključeni instrume</w:t>
      </w:r>
      <w:r>
        <w:rPr>
          <w:rFonts w:ascii="Times New Roman" w:hAnsi="Times New Roman"/>
          <w:noProof/>
          <w:sz w:val="20"/>
        </w:rPr>
        <w:t>nti brez tveganja neplačila; za več informacij glej okvir 1. Za pojma standardna raven neto stanja mednarodnih naložb in previdnostni prag za neto stanje mednarodnih naložb glej opombo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rPr>
        <w:t xml:space="preserve">. </w:t>
      </w:r>
    </w:p>
    <w:p w:rsidR="00BB7D09" w:rsidRDefault="00BB7D09">
      <w:pPr>
        <w:keepNext/>
        <w:spacing w:after="0"/>
        <w:jc w:val="center"/>
        <w:rPr>
          <w:rFonts w:ascii="Times New Roman" w:eastAsia="MS Mincho" w:hAnsi="Times New Roman" w:cs="Times New Roman"/>
          <w:b/>
          <w:bCs/>
          <w:noProof/>
        </w:rPr>
      </w:pP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Dinamika neto stanj mednarodnih naložb</w:t>
      </w:r>
    </w:p>
    <w:p w:rsidR="00BB7D09" w:rsidRDefault="00A35831">
      <w:pPr>
        <w:tabs>
          <w:tab w:val="left" w:pos="720"/>
        </w:tabs>
        <w:spacing w:before="120" w:after="120"/>
        <w:ind w:left="425"/>
        <w:jc w:val="both"/>
        <w:rPr>
          <w:rFonts w:ascii="Times New Roman" w:eastAsia="Times New Roman" w:hAnsi="Times New Roman" w:cs="Times New Roman"/>
          <w:noProof/>
          <w:sz w:val="24"/>
          <w:szCs w:val="20"/>
        </w:rPr>
      </w:pPr>
      <w:r>
        <w:rPr>
          <w:noProof/>
          <w:lang w:val="fr-BE" w:eastAsia="fr-BE" w:bidi="ar-SA"/>
        </w:rPr>
        <w:drawing>
          <wp:inline distT="0" distB="0" distL="0" distR="0">
            <wp:extent cx="4991100" cy="316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162300"/>
                    </a:xfrm>
                    <a:prstGeom prst="rect">
                      <a:avLst/>
                    </a:prstGeom>
                    <a:noFill/>
                    <a:ln>
                      <a:noFill/>
                    </a:ln>
                  </pic:spPr>
                </pic:pic>
              </a:graphicData>
            </a:graphic>
          </wp:inline>
        </w:drawing>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Vir: </w:t>
      </w:r>
      <w:r>
        <w:rPr>
          <w:rFonts w:ascii="Times New Roman" w:hAnsi="Times New Roman"/>
          <w:noProof/>
          <w:sz w:val="20"/>
        </w:rPr>
        <w:t>Eurostat.</w:t>
      </w:r>
    </w:p>
    <w:p w:rsidR="00BB7D09" w:rsidRDefault="00A35831">
      <w:pPr>
        <w:spacing w:after="0"/>
        <w:jc w:val="both"/>
        <w:rPr>
          <w:rFonts w:ascii="Times New Roman" w:eastAsia="Times New Roman" w:hAnsi="Times New Roman" w:cs="Times New Roman"/>
          <w:i/>
          <w:noProof/>
          <w:sz w:val="20"/>
          <w:szCs w:val="20"/>
        </w:rPr>
      </w:pPr>
      <w:r>
        <w:rPr>
          <w:rFonts w:ascii="Times New Roman" w:hAnsi="Times New Roman"/>
          <w:noProof/>
          <w:sz w:val="20"/>
        </w:rPr>
        <w:t xml:space="preserve">Opomba: države so predstavljene v padajočem vrstnem redu glede na spremembo neto stanja mednarodnih naložb kot deleža BDP v </w:t>
      </w:r>
      <w:r>
        <w:rPr>
          <w:rFonts w:ascii="Times New Roman" w:hAnsi="Times New Roman"/>
          <w:noProof/>
          <w:sz w:val="20"/>
        </w:rPr>
        <w:t>letu 2017.</w:t>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Razvoj na področju stroškovne konkurenčnosti manj podpira ponovno uravnoteženje. </w:t>
      </w:r>
      <w:r>
        <w:rPr>
          <w:rFonts w:ascii="Times New Roman" w:hAnsi="Times New Roman"/>
          <w:noProof/>
        </w:rPr>
        <w:t xml:space="preserve">Za vzorce stroškov dela na enoto po krizi je bila značilna razmeroma šibka dinamika v državah, ki so se po odpravi velikih primanjkljajev na tekočem računu soočale </w:t>
      </w:r>
      <w:r>
        <w:rPr>
          <w:rFonts w:ascii="Times New Roman" w:hAnsi="Times New Roman"/>
          <w:noProof/>
        </w:rPr>
        <w:t>z zmanjšanjem povpraševanja. Rast stroškov dela na enoto se je ponovno začela ob gospodarskem okrevanju, vendar je ostala razmeroma šibka kljub vedno manjši ponudbi delovne sile na trgih dela in visokem povpraševanju po njej. Opazen pospešek pri rasti stro</w:t>
      </w:r>
      <w:r>
        <w:rPr>
          <w:rFonts w:ascii="Times New Roman" w:hAnsi="Times New Roman"/>
          <w:noProof/>
        </w:rPr>
        <w:t xml:space="preserve">škov dela na enoto je bil zabeležen v več državah srednje in vzhodne Evrope: od leta 2012 v Bolgariji in Estoniji, 2013 v Latviji in Litvi ter 2016 na Češkem, na Madžarskem in v Romuniji. V večini držav članic se je rast stroškov dela na enoto v letu 2017 </w:t>
      </w:r>
      <w:r>
        <w:rPr>
          <w:rFonts w:ascii="Times New Roman" w:hAnsi="Times New Roman"/>
          <w:noProof/>
        </w:rPr>
        <w:t>dodatno pospešila zaradi utrditve gospodarske rasti, ki pa je ni spremljalo večje povečanje stroškov dela v velikih neto upnicah. Zato se je ohranila težnja, ki se je začela leta 2016, k vzorcu razvoja stroškovne konkurenčnosti, ki v manjši meri podpira po</w:t>
      </w:r>
      <w:r>
        <w:rPr>
          <w:rFonts w:ascii="Times New Roman" w:hAnsi="Times New Roman"/>
          <w:noProof/>
        </w:rPr>
        <w:t xml:space="preserve">novno uravnoteženje (glej tudi okvir 2). </w:t>
      </w:r>
    </w:p>
    <w:p w:rsidR="00BB7D09" w:rsidRDefault="00A35831">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Rast stroškov dela na enoto se je v večini držav članic pospešila</w:t>
      </w:r>
      <w:r>
        <w:rPr>
          <w:rFonts w:ascii="Times New Roman" w:hAnsi="Times New Roman"/>
          <w:noProof/>
        </w:rPr>
        <w:t xml:space="preserve">. Rast stroškov dela na enoto v zadnjih letih je bila zlasti izrazita v Bolgariji, Estoniji, Latviji in Litvi (graf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za vs</w:t>
      </w:r>
      <w:r>
        <w:rPr>
          <w:rFonts w:ascii="Times New Roman" w:hAnsi="Times New Roman"/>
          <w:noProof/>
        </w:rPr>
        <w:t>e te države je bil prekoračen prag iz preglednice. V letu 2017 je pospešitev rasti stroškov dela na enoto iz prejšnjih let jasno izstopala v Bolgariji in Romuniji, v manjši meri pa tudi na Češkem, v Luksemburgu in na Slovaškem. Ocene za leto 2018 kažejo na</w:t>
      </w:r>
      <w:r>
        <w:rPr>
          <w:rFonts w:ascii="Times New Roman" w:hAnsi="Times New Roman"/>
          <w:noProof/>
        </w:rPr>
        <w:t xml:space="preserve"> scenarije nadaljevanja dinamike rasti stroškov dela na enoto v številnih od teh držav, pri čemer naj bi se rast opazneje pospešila na Češkem, Madžarskem, v Latviji, Litvi in Romuniji, v Bolgariji pa </w:t>
      </w:r>
      <w:r>
        <w:rPr>
          <w:noProof/>
        </w:rPr>
        <w:t>naj bi se nekoliko umirila, vendar še vedno ostala visok</w:t>
      </w:r>
      <w:r>
        <w:rPr>
          <w:noProof/>
        </w:rPr>
        <w:t>a.</w:t>
      </w:r>
    </w:p>
    <w:p w:rsidR="00BB7D09" w:rsidRDefault="00A35831">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Vzorec rasti stroškov dela na enoto med državami na splošno odraža razlike med trgi dela glede ponudbe delovne sile in povpraševanja po njej.</w:t>
      </w:r>
      <w:r>
        <w:rPr>
          <w:rFonts w:ascii="Times New Roman" w:hAnsi="Times New Roman"/>
          <w:noProof/>
        </w:rPr>
        <w:t xml:space="preserve"> Države, v katerih stroški dela na enoto rastejo najhitreje, so na splošno tiste, ki beležijo nižje stopnje brez</w:t>
      </w:r>
      <w:r>
        <w:rPr>
          <w:rFonts w:ascii="Times New Roman" w:hAnsi="Times New Roman"/>
          <w:noProof/>
        </w:rPr>
        <w:t>poselnosti (graf 8). Za države, ki so v preteklih letih beležile hitro rast BDP, zlasti baltske države in vrsto drugih vzhodnoevropskih držav, je značilna nizka ali zmerna brezposelnost ter visoka stopnja rasti stroškov dela na enoto, medtem ko je dinamika</w:t>
      </w:r>
      <w:r>
        <w:rPr>
          <w:rFonts w:ascii="Times New Roman" w:hAnsi="Times New Roman"/>
          <w:noProof/>
        </w:rPr>
        <w:t xml:space="preserve"> stroškov dela na splošno bolj umirjena v državah z višjo stopnjo brezposelnosti. Tako razmerje se pričakuje na podlagi dinamike Phillipsove krivulje, vendar to velja zgolj deloma, saj nekatere države kažejo znatno stopnjo rasti stroškov dela na enoto, ki </w:t>
      </w:r>
      <w:r>
        <w:rPr>
          <w:rFonts w:ascii="Times New Roman" w:hAnsi="Times New Roman"/>
          <w:noProof/>
        </w:rPr>
        <w:t xml:space="preserve">presega to, kar bi se pričakovalo glede na razmerje, zlasti baltske države, Bolgarija, Češka, Madžarska in Romunija. Hkrati je rast stroškov dela na enoto v drugih državah (npr. Hrvaška, Finska in Irska) nižja od pričakovane. V prvi skupini držav je lahko </w:t>
      </w:r>
      <w:r>
        <w:rPr>
          <w:rFonts w:ascii="Times New Roman" w:hAnsi="Times New Roman"/>
          <w:noProof/>
        </w:rPr>
        <w:t>močna rast plač povezana tudi s pomanjkanjem delovne sile, povezanim z izseljevanjem, pomanjkanjem znanj in spretnosti ter neskladij med ponudbo znanj in spretnosti ter povpraševanjem po njih</w:t>
      </w:r>
      <w:r>
        <w:rPr>
          <w:rStyle w:val="FootnoteReference"/>
          <w:rFonts w:ascii="Times New Roman" w:hAnsi="Times New Roman"/>
          <w:noProof/>
        </w:rPr>
        <w:footnoteReference w:id="21"/>
      </w:r>
      <w:r>
        <w:rPr>
          <w:rFonts w:ascii="Times New Roman" w:hAnsi="Times New Roman"/>
          <w:noProof/>
        </w:rPr>
        <w:t>.</w:t>
      </w:r>
    </w:p>
    <w:p w:rsidR="00BB7D09" w:rsidRDefault="00A35831">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Nominalna rast plač je največ prispevala k rasti stroškov dela</w:t>
      </w:r>
      <w:r>
        <w:rPr>
          <w:rFonts w:ascii="Times New Roman" w:hAnsi="Times New Roman"/>
          <w:b/>
          <w:noProof/>
        </w:rPr>
        <w:t xml:space="preserve"> na enoto, ki je bila zabeležena v letu 2017</w:t>
      </w:r>
      <w:r>
        <w:rPr>
          <w:rFonts w:ascii="Times New Roman" w:hAnsi="Times New Roman"/>
          <w:noProof/>
        </w:rPr>
        <w:t>. V večini držav članic je k rasti stroškov dela na enoto največ prispevala nominalna rast plač, produktivnost dela pa je imela sorazmerno manjšo vlogo. Produktivnost dela je na splošno prispevala k upočasnitvi r</w:t>
      </w:r>
      <w:r>
        <w:rPr>
          <w:rFonts w:ascii="Times New Roman" w:hAnsi="Times New Roman"/>
          <w:noProof/>
        </w:rPr>
        <w:t xml:space="preserve">asti stroškov dela na enoto, tako zaradi poglabljanja kapitala kot rasti skupne faktorske produktivnosti, medtem ko je zmanjšanje števila opravljenih ur pogosto pomenilo manjšo produktivnost (graf 7). </w:t>
      </w:r>
    </w:p>
    <w:p w:rsidR="00BB7D09" w:rsidRDefault="00A35831">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Vzorci rasti stroškov dela na enoto so vedno manj povezani s potrebami po zunanjem uravnoteženju. </w:t>
      </w:r>
      <w:r>
        <w:rPr>
          <w:rFonts w:ascii="Times New Roman" w:hAnsi="Times New Roman"/>
          <w:noProof/>
        </w:rPr>
        <w:t>Medtem ko je bila v kriznem obdobju brezposelnost višja v neto dolžnicah, v katerih je prišlo do preobrata na tekočem računu in posledičnega upada povpraševan</w:t>
      </w:r>
      <w:r>
        <w:rPr>
          <w:rFonts w:ascii="Times New Roman" w:hAnsi="Times New Roman"/>
          <w:noProof/>
        </w:rPr>
        <w:t>ja, se stopnje brezposelnosti od začetka gospodarskega okrevanja zbližujejo, kar pomeni, da so vzorci rasti stroškov dela na enoto, ki na splošno odražajo različna stanja v zvezi z nezadostno ponudbo delovne sile na trgih dela, vedno manj povezani s potreb</w:t>
      </w:r>
      <w:r>
        <w:rPr>
          <w:rFonts w:ascii="Times New Roman" w:hAnsi="Times New Roman"/>
          <w:noProof/>
        </w:rPr>
        <w:t>ami po zunanjem uravnoteženju. V letu 2017 in kot potrditev že ugotovljenega vzorca v letu 2016 so nekatere neto dolžnice po letih zmanjšanja ali stagnacije ponovno zabeležile rast stroškov dela na enoto, pri čemer je bila pospešitev rasti opaznejša na Cip</w:t>
      </w:r>
      <w:r>
        <w:rPr>
          <w:rFonts w:ascii="Times New Roman" w:hAnsi="Times New Roman"/>
          <w:noProof/>
        </w:rPr>
        <w:t xml:space="preserve">ru, v Grčiji in na Portugalskem. Hkrati pa z delovno silo še vedno podhranjeni trgi dela v neto upnicah še niso privedli do znatne pospešitve rasti plač. </w:t>
      </w:r>
    </w:p>
    <w:p w:rsidR="00BB7D09" w:rsidRDefault="00BB7D09">
      <w:pPr>
        <w:spacing w:before="120" w:after="120"/>
        <w:jc w:val="both"/>
        <w:rPr>
          <w:rFonts w:ascii="Times New Roman" w:eastAsia="Times New Roman" w:hAnsi="Times New Roman" w:cs="Times New Roman"/>
          <w:b/>
          <w:noProof/>
          <w:sz w:val="24"/>
          <w:szCs w:val="24"/>
        </w:rPr>
      </w:pPr>
    </w:p>
    <w:p w:rsidR="00BB7D09" w:rsidRDefault="00A35831">
      <w:pPr>
        <w:keepNext/>
        <w:spacing w:after="120"/>
        <w:jc w:val="center"/>
        <w:rPr>
          <w:rFonts w:ascii="Times New Roman" w:eastAsia="MS Mincho" w:hAnsi="Times New Roman" w:cs="Times New Roman"/>
          <w:b/>
          <w:bCs/>
          <w:noProof/>
        </w:rPr>
      </w:pPr>
      <w:r>
        <w:rPr>
          <w:rFonts w:ascii="Times New Roman" w:hAnsi="Times New Roman"/>
          <w:b/>
          <w:noProof/>
        </w:rPr>
        <w:t>Graf 6: Rast stroškov dela na enoto v zadnjih letih</w:t>
      </w:r>
    </w:p>
    <w:p w:rsidR="00BB7D09" w:rsidRDefault="00A35831">
      <w:pPr>
        <w:spacing w:after="120"/>
        <w:jc w:val="center"/>
        <w:rPr>
          <w:rFonts w:ascii="Times New Roman" w:eastAsia="Times New Roman" w:hAnsi="Times New Roman" w:cs="Times New Roman"/>
          <w:b/>
          <w:noProof/>
          <w:sz w:val="24"/>
          <w:szCs w:val="24"/>
        </w:rPr>
      </w:pPr>
      <w:r>
        <w:rPr>
          <w:noProof/>
          <w:lang w:val="fr-BE" w:eastAsia="fr-BE" w:bidi="ar-SA"/>
        </w:rPr>
        <w:drawing>
          <wp:inline distT="0" distB="0" distL="0" distR="0">
            <wp:extent cx="5229225" cy="3000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225" cy="3000375"/>
                    </a:xfrm>
                    <a:prstGeom prst="rect">
                      <a:avLst/>
                    </a:prstGeom>
                    <a:noFill/>
                    <a:ln>
                      <a:noFill/>
                    </a:ln>
                  </pic:spPr>
                </pic:pic>
              </a:graphicData>
            </a:graphic>
          </wp:inline>
        </w:drawing>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AMECO; podatki za leto 2018 so vzeti iz g</w:t>
      </w:r>
      <w:r>
        <w:rPr>
          <w:rFonts w:ascii="Times New Roman" w:hAnsi="Times New Roman"/>
          <w:noProof/>
          <w:sz w:val="20"/>
        </w:rPr>
        <w:t xml:space="preserve">ospodarske napovedi Evropske komisije iz jeseni 2018. </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naraščajočem vrstnem redu glede na rast stroškov dela na enoto v letu 2017.</w:t>
      </w:r>
    </w:p>
    <w:p w:rsidR="00BB7D09" w:rsidRDefault="00BB7D09">
      <w:pPr>
        <w:spacing w:after="0"/>
        <w:jc w:val="center"/>
        <w:rPr>
          <w:rFonts w:ascii="Times New Roman" w:eastAsia="Times New Roman" w:hAnsi="Times New Roman" w:cs="Times New Roman"/>
          <w:b/>
          <w:noProof/>
        </w:rPr>
      </w:pPr>
    </w:p>
    <w:p w:rsidR="00BB7D09" w:rsidRDefault="00A35831">
      <w:pPr>
        <w:keepNext/>
        <w:spacing w:after="120"/>
        <w:jc w:val="center"/>
        <w:rPr>
          <w:rFonts w:ascii="Times New Roman" w:eastAsia="MS Mincho" w:hAnsi="Times New Roman" w:cs="Times New Roman"/>
          <w:b/>
          <w:bCs/>
          <w:noProof/>
          <w:sz w:val="24"/>
          <w:szCs w:val="20"/>
        </w:rPr>
      </w:pPr>
      <w:r>
        <w:rPr>
          <w:rFonts w:ascii="Times New Roman" w:hAnsi="Times New Roman"/>
          <w:b/>
          <w:noProof/>
        </w:rPr>
        <w:t>Graf 7: Rast stroškov dela na enoto in njeni gonilni dejavniki, 2017</w:t>
      </w:r>
    </w:p>
    <w:p w:rsidR="00BB7D09" w:rsidRDefault="00A35831">
      <w:pPr>
        <w:spacing w:after="120"/>
        <w:jc w:val="center"/>
        <w:rPr>
          <w:rFonts w:ascii="Times New Roman" w:eastAsia="Times New Roman" w:hAnsi="Times New Roman" w:cs="Times New Roman"/>
          <w:b/>
          <w:i/>
          <w:noProof/>
          <w:sz w:val="16"/>
          <w:szCs w:val="20"/>
        </w:rPr>
      </w:pPr>
      <w:r>
        <w:rPr>
          <w:noProof/>
          <w:lang w:val="fr-BE" w:eastAsia="fr-BE" w:bidi="ar-SA"/>
        </w:rPr>
        <w:drawing>
          <wp:inline distT="0" distB="0" distL="0" distR="0">
            <wp:extent cx="5610225" cy="3028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AMECO in izrač</w:t>
      </w:r>
      <w:r>
        <w:rPr>
          <w:rFonts w:ascii="Times New Roman" w:hAnsi="Times New Roman"/>
          <w:noProof/>
          <w:sz w:val="20"/>
        </w:rPr>
        <w:t>uni služb Komisije.</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naraščajočem vrstnem redu glede na rast stroškov dela na enoto v letu 2017. Razčlenitev temelji na standardni razčlenitvi rasti stroškov dela na enoto na nominalno urno postavko in produktivnost dela, ki se deli naprej na prispev</w:t>
      </w:r>
      <w:r>
        <w:rPr>
          <w:rFonts w:ascii="Times New Roman" w:hAnsi="Times New Roman"/>
          <w:noProof/>
          <w:sz w:val="20"/>
        </w:rPr>
        <w:t xml:space="preserve">ek opravljenih delovnih ur, skupno faktorsko produktivnost in akumulacijo kapitala z uporabo standardnega računovodskega okvira rasti. </w:t>
      </w:r>
    </w:p>
    <w:p w:rsidR="00BB7D09" w:rsidRDefault="00BB7D09">
      <w:pPr>
        <w:spacing w:before="120" w:after="120"/>
        <w:jc w:val="both"/>
        <w:rPr>
          <w:rFonts w:ascii="Times New Roman" w:eastAsia="Times New Roman" w:hAnsi="Times New Roman" w:cs="Times New Roman"/>
          <w:noProof/>
          <w:sz w:val="20"/>
          <w:szCs w:val="20"/>
        </w:rPr>
      </w:pP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Graf 8: Rast stroškov dela na enoto in stopnja brezposelnosti</w:t>
      </w:r>
    </w:p>
    <w:p w:rsidR="00BB7D09" w:rsidRDefault="00A35831">
      <w:pPr>
        <w:spacing w:before="120" w:after="120"/>
        <w:jc w:val="center"/>
        <w:rPr>
          <w:rFonts w:ascii="Times New Roman" w:eastAsia="Times New Roman" w:hAnsi="Times New Roman" w:cs="Times New Roman"/>
          <w:b/>
          <w:noProof/>
          <w:sz w:val="24"/>
          <w:szCs w:val="24"/>
        </w:rPr>
      </w:pPr>
      <w:r>
        <w:rPr>
          <w:noProof/>
          <w:lang w:val="fr-BE" w:eastAsia="fr-BE" w:bidi="ar-SA"/>
        </w:rPr>
        <w:drawing>
          <wp:inline distT="0" distB="0" distL="0" distR="0">
            <wp:extent cx="3048000"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rsidR="00BB7D09" w:rsidRDefault="00A35831">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Vir: </w:t>
      </w:r>
      <w:r>
        <w:rPr>
          <w:rFonts w:ascii="Times New Roman" w:hAnsi="Times New Roman"/>
          <w:noProof/>
          <w:sz w:val="20"/>
        </w:rPr>
        <w:t>AMECO.</w:t>
      </w:r>
    </w:p>
    <w:p w:rsidR="00BB7D09" w:rsidRDefault="00BB7D09">
      <w:pPr>
        <w:spacing w:before="120" w:after="120"/>
        <w:jc w:val="center"/>
        <w:rPr>
          <w:rFonts w:ascii="Times New Roman" w:eastAsia="Times New Roman" w:hAnsi="Times New Roman" w:cs="Times New Roman"/>
          <w:b/>
          <w:noProof/>
          <w:sz w:val="24"/>
          <w:szCs w:val="24"/>
        </w:rPr>
      </w:pP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Razvoj cenovne konkurenčnosti, izmerjen na podlagi realnih efektivnih deviznih tečajev (REER), samo delno odraža spremembe stroškovne konkurenčnosti, ki temeljijo na stroških dela na enoto. </w:t>
      </w:r>
      <w:r>
        <w:rPr>
          <w:rFonts w:ascii="Times New Roman" w:hAnsi="Times New Roman"/>
          <w:noProof/>
        </w:rPr>
        <w:t>Razlike v rasti stroškov dela na enoto so povzročile povečanje ozi</w:t>
      </w:r>
      <w:r>
        <w:rPr>
          <w:rFonts w:ascii="Times New Roman" w:hAnsi="Times New Roman"/>
          <w:noProof/>
        </w:rPr>
        <w:t>roma zmanjšanje stroškovne konkurenčnosti za države članice EU, kadar se je merila z realnimi efektivnimi deviznimi tečaji na podlagi stroškov dela na enoto, pri katerih se upoštevajo tako spremembe rasti stroškov dela na enoto v primerjavi s konkurenti na</w:t>
      </w:r>
      <w:r>
        <w:rPr>
          <w:rFonts w:ascii="Times New Roman" w:hAnsi="Times New Roman"/>
          <w:noProof/>
        </w:rPr>
        <w:t xml:space="preserve"> domačem trgu in na trgih tretjih držav kot tudi razvoj nominalnih deviznih tečajev (graf 9). </w:t>
      </w:r>
    </w:p>
    <w:p w:rsidR="00BB7D09" w:rsidRDefault="00A35831">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V zadnjih letih je </w:t>
      </w:r>
      <w:r>
        <w:rPr>
          <w:rFonts w:ascii="Times New Roman" w:hAnsi="Times New Roman"/>
          <w:b/>
          <w:noProof/>
        </w:rPr>
        <w:t>večina držav članic euroobmočja zabeležila zmanjšanje realnega efektivnega deviznega tečaja na podlagi stroškov dela na enoto</w:t>
      </w:r>
      <w:r>
        <w:rPr>
          <w:rFonts w:ascii="Times New Roman" w:hAnsi="Times New Roman"/>
          <w:noProof/>
        </w:rPr>
        <w:t xml:space="preserve">, kar pomeni, da </w:t>
      </w:r>
      <w:r>
        <w:rPr>
          <w:rFonts w:ascii="Times New Roman" w:hAnsi="Times New Roman"/>
          <w:noProof/>
        </w:rPr>
        <w:t xml:space="preserve">je bilo primerljivo zmanjšanje stroškov dela zadostno, da je izravnalo efektivno povišanje vrednosti eura od leta 2016. </w:t>
      </w:r>
      <w:r>
        <w:rPr>
          <w:rFonts w:ascii="Times New Roman" w:hAnsi="Times New Roman"/>
          <w:b/>
          <w:noProof/>
        </w:rPr>
        <w:t>Nekaj držav članic euroobmočja</w:t>
      </w:r>
      <w:r>
        <w:rPr>
          <w:rFonts w:ascii="Times New Roman" w:hAnsi="Times New Roman"/>
          <w:noProof/>
        </w:rPr>
        <w:t xml:space="preserve">, </w:t>
      </w:r>
      <w:r>
        <w:rPr>
          <w:rFonts w:ascii="Times New Roman" w:hAnsi="Times New Roman"/>
          <w:b/>
          <w:noProof/>
        </w:rPr>
        <w:t>zlasti</w:t>
      </w:r>
      <w:r>
        <w:rPr>
          <w:rFonts w:ascii="Times New Roman" w:hAnsi="Times New Roman"/>
          <w:noProof/>
        </w:rPr>
        <w:t xml:space="preserve"> </w:t>
      </w:r>
      <w:r>
        <w:rPr>
          <w:rFonts w:ascii="Times New Roman" w:hAnsi="Times New Roman"/>
          <w:b/>
          <w:noProof/>
        </w:rPr>
        <w:t>baltskih, pa je namesto tega beležilo izgube stroškovne konkurenčnosti</w:t>
      </w:r>
      <w:r>
        <w:rPr>
          <w:rFonts w:ascii="Times New Roman" w:hAnsi="Times New Roman"/>
          <w:noProof/>
        </w:rPr>
        <w:t>, merjene z realnim efektiv</w:t>
      </w:r>
      <w:r>
        <w:rPr>
          <w:rFonts w:ascii="Times New Roman" w:hAnsi="Times New Roman"/>
          <w:noProof/>
        </w:rPr>
        <w:t>nim deviznim tečajem na podlagi stroškov dela na enoto. Med državami, ki niso v euroobmočju, so bile spremembe realnega efektivnega deviznega tečaja na podlagi stroškov dela na enoto večinoma povezane z nihanji nominalnih deviznih tečajev, merjenih z nomin</w:t>
      </w:r>
      <w:r>
        <w:rPr>
          <w:rFonts w:ascii="Times New Roman" w:hAnsi="Times New Roman"/>
          <w:noProof/>
        </w:rPr>
        <w:t>alnimi efektivnimi deviznimi tečaji (NEER). Znižanje vrednosti valut je pomenilo povečanje konkurenčnosti na Poljskem, v Romuniji, na Švedskem in v Združenem kraljestvu; povišanja vrednosti valut so imele največ posledic za Bolgarijo in Češko. V zadnjih le</w:t>
      </w:r>
      <w:r>
        <w:rPr>
          <w:rFonts w:ascii="Times New Roman" w:hAnsi="Times New Roman"/>
          <w:noProof/>
        </w:rPr>
        <w:t>tih so bila povečanja stroškovne konkurenčnosti, merjena s spremembami realnega efektivnega deviznega tečaja na podlagi stroškov dela na enoto, na splošno večja v neto dolžnicah. Dejstva so skladna z zgoraj opisanim glede dinamike stroškov dela na enoto.</w:t>
      </w:r>
    </w:p>
    <w:p w:rsidR="00BB7D09" w:rsidRDefault="00A35831">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D</w:t>
      </w:r>
      <w:r>
        <w:rPr>
          <w:rFonts w:ascii="Times New Roman" w:hAnsi="Times New Roman"/>
          <w:b/>
          <w:noProof/>
        </w:rPr>
        <w:t>inamika cenovne konkurenčnosti</w:t>
      </w:r>
      <w:r>
        <w:rPr>
          <w:rFonts w:ascii="Times New Roman" w:hAnsi="Times New Roman"/>
          <w:noProof/>
        </w:rPr>
        <w:t xml:space="preserve">, merjena z realnim efektivnim deviznim tečajem na podlagi deflatorja BDP, </w:t>
      </w:r>
      <w:r>
        <w:rPr>
          <w:rFonts w:ascii="Times New Roman" w:hAnsi="Times New Roman"/>
          <w:b/>
          <w:noProof/>
        </w:rPr>
        <w:t>je bila bolj umirjena od dinamike stroškovne konkurenčnosti</w:t>
      </w:r>
      <w:r>
        <w:rPr>
          <w:rFonts w:ascii="Times New Roman" w:hAnsi="Times New Roman"/>
          <w:noProof/>
        </w:rPr>
        <w:t xml:space="preserve">, merjene v skladu z realnim efektivnim deviznim tečajem na podlagi stroškov dela na enoto. </w:t>
      </w:r>
      <w:r>
        <w:rPr>
          <w:rFonts w:ascii="Times New Roman" w:hAnsi="Times New Roman"/>
          <w:noProof/>
        </w:rPr>
        <w:t xml:space="preserve">To pomeni, da je del spremembe stroškov dela na enoto vplival na marže, namesto da bi se odrazil v cenah (graf 9). Podatki kažejo, da je bilo </w:t>
      </w:r>
      <w:r>
        <w:rPr>
          <w:rFonts w:ascii="Times New Roman" w:hAnsi="Times New Roman"/>
          <w:b/>
          <w:noProof/>
        </w:rPr>
        <w:t xml:space="preserve">nižanje marž </w:t>
      </w:r>
      <w:r>
        <w:rPr>
          <w:rFonts w:ascii="Times New Roman" w:hAnsi="Times New Roman"/>
          <w:noProof/>
        </w:rPr>
        <w:t xml:space="preserve">še zlasti izrazito v državah, ki beležijo velike izgube stroškovne konkurenčnosti, zlasti v baltskih </w:t>
      </w:r>
      <w:r>
        <w:rPr>
          <w:rFonts w:ascii="Times New Roman" w:hAnsi="Times New Roman"/>
          <w:noProof/>
        </w:rPr>
        <w:t>državah, Bolgariji in Romuniji</w:t>
      </w:r>
      <w:r>
        <w:rPr>
          <w:rStyle w:val="FootnoteReference"/>
          <w:rFonts w:ascii="Times New Roman" w:hAnsi="Times New Roman"/>
          <w:noProof/>
        </w:rPr>
        <w:footnoteReference w:id="22"/>
      </w:r>
      <w:r>
        <w:rPr>
          <w:rFonts w:ascii="Times New Roman" w:hAnsi="Times New Roman"/>
          <w:noProof/>
        </w:rPr>
        <w:t xml:space="preserve">. </w:t>
      </w:r>
    </w:p>
    <w:p w:rsidR="00BB7D09" w:rsidRDefault="00A35831">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V številnih državah so se zelo zmerne ali </w:t>
      </w:r>
      <w:r>
        <w:rPr>
          <w:rFonts w:ascii="Times New Roman" w:hAnsi="Times New Roman"/>
          <w:b/>
          <w:noProof/>
        </w:rPr>
        <w:t>negativne stopnje inflacije cen življenjskih potrebščin</w:t>
      </w:r>
      <w:r>
        <w:rPr>
          <w:rFonts w:ascii="Times New Roman" w:hAnsi="Times New Roman"/>
          <w:noProof/>
        </w:rPr>
        <w:t xml:space="preserve"> izrazile v velikih </w:t>
      </w:r>
      <w:r>
        <w:rPr>
          <w:rFonts w:ascii="Times New Roman" w:hAnsi="Times New Roman"/>
          <w:b/>
          <w:noProof/>
        </w:rPr>
        <w:t>povečanjih konkurenčnosti</w:t>
      </w:r>
      <w:r>
        <w:rPr>
          <w:rFonts w:ascii="Times New Roman" w:hAnsi="Times New Roman"/>
          <w:noProof/>
        </w:rPr>
        <w:t xml:space="preserve">, kot je bila izmerjena z realnim efektivnim deviznim tečajem na podlagi harmoniziranega indeksa cen življenjskih potrebščin. Dve državi, Ciper in Irska, sta bili leta 2017 celo pod spodnjim pragom iz preglednice. V večini držav je </w:t>
      </w:r>
      <w:r>
        <w:rPr>
          <w:rFonts w:ascii="Times New Roman" w:hAnsi="Times New Roman"/>
          <w:b/>
          <w:noProof/>
        </w:rPr>
        <w:t>trenutni položaj na podr</w:t>
      </w:r>
      <w:r>
        <w:rPr>
          <w:rFonts w:ascii="Times New Roman" w:hAnsi="Times New Roman"/>
          <w:b/>
          <w:noProof/>
        </w:rPr>
        <w:t>očju konkurenčnosti ugodnejši kot pred krizo, saj je stopnja realnega efektivnega deviznega tečaja na podlagi harmoniziranega indeksa cen življenjskih potrebščin</w:t>
      </w:r>
      <w:r>
        <w:rPr>
          <w:rFonts w:ascii="Times New Roman" w:hAnsi="Times New Roman"/>
          <w:noProof/>
        </w:rPr>
        <w:t xml:space="preserve"> pod vrednostjo, ki je bila zabeležena pri prejšnjih najvišjih ravneh. Realno znižanje vrednost</w:t>
      </w:r>
      <w:r>
        <w:rPr>
          <w:rFonts w:ascii="Times New Roman" w:hAnsi="Times New Roman"/>
          <w:noProof/>
        </w:rPr>
        <w:t>i valut je v večini primerov sovpadalo z zmanjšanjem relativne cene nemenjalnega blaga in povečanim deležem menjalnega blaga v gospodarstvu, kar je povečalo možnosti za dinamiko rasti na podlagi izvoza. Vendar so v nekaj državah, zlasti v Avstriji, Estonij</w:t>
      </w:r>
      <w:r>
        <w:rPr>
          <w:rFonts w:ascii="Times New Roman" w:hAnsi="Times New Roman"/>
          <w:noProof/>
        </w:rPr>
        <w:t xml:space="preserve">i in Litvi, trenutne vrednosti realnega efektivnega deviznega tečaja na podlagi harmoniziranega indeksa cen življenjskih potrebščin blizu ali nad prejšnjimi najvišjimi ravnmi. </w:t>
      </w:r>
    </w:p>
    <w:p w:rsidR="00BB7D09" w:rsidRDefault="00BB7D09">
      <w:pPr>
        <w:pStyle w:val="ListParagraph"/>
        <w:spacing w:before="120" w:after="120"/>
        <w:ind w:left="567"/>
        <w:contextualSpacing w:val="0"/>
        <w:jc w:val="both"/>
        <w:rPr>
          <w:rFonts w:ascii="Times New Roman" w:eastAsia="Times New Roman" w:hAnsi="Times New Roman" w:cs="Times New Roman"/>
          <w:b/>
          <w:noProof/>
        </w:rPr>
      </w:pP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Graf 9: Nominalni in realni efektivni devizni tečaji (NEER in REER)</w:t>
      </w:r>
    </w:p>
    <w:p w:rsidR="00BB7D09" w:rsidRDefault="00A35831">
      <w:pPr>
        <w:keepNext/>
        <w:spacing w:before="120" w:after="120"/>
        <w:jc w:val="center"/>
        <w:rPr>
          <w:rFonts w:ascii="Times New Roman" w:eastAsia="MS Mincho" w:hAnsi="Times New Roman" w:cs="Times New Roman"/>
          <w:b/>
          <w:bCs/>
          <w:noProof/>
        </w:rPr>
      </w:pPr>
      <w:r>
        <w:rPr>
          <w:noProof/>
          <w:lang w:val="fr-BE" w:eastAsia="fr-BE" w:bidi="ar-SA"/>
        </w:rPr>
        <w:drawing>
          <wp:inline distT="0" distB="0" distL="0" distR="0">
            <wp:extent cx="5543550" cy="3676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AME</w:t>
      </w:r>
      <w:r>
        <w:rPr>
          <w:rFonts w:ascii="Times New Roman" w:hAnsi="Times New Roman"/>
          <w:noProof/>
          <w:sz w:val="20"/>
        </w:rPr>
        <w:t>CO.</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naraščajočem vrstnem redu glede na povprečno letno spremembo realnega efektivnega deviznega tečaja na podlagi rasti stroškov dela na enoto med letoma 2015 in 2017. Realni efektivni devizni tečaj na podlagi stroškov del</w:t>
      </w:r>
      <w:r>
        <w:rPr>
          <w:rFonts w:ascii="Times New Roman" w:hAnsi="Times New Roman"/>
          <w:noProof/>
          <w:sz w:val="20"/>
        </w:rPr>
        <w:t>a na enoto in deflatorja BDP ter nominalni efektivni devizni tečaj sta izračunana glede na 37 trgovinskih partneric; realni efektivni devizni tečaj na podlagi harmoniziranega indeksa cen življenjskih potrebščin je izračunan glede na 42 trgovinskih partneri</w:t>
      </w:r>
      <w:r>
        <w:rPr>
          <w:rFonts w:ascii="Times New Roman" w:hAnsi="Times New Roman"/>
          <w:noProof/>
          <w:sz w:val="20"/>
        </w:rPr>
        <w:t>c, kot v preglednici iz poročila o mehanizmu opozarjanja.</w:t>
      </w:r>
    </w:p>
    <w:p w:rsidR="00BB7D09" w:rsidRDefault="00BB7D09">
      <w:pPr>
        <w:spacing w:before="120" w:after="120"/>
        <w:jc w:val="both"/>
        <w:rPr>
          <w:rFonts w:ascii="Times New Roman" w:eastAsia="Times New Roman" w:hAnsi="Times New Roman" w:cs="Times New Roman"/>
          <w:noProof/>
          <w:sz w:val="20"/>
          <w:szCs w:val="20"/>
        </w:rPr>
      </w:pPr>
    </w:p>
    <w:p w:rsidR="00BB7D09" w:rsidRDefault="00A35831">
      <w:pPr>
        <w:rPr>
          <w:rFonts w:ascii="Times New Roman" w:eastAsia="Times New Roman" w:hAnsi="Times New Roman" w:cs="Times New Roman"/>
          <w:b/>
          <w:noProof/>
        </w:rPr>
      </w:pPr>
      <w:r>
        <w:rPr>
          <w:noProof/>
        </w:rPr>
        <w:br w:type="page"/>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Večina držav članic EU beleži povečanja deležev na izvoznih trgih, vendar ta postajajo manj izrazita</w:t>
      </w:r>
      <w:r>
        <w:rPr>
          <w:rFonts w:ascii="Times New Roman" w:hAnsi="Times New Roman"/>
          <w:noProof/>
        </w:rPr>
        <w:t>. Skupna sprememba deleža na izvoznih trgih v zadnjih 5 letih, zabeležena v letu 2017, kaže poz</w:t>
      </w:r>
      <w:r>
        <w:rPr>
          <w:rFonts w:ascii="Times New Roman" w:hAnsi="Times New Roman"/>
          <w:noProof/>
        </w:rPr>
        <w:t>itivne vrednosti v večini držav članic EU in samo v eni državi (Grčiji) so izgube deležev na izvoznih trgih presegle prag iz preglednice. Novejši podatki kažejo drugačno sliko, pri čemer povečanja deležev še vedno prevladujejo, vendar v letu 2017 postajajo</w:t>
      </w:r>
      <w:r>
        <w:rPr>
          <w:rFonts w:ascii="Times New Roman" w:hAnsi="Times New Roman"/>
          <w:noProof/>
        </w:rPr>
        <w:t xml:space="preserve"> zmernejša zaradi povišanja vrednosti eura in manj ugodne dinamike cen blaga. Medtem ko je izvozna aktivnost držav EU v letu 2017 še naprej okrevala, se je hkrati rast izvoza drugih gospodarstev leta 2017 približala tisti v EU, pri čemer se je pospešila gl</w:t>
      </w:r>
      <w:r>
        <w:rPr>
          <w:rFonts w:ascii="Times New Roman" w:hAnsi="Times New Roman"/>
          <w:noProof/>
        </w:rPr>
        <w:t>ede na prejšnja leta</w:t>
      </w:r>
      <w:r>
        <w:rPr>
          <w:rStyle w:val="FootnoteReference"/>
          <w:rFonts w:ascii="Times New Roman" w:hAnsi="Times New Roman"/>
          <w:noProof/>
        </w:rPr>
        <w:footnoteReference w:id="23"/>
      </w:r>
      <w:r>
        <w:rPr>
          <w:rFonts w:ascii="Times New Roman" w:hAnsi="Times New Roman"/>
          <w:noProof/>
        </w:rPr>
        <w:t>.</w:t>
      </w:r>
    </w:p>
    <w:p w:rsidR="00BB7D09" w:rsidRDefault="00A35831">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Ta zadnji, na splošno pozitiven trend pri deležih na izvoznih trgih za EU so podprli ponovno povečanje povpraševanja po izvozu znotraj EU in povečanje konkurenčnosti, kot je bilo opisano zgoraj. </w:t>
      </w:r>
      <w:r>
        <w:rPr>
          <w:rFonts w:ascii="Times New Roman" w:hAnsi="Times New Roman"/>
          <w:b/>
          <w:noProof/>
        </w:rPr>
        <w:t>Povečanja tržnih deležev so bila na sp</w:t>
      </w:r>
      <w:r>
        <w:rPr>
          <w:rFonts w:ascii="Times New Roman" w:hAnsi="Times New Roman"/>
          <w:b/>
          <w:noProof/>
        </w:rPr>
        <w:t>lošno nekoliko bolj izrazita v neto dolžnicah ter v srednje- in nekaterih vzhodnoevropskih državah</w:t>
      </w:r>
      <w:r>
        <w:rPr>
          <w:rFonts w:ascii="Times New Roman" w:hAnsi="Times New Roman"/>
          <w:noProof/>
        </w:rPr>
        <w:t xml:space="preserve">, kar pomeni, da je močnejše povečanje konkurenčnosti v teh državah pomenilo tudi prednost pri prodiranju na izvozne trge. </w:t>
      </w:r>
    </w:p>
    <w:p w:rsidR="00BB7D09" w:rsidRDefault="00A35831">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Novejši podatki o letnih sprememba</w:t>
      </w:r>
      <w:r>
        <w:rPr>
          <w:rFonts w:ascii="Times New Roman" w:hAnsi="Times New Roman"/>
          <w:noProof/>
        </w:rPr>
        <w:t xml:space="preserve">h tržnih deležev kažejo na povečanje v letu 2016, ki mu sledijo na splošno bolj zmerni rezultati za leto 2017 (graf 10). </w:t>
      </w:r>
      <w:r>
        <w:rPr>
          <w:rFonts w:ascii="Times New Roman" w:hAnsi="Times New Roman"/>
          <w:b/>
          <w:noProof/>
        </w:rPr>
        <w:t>Povečanja so v letu 2017 umirila v skoraj vseh državah članicah EU</w:t>
      </w:r>
      <w:r>
        <w:rPr>
          <w:rFonts w:ascii="Times New Roman" w:hAnsi="Times New Roman"/>
          <w:noProof/>
        </w:rPr>
        <w:t>, močnejša povečanja pa so bila zabeležena v Grčiji in Litvi, kar kaž</w:t>
      </w:r>
      <w:r>
        <w:rPr>
          <w:rFonts w:ascii="Times New Roman" w:hAnsi="Times New Roman"/>
          <w:noProof/>
        </w:rPr>
        <w:t>e na odpravljanje prejšnjih velikih izgub.</w:t>
      </w:r>
    </w:p>
    <w:p w:rsidR="00BB7D09" w:rsidRDefault="00BB7D09">
      <w:pPr>
        <w:spacing w:before="120" w:after="120"/>
        <w:jc w:val="center"/>
        <w:rPr>
          <w:rFonts w:ascii="Times New Roman" w:eastAsia="Times New Roman" w:hAnsi="Times New Roman" w:cs="Times New Roman"/>
          <w:b/>
          <w:noProof/>
          <w:sz w:val="24"/>
          <w:szCs w:val="24"/>
        </w:rPr>
      </w:pP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Graf 10: Spremembe deležev na izvoznih trgih, zadnja leta;</w:t>
      </w:r>
    </w:p>
    <w:p w:rsidR="00BB7D09" w:rsidRDefault="00A35831">
      <w:pPr>
        <w:spacing w:before="120" w:after="120"/>
        <w:jc w:val="center"/>
        <w:rPr>
          <w:rFonts w:ascii="Times New Roman" w:eastAsia="Times New Roman" w:hAnsi="Times New Roman" w:cs="Times New Roman"/>
          <w:b/>
          <w:noProof/>
          <w:sz w:val="24"/>
          <w:szCs w:val="24"/>
        </w:rPr>
      </w:pPr>
      <w:r>
        <w:rPr>
          <w:noProof/>
          <w:lang w:val="fr-BE" w:eastAsia="fr-BE" w:bidi="ar-SA"/>
        </w:rPr>
        <w:drawing>
          <wp:inline distT="0" distB="0" distL="0" distR="0">
            <wp:extent cx="5086350" cy="288934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6350" cy="2889342"/>
                    </a:xfrm>
                    <a:prstGeom prst="rect">
                      <a:avLst/>
                    </a:prstGeom>
                    <a:noFill/>
                    <a:ln>
                      <a:noFill/>
                    </a:ln>
                  </pic:spPr>
                </pic:pic>
              </a:graphicData>
            </a:graphic>
          </wp:inline>
        </w:drawing>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Eurostat, izračuni služb Komisije.</w:t>
      </w:r>
    </w:p>
    <w:p w:rsidR="00BB7D09" w:rsidRDefault="00A35831">
      <w:pPr>
        <w:spacing w:after="0"/>
        <w:jc w:val="both"/>
        <w:rPr>
          <w:rFonts w:ascii="Times New Roman" w:eastAsia="Times New Roman" w:hAnsi="Times New Roman" w:cs="Times New Roman"/>
          <w:i/>
          <w:noProof/>
          <w:sz w:val="20"/>
          <w:szCs w:val="20"/>
        </w:rPr>
      </w:pPr>
      <w:r>
        <w:rPr>
          <w:rFonts w:ascii="Times New Roman" w:hAnsi="Times New Roman"/>
          <w:i/>
          <w:noProof/>
          <w:sz w:val="20"/>
        </w:rPr>
        <w:t xml:space="preserve">Opomba: </w:t>
      </w:r>
      <w:r>
        <w:rPr>
          <w:rFonts w:ascii="Times New Roman" w:hAnsi="Times New Roman"/>
          <w:noProof/>
          <w:sz w:val="20"/>
        </w:rPr>
        <w:t xml:space="preserve">države so predstavljene v naraščajočem vrstnem redu glede na letne spremembe deležev na izvoznih trgih </w:t>
      </w:r>
      <w:r>
        <w:rPr>
          <w:rFonts w:ascii="Times New Roman" w:hAnsi="Times New Roman"/>
          <w:noProof/>
          <w:sz w:val="20"/>
        </w:rPr>
        <w:t>v letu 2017.</w:t>
      </w:r>
    </w:p>
    <w:p w:rsidR="00BB7D09" w:rsidRDefault="00A35831">
      <w:pPr>
        <w:rPr>
          <w:rFonts w:ascii="Times New Roman" w:eastAsia="Times New Roman" w:hAnsi="Times New Roman" w:cs="Times New Roman"/>
          <w:i/>
          <w:noProof/>
          <w:sz w:val="20"/>
          <w:szCs w:val="20"/>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BB7D09">
        <w:tc>
          <w:tcPr>
            <w:tcW w:w="9288" w:type="dxa"/>
            <w:shd w:val="clear" w:color="auto" w:fill="BFBFBF" w:themeFill="background1" w:themeFillShade="BF"/>
          </w:tcPr>
          <w:p w:rsidR="00BB7D09" w:rsidRDefault="00A35831">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Okvir 2: Razsežnost euroobmočja pri makroekonomskih neravnotežjih</w:t>
            </w:r>
          </w:p>
          <w:p w:rsidR="00BB7D09" w:rsidRDefault="00A35831">
            <w:pPr>
              <w:jc w:val="both"/>
              <w:rPr>
                <w:rFonts w:ascii="Times New Roman" w:hAnsi="Times New Roman" w:cs="Times New Roman"/>
                <w:noProof/>
              </w:rPr>
            </w:pPr>
            <w:r>
              <w:rPr>
                <w:rFonts w:ascii="Times New Roman" w:hAnsi="Times New Roman"/>
                <w:b/>
                <w:noProof/>
              </w:rPr>
              <w:t xml:space="preserve">Tekoči račun euroobmočja se je stabiliziral na zelo visokih ravneh. </w:t>
            </w:r>
            <w:r>
              <w:rPr>
                <w:rFonts w:ascii="Times New Roman" w:hAnsi="Times New Roman"/>
                <w:noProof/>
              </w:rPr>
              <w:t>Saldo tekočega računa euroobmočja se je po krizi leta 2008 do leta 2016 vidno povečal. Od takrat se je n</w:t>
            </w:r>
            <w:r>
              <w:rPr>
                <w:rFonts w:ascii="Times New Roman" w:hAnsi="Times New Roman"/>
                <w:noProof/>
              </w:rPr>
              <w:t>jegova vrednost v letih 2016 in 2017 na podlagi statističnih podatkov o plačilni bilanci ustalila na približno 3,2 % BDP</w:t>
            </w:r>
            <w:r>
              <w:rPr>
                <w:rStyle w:val="FootnoteReference"/>
                <w:rFonts w:ascii="Times New Roman" w:hAnsi="Times New Roman"/>
                <w:noProof/>
              </w:rPr>
              <w:footnoteReference w:id="24"/>
            </w:r>
            <w:r>
              <w:rPr>
                <w:rFonts w:ascii="Times New Roman" w:hAnsi="Times New Roman"/>
                <w:noProof/>
              </w:rPr>
              <w:t>. Presežek na tekočem računu euroobmočja je še vedno največji na svetu in po ocenah presega vrednost, ki bi jo pričakovali na podlagi g</w:t>
            </w:r>
            <w:r>
              <w:rPr>
                <w:rFonts w:ascii="Times New Roman" w:hAnsi="Times New Roman"/>
                <w:noProof/>
              </w:rPr>
              <w:t>ospodarskih temeljev (približno 1,5 % BDP euroobmočja)</w:t>
            </w:r>
            <w:r>
              <w:rPr>
                <w:rStyle w:val="FootnoteReference"/>
                <w:rFonts w:ascii="Times New Roman" w:hAnsi="Times New Roman"/>
                <w:noProof/>
              </w:rPr>
              <w:footnoteReference w:id="25"/>
            </w:r>
            <w:r>
              <w:rPr>
                <w:rFonts w:ascii="Times New Roman" w:hAnsi="Times New Roman"/>
                <w:noProof/>
              </w:rPr>
              <w:t>. Ob nespremenjenih politikah naj bi se presežek na tekočem računu euroobmočja glede na jesensko napoved Evropske komisije iz leta 2018 do leta 2020 nekoliko znižal</w:t>
            </w:r>
            <w:r>
              <w:rPr>
                <w:rStyle w:val="FootnoteReference"/>
                <w:rFonts w:ascii="Times New Roman" w:hAnsi="Times New Roman"/>
                <w:noProof/>
              </w:rPr>
              <w:footnoteReference w:id="26"/>
            </w:r>
            <w:r>
              <w:rPr>
                <w:rFonts w:ascii="Times New Roman" w:hAnsi="Times New Roman"/>
                <w:noProof/>
              </w:rPr>
              <w:t xml:space="preserve">. Dejavniki, ki bi lahko prispevali </w:t>
            </w:r>
            <w:r>
              <w:rPr>
                <w:rFonts w:ascii="Times New Roman" w:hAnsi="Times New Roman"/>
                <w:noProof/>
              </w:rPr>
              <w:t>k zmanjšanju presežka, vključujejo relativno oslabitev cikličnih pogojev na drugih območjih svetovnega gospodarstva, uresničenje učinkov omejevalnih trgovinskih politik in nedavnega efektivnega povišanja vrednosti eura, možno nadaljnje povečevanje vrednost</w:t>
            </w:r>
            <w:r>
              <w:rPr>
                <w:rFonts w:ascii="Times New Roman" w:hAnsi="Times New Roman"/>
                <w:noProof/>
              </w:rPr>
              <w:t xml:space="preserve">i eura (med drugim zaradi pritiskov trga navzgor, ki so posledica stalnega velikega zunanjega presežka) ali podaljšanje trenutnega trenda višanja cen nafte.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BB7D09">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b/>
                      <w:noProof/>
                    </w:rPr>
                  </w:pPr>
                  <w:r>
                    <w:rPr>
                      <w:rFonts w:ascii="Times New Roman" w:hAnsi="Times New Roman"/>
                      <w:b/>
                      <w:noProof/>
                    </w:rPr>
                    <w:t xml:space="preserve">Graf B.1: Razvoj tekočega računa euroobmočja: razčlenitev po državah </w:t>
                  </w:r>
                </w:p>
              </w:tc>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b/>
                      <w:noProof/>
                    </w:rPr>
                  </w:pPr>
                  <w:r>
                    <w:rPr>
                      <w:rFonts w:ascii="Times New Roman" w:hAnsi="Times New Roman"/>
                      <w:b/>
                      <w:noProof/>
                    </w:rPr>
                    <w:t xml:space="preserve">Graf B.2: Razvoj tekočega računa euroobmočja: razčlenitev po postavkah </w:t>
                  </w:r>
                </w:p>
              </w:tc>
            </w:tr>
            <w:tr w:rsidR="00BB7D09">
              <w:trPr>
                <w:trHeight w:val="3346"/>
              </w:trPr>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733675" cy="2457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24574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733675" cy="2724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724150"/>
                                </a:xfrm>
                                <a:prstGeom prst="rect">
                                  <a:avLst/>
                                </a:prstGeom>
                                <a:noFill/>
                                <a:ln>
                                  <a:noFill/>
                                </a:ln>
                              </pic:spPr>
                            </pic:pic>
                          </a:graphicData>
                        </a:graphic>
                      </wp:inline>
                    </w:drawing>
                  </w:r>
                </w:p>
              </w:tc>
            </w:tr>
            <w:tr w:rsidR="00BB7D09">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 podatki o plačilni bilanci.</w:t>
                  </w:r>
                </w:p>
              </w:tc>
              <w:tc>
                <w:tcPr>
                  <w:tcW w:w="4531" w:type="dxa"/>
                  <w:tcBorders>
                    <w:top w:val="nil"/>
                    <w:left w:val="nil"/>
                    <w:bottom w:val="nil"/>
                    <w:right w:val="nil"/>
                  </w:tcBorders>
                  <w:shd w:val="clear" w:color="auto" w:fill="auto"/>
                </w:tcPr>
                <w:p w:rsidR="00BB7D09" w:rsidRDefault="00A35831">
                  <w:pPr>
                    <w:spacing w:after="0"/>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Eurostat, podatki o plačilni bilanci. </w:t>
                  </w:r>
                </w:p>
                <w:p w:rsidR="00BB7D09" w:rsidRDefault="00A35831">
                  <w:pPr>
                    <w:spacing w:after="0"/>
                    <w:jc w:val="both"/>
                    <w:rPr>
                      <w:rFonts w:ascii="Times New Roman" w:hAnsi="Times New Roman" w:cs="Times New Roman"/>
                      <w:noProof/>
                      <w:sz w:val="20"/>
                    </w:rPr>
                  </w:pPr>
                  <w:r>
                    <w:rPr>
                      <w:rFonts w:ascii="Times New Roman" w:hAnsi="Times New Roman"/>
                      <w:i/>
                      <w:noProof/>
                      <w:sz w:val="20"/>
                    </w:rPr>
                    <w:t>Opomba:</w:t>
                  </w:r>
                  <w:r>
                    <w:rPr>
                      <w:rFonts w:ascii="Times New Roman" w:hAnsi="Times New Roman"/>
                      <w:noProof/>
                      <w:sz w:val="20"/>
                    </w:rPr>
                    <w:t xml:space="preserve"> „18*“ se nanaša na drsečo sredino podatkov za štiri četrtletja do 2. četrtletja leta 2018.</w:t>
                  </w:r>
                </w:p>
              </w:tc>
            </w:tr>
          </w:tbl>
          <w:p w:rsidR="00BB7D09" w:rsidRDefault="00BB7D09">
            <w:pPr>
              <w:spacing w:after="120"/>
              <w:jc w:val="both"/>
              <w:rPr>
                <w:rFonts w:ascii="Times New Roman" w:hAnsi="Times New Roman" w:cs="Times New Roman"/>
                <w:b/>
                <w:noProof/>
              </w:rPr>
            </w:pPr>
          </w:p>
          <w:p w:rsidR="00BB7D09" w:rsidRDefault="00BB7D09">
            <w:pPr>
              <w:spacing w:after="120"/>
              <w:jc w:val="both"/>
              <w:rPr>
                <w:rFonts w:ascii="Times New Roman" w:hAnsi="Times New Roman" w:cs="Times New Roman"/>
                <w:b/>
                <w:noProof/>
              </w:rPr>
            </w:pPr>
          </w:p>
          <w:p w:rsidR="00BB7D09" w:rsidRDefault="00A35831">
            <w:pPr>
              <w:spacing w:after="120"/>
              <w:jc w:val="both"/>
              <w:rPr>
                <w:rFonts w:ascii="Times New Roman" w:hAnsi="Times New Roman" w:cs="Times New Roman"/>
                <w:noProof/>
              </w:rPr>
            </w:pPr>
            <w:r>
              <w:rPr>
                <w:rFonts w:ascii="Times New Roman" w:hAnsi="Times New Roman"/>
                <w:b/>
                <w:noProof/>
              </w:rPr>
              <w:t xml:space="preserve">Nastanek presežka euroobmočja odraža popravek tekočih računov, ki so bili prej v primanjkljaju, skupaj z nadaljnjim obstojem velikih presežkov. </w:t>
            </w:r>
            <w:r>
              <w:rPr>
                <w:rFonts w:ascii="Times New Roman" w:hAnsi="Times New Roman"/>
                <w:noProof/>
              </w:rPr>
              <w:t>Saldo tekočega računa euroobmočja je bilo pred letom 2008 večinoma uravnotežen, nato je v tistem letu zabeležil primanjkljaj zaradi velikega upada svetovnega povpraševanja po izvozu in po finančni krizi leta 2008 prešel v presežek, in sicer predvsem zaradi</w:t>
            </w:r>
            <w:r>
              <w:rPr>
                <w:rFonts w:ascii="Times New Roman" w:hAnsi="Times New Roman"/>
                <w:noProof/>
              </w:rPr>
              <w:t xml:space="preserve"> hitrega zmanjšanja velikih primanjkljajev po preobratu zasebnih čezmejnih finančnih tokov (graf B.1). Presežek se je dodatno povečal po letu 2011 zaradi širitve dolžniške krize v Španijo in Italijo ter posledičnim upadom domačega povpraševanja, ki je pris</w:t>
            </w:r>
            <w:r>
              <w:rPr>
                <w:rFonts w:ascii="Times New Roman" w:hAnsi="Times New Roman"/>
                <w:noProof/>
              </w:rPr>
              <w:t>peval k temu, da se je saldo tekočega računa teh dveh držav prevesil v presežek. Od leta 2011 se je postopoma povečeval tudi velik presežek tekočega računa Nemčije. Trenutno je presežek na tekočem računu euroobmočja predvsem posledica velikih presežkov v N</w:t>
            </w:r>
            <w:r>
              <w:rPr>
                <w:rFonts w:ascii="Times New Roman" w:hAnsi="Times New Roman"/>
                <w:noProof/>
              </w:rPr>
              <w:t xml:space="preserve">emčiji in na Nizozemskem, katerih skupni zunanji položaj predstavlja večino presežka euroobmočja (graf B.1). Od leta 2016 postopno zmanjševanje presežka na tekočem računu Nemčije prispeva k stabilizaciji presežka, ki ga je zabeležilo euroobmočje. </w:t>
            </w:r>
          </w:p>
          <w:p w:rsidR="00BB7D09" w:rsidRDefault="00A35831">
            <w:pPr>
              <w:spacing w:after="120"/>
              <w:jc w:val="both"/>
              <w:rPr>
                <w:rFonts w:ascii="Times New Roman" w:hAnsi="Times New Roman" w:cs="Times New Roman"/>
                <w:noProof/>
              </w:rPr>
            </w:pPr>
            <w:r>
              <w:rPr>
                <w:rFonts w:ascii="Times New Roman" w:hAnsi="Times New Roman"/>
                <w:b/>
                <w:noProof/>
              </w:rPr>
              <w:t xml:space="preserve">Nedavni </w:t>
            </w:r>
            <w:r>
              <w:rPr>
                <w:rFonts w:ascii="Times New Roman" w:hAnsi="Times New Roman"/>
                <w:b/>
                <w:noProof/>
              </w:rPr>
              <w:t xml:space="preserve">razvoj tekočega računa euroobmočja je bil povezan predvsem z energetsko bilanco, saldom prihodkov in storitveno bilanco. </w:t>
            </w:r>
            <w:r>
              <w:rPr>
                <w:rFonts w:ascii="Times New Roman" w:hAnsi="Times New Roman"/>
                <w:noProof/>
              </w:rPr>
              <w:t xml:space="preserve">V bilanci neenergetskega blaga je bilo v obdobju po finančni krizi zabeleženo izboljšanje, kar odraža relativno šibek ciklični položaj </w:t>
            </w:r>
            <w:r>
              <w:rPr>
                <w:rFonts w:ascii="Times New Roman" w:hAnsi="Times New Roman"/>
                <w:noProof/>
              </w:rPr>
              <w:t>euroobmočja v primerjavi z drugimi svetovnimi območji in predstavlja večino izboljšanja tekočega računa (graf B.2). V istem obdobju je ciklično prilagojeni saldo tekočega računa euroobmočja dosledno beležil manjše izboljšanje. Z letom 2013 se je ob okrevan</w:t>
            </w:r>
            <w:r>
              <w:rPr>
                <w:rFonts w:ascii="Times New Roman" w:hAnsi="Times New Roman"/>
                <w:noProof/>
              </w:rPr>
              <w:t>ju rasti BDP v euroobmočju presežek blagovne bilance stabiliziral in se začel zelo rahlo zmanjševati zaradi solidnih izvoznih rezultatov v smislu vrednosti in obsega v primerjavi z drugimi razvitimi gospodarstvi</w:t>
            </w:r>
            <w:r>
              <w:rPr>
                <w:rStyle w:val="FootnoteReference"/>
                <w:rFonts w:ascii="Times New Roman" w:hAnsi="Times New Roman"/>
                <w:noProof/>
              </w:rPr>
              <w:footnoteReference w:id="27"/>
            </w:r>
            <w:r>
              <w:rPr>
                <w:rFonts w:ascii="Times New Roman" w:hAnsi="Times New Roman"/>
                <w:noProof/>
              </w:rPr>
              <w:t>. Gibanje energetske bilance po krizi je bil</w:t>
            </w:r>
            <w:r>
              <w:rPr>
                <w:rFonts w:ascii="Times New Roman" w:hAnsi="Times New Roman"/>
                <w:noProof/>
              </w:rPr>
              <w:t>o v glavnem posledica sprememb cen nafte. Po velikem padcu v letu 2008 so si cene nafte med letoma 2009 in 2011 opomogle ter ponovno padle med letoma 2014 in 2016, kar je prispevalo k spremembam v nasprotni smeri v energetski bilanci euroobmočja. Okrevanje</w:t>
            </w:r>
            <w:r>
              <w:rPr>
                <w:rFonts w:ascii="Times New Roman" w:hAnsi="Times New Roman"/>
                <w:noProof/>
              </w:rPr>
              <w:t xml:space="preserve"> cen nafte, ki se je začelo sredi leta 2016, je vzrok za poslabšanje energetske bilance, zabeleženo od takrat</w:t>
            </w:r>
            <w:r>
              <w:rPr>
                <w:rStyle w:val="FootnoteReference"/>
                <w:rFonts w:ascii="Times New Roman" w:hAnsi="Times New Roman"/>
                <w:noProof/>
              </w:rPr>
              <w:footnoteReference w:id="28"/>
            </w:r>
            <w:r>
              <w:rPr>
                <w:noProof/>
              </w:rPr>
              <w:t>.</w:t>
            </w:r>
            <w:r>
              <w:rPr>
                <w:rFonts w:ascii="Times New Roman" w:hAnsi="Times New Roman"/>
                <w:noProof/>
              </w:rPr>
              <w:t xml:space="preserve"> Negativni prispevek energetske bilance k presežku euroobmočja od leta 2016 se je izravnal z izboljšanjem storitvene bilance. Saldo dohodkov klju</w:t>
            </w:r>
            <w:r>
              <w:rPr>
                <w:rFonts w:ascii="Times New Roman" w:hAnsi="Times New Roman"/>
                <w:noProof/>
              </w:rPr>
              <w:t xml:space="preserve">b izboljšanju salda dohodkov iz kapitala, povezanega s pozitivnim in rastočim neto stanjem mednarodnih naložb na skupni ravni euroobmočja, ostaja negativen in se je leta 2017 zaradi dinamike, zabeležene pri neto dohodkih podjetij, poslabšal. </w:t>
            </w:r>
          </w:p>
          <w:p w:rsidR="00BB7D09" w:rsidRDefault="00A35831">
            <w:pPr>
              <w:spacing w:after="120"/>
              <w:jc w:val="both"/>
              <w:rPr>
                <w:rFonts w:ascii="Times New Roman" w:hAnsi="Times New Roman" w:cs="Times New Roman"/>
                <w:noProof/>
              </w:rPr>
            </w:pPr>
            <w:r>
              <w:rPr>
                <w:rFonts w:ascii="Times New Roman" w:hAnsi="Times New Roman"/>
                <w:b/>
                <w:noProof/>
              </w:rPr>
              <w:t>Gibanje prese</w:t>
            </w:r>
            <w:r>
              <w:rPr>
                <w:rFonts w:ascii="Times New Roman" w:hAnsi="Times New Roman"/>
                <w:b/>
                <w:noProof/>
              </w:rPr>
              <w:t xml:space="preserve">žka euroobmočja je povezano z domačim povpraševanjem, ki zaostaja za gospodarsko aktivnostjo in trajnim povpraševanjem po izvozu, ki temelji na podpornem globalnem povpraševanju po evropskem blagu in storitvah ter boljšem konkurenčnem položaju. </w:t>
            </w:r>
            <w:r>
              <w:rPr>
                <w:rFonts w:ascii="Times New Roman" w:hAnsi="Times New Roman"/>
                <w:noProof/>
              </w:rPr>
              <w:t>Razlika med</w:t>
            </w:r>
            <w:r>
              <w:rPr>
                <w:rFonts w:ascii="Times New Roman" w:hAnsi="Times New Roman"/>
                <w:noProof/>
              </w:rPr>
              <w:t xml:space="preserve"> skupnim dohodkom in porabo, ki ustreza neto izvozu, se je širila od začetka finančne krize leta 2008 do leta 2016 (glej graf B.3). Na začetku krize je oslabljena dinamika povpraševanja odražala obsežen proces razdolževanja v zasebnem sektorju, zlasti v ne</w:t>
            </w:r>
            <w:r>
              <w:rPr>
                <w:rFonts w:ascii="Times New Roman" w:hAnsi="Times New Roman"/>
                <w:noProof/>
              </w:rPr>
              <w:t>to dolžnicah, ki so se soočale z nenadno zaustavitvijo pritokov na tekočem računu, medtem ko je večje neto zadolževanje sektorja država pomagalo ublažiti učinek krize na dohodke (graf B.4). Po poslabšanju dolžniške krize v euroobmočju leta 2011 se je razdo</w:t>
            </w:r>
            <w:r>
              <w:rPr>
                <w:rFonts w:ascii="Times New Roman" w:hAnsi="Times New Roman"/>
                <w:noProof/>
              </w:rPr>
              <w:t>lževanje začelo tudi v sektorju država, ki je od takrat najbolj prispeval k povečanju skupnega neto stanja posojil euroobmočja. Obseg neto posojil za sektor gospodinjstev je trenutno dvakrat večji v primerjavi z obdobjem pred krizo, medtem ko nefinančne dr</w:t>
            </w:r>
            <w:r>
              <w:rPr>
                <w:rFonts w:ascii="Times New Roman" w:hAnsi="Times New Roman"/>
                <w:noProof/>
              </w:rPr>
              <w:t>užbe, ki običajno beležijo potrebe po neto izposojanju, od leta 2013 izkazujejo pozitivno neto stanje posojil. Neto stanje posojil držav ostaja negativno in je šele pred kratkim doseglo ravni, skladne z zmanjšanjem deležev javnega dolga v večini držav euro</w:t>
            </w:r>
            <w:r>
              <w:rPr>
                <w:rFonts w:ascii="Times New Roman" w:hAnsi="Times New Roman"/>
                <w:noProof/>
              </w:rPr>
              <w:t>območja. Kljub aktivnemu razdolževanju je dolgotrajna stagnacija nominalnega BDP po krizi povzročila, da je delež dolga v BDP ostal na zgodovinsko visokih ravneh za gospodinjstva, gospodarske družbe in vlade v številnih državah euroobmočja. Razdolževanje t</w:t>
            </w:r>
            <w:r>
              <w:rPr>
                <w:rFonts w:ascii="Times New Roman" w:hAnsi="Times New Roman"/>
                <w:noProof/>
              </w:rPr>
              <w:t>renutno poteka v ugodnih gospodarskih razmerah.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BB7D09">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b/>
                      <w:noProof/>
                    </w:rPr>
                  </w:pPr>
                  <w:r>
                    <w:rPr>
                      <w:rFonts w:ascii="Times New Roman" w:hAnsi="Times New Roman"/>
                      <w:b/>
                      <w:noProof/>
                    </w:rPr>
                    <w:t>Graf B.3: Proizvod, domače povpraševanje, neto izvoz in osnovna inflacija v euroobmočju</w:t>
                  </w:r>
                </w:p>
              </w:tc>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b/>
                      <w:noProof/>
                    </w:rPr>
                  </w:pPr>
                  <w:r>
                    <w:rPr>
                      <w:rFonts w:ascii="Times New Roman" w:hAnsi="Times New Roman"/>
                      <w:b/>
                      <w:noProof/>
                    </w:rPr>
                    <w:t xml:space="preserve">Graf B.4: Neto izposojanje/neto posojanje v euroobmočju po sektorjih </w:t>
                  </w:r>
                </w:p>
              </w:tc>
            </w:tr>
            <w:tr w:rsidR="00BB7D09">
              <w:trPr>
                <w:trHeight w:val="3406"/>
              </w:trPr>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743200" cy="2419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733675" cy="2743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743200"/>
                                </a:xfrm>
                                <a:prstGeom prst="rect">
                                  <a:avLst/>
                                </a:prstGeom>
                                <a:noFill/>
                                <a:ln>
                                  <a:noFill/>
                                </a:ln>
                              </pic:spPr>
                            </pic:pic>
                          </a:graphicData>
                        </a:graphic>
                      </wp:inline>
                    </w:drawing>
                  </w:r>
                </w:p>
              </w:tc>
            </w:tr>
            <w:tr w:rsidR="00BB7D09">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rsidR="00BB7D09" w:rsidRDefault="00A35831">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Eurostat.</w:t>
                  </w:r>
                </w:p>
              </w:tc>
            </w:tr>
          </w:tbl>
          <w:p w:rsidR="00BB7D09" w:rsidRDefault="00BB7D09">
            <w:pPr>
              <w:spacing w:after="120"/>
              <w:jc w:val="both"/>
              <w:rPr>
                <w:rFonts w:ascii="Times New Roman" w:hAnsi="Times New Roman" w:cs="Times New Roman"/>
                <w:b/>
                <w:noProof/>
              </w:rPr>
            </w:pPr>
          </w:p>
          <w:p w:rsidR="00BB7D09" w:rsidRDefault="00A35831">
            <w:pPr>
              <w:spacing w:after="120"/>
              <w:jc w:val="both"/>
              <w:rPr>
                <w:rFonts w:ascii="Times New Roman" w:hAnsi="Times New Roman" w:cs="Times New Roman"/>
                <w:noProof/>
              </w:rPr>
            </w:pPr>
            <w:r>
              <w:rPr>
                <w:rFonts w:ascii="Times New Roman" w:hAnsi="Times New Roman"/>
                <w:b/>
                <w:noProof/>
              </w:rPr>
              <w:t xml:space="preserve">Še vedno ostajajo izzivi, ki so povezani z vztrajnostjo neravnotežij na strani stanj, trajnostjo trenutne gospodarske rasti in omejenim manevrskim prostorom za ublažitev negativnih šokov v državah z visokim dolgom. </w:t>
            </w:r>
            <w:r>
              <w:rPr>
                <w:rFonts w:ascii="Times New Roman" w:hAnsi="Times New Roman"/>
                <w:noProof/>
              </w:rPr>
              <w:t>Po skoraj desetletju šibke dinamike domač</w:t>
            </w:r>
            <w:r>
              <w:rPr>
                <w:rFonts w:ascii="Times New Roman" w:hAnsi="Times New Roman"/>
                <w:noProof/>
              </w:rPr>
              <w:t>e povpraševanje v euroobmočju okreva, proizvodna vrzel postaja pozitivna, inflacija pa naj bi se postopoma približala cilju monetarnih organov (graf B.3). Trenutna rast podpira odpravo neravnotežij na strani stanj, vendar se bo treba v prihodnje soočiti še</w:t>
            </w:r>
            <w:r>
              <w:rPr>
                <w:rFonts w:ascii="Times New Roman" w:hAnsi="Times New Roman"/>
                <w:noProof/>
              </w:rPr>
              <w:t xml:space="preserve"> z veliko izzivi. Prvič, negotovo je, kako trajna je trenutna rast, saj pogoji za zagotavljanje vzdržne rasti niso povsod izpolnjeni, zlasti zaradi vztrajnih naložbenih vrzeli, nezadostnih okvirnih pogojev za spodbujanje rasti produktivnosti in neizkorišče</w:t>
            </w:r>
            <w:r>
              <w:rPr>
                <w:rFonts w:ascii="Times New Roman" w:hAnsi="Times New Roman"/>
                <w:noProof/>
              </w:rPr>
              <w:t>nega potenciala človeškega kapitala</w:t>
            </w:r>
            <w:r>
              <w:rPr>
                <w:rStyle w:val="FootnoteReference"/>
                <w:rFonts w:ascii="Times New Roman" w:hAnsi="Times New Roman"/>
                <w:noProof/>
              </w:rPr>
              <w:footnoteReference w:id="29"/>
            </w:r>
            <w:r>
              <w:rPr>
                <w:rFonts w:ascii="Times New Roman" w:hAnsi="Times New Roman"/>
                <w:noProof/>
              </w:rPr>
              <w:t>. Drugič, ponovno uravnoteženje v euroobmočju je še vedno nepopolno. Za države, ki so imele v preteklosti visoke primanjkljaje, je še vedno značilno visoko negativno neto stanje mednarodnih naložb, skupaj z velikim zaseb</w:t>
            </w:r>
            <w:r>
              <w:rPr>
                <w:rFonts w:ascii="Times New Roman" w:hAnsi="Times New Roman"/>
                <w:noProof/>
              </w:rPr>
              <w:t>nim ali javnim dolgom, ki predstavlja tveganja. Poleg tega so države, ki jih obremenjuje visok dolg, na splošno tudi tiste, ki se lahko razmeroma manj zanašajo na rast potencialnega proizvoda za zmanjšanje deleža dolga, kar pomeni, da bodo možnosti za upor</w:t>
            </w:r>
            <w:r>
              <w:rPr>
                <w:rFonts w:ascii="Times New Roman" w:hAnsi="Times New Roman"/>
                <w:noProof/>
              </w:rPr>
              <w:t xml:space="preserve">abo zasebnih in javnih prihrankov za ublažitev negativnih šokov za gospodarsko rast verjetno omejene (graf B.6). </w:t>
            </w:r>
          </w:p>
          <w:p w:rsidR="00BB7D09" w:rsidRDefault="00A35831">
            <w:pPr>
              <w:spacing w:after="120"/>
              <w:jc w:val="both"/>
              <w:rPr>
                <w:rFonts w:ascii="Times New Roman" w:hAnsi="Times New Roman" w:cs="Times New Roman"/>
                <w:noProof/>
              </w:rPr>
            </w:pPr>
            <w:r>
              <w:rPr>
                <w:rFonts w:ascii="Times New Roman" w:hAnsi="Times New Roman"/>
                <w:b/>
                <w:noProof/>
              </w:rPr>
              <w:t>Simetrično uravnoteženje v euroobmočju bi pripomoglo k obnovitvi trajnostne rasti ob hkratnem zagotavljanju makroekonomske stabilnosti v priho</w:t>
            </w:r>
            <w:r>
              <w:rPr>
                <w:rFonts w:ascii="Times New Roman" w:hAnsi="Times New Roman"/>
                <w:b/>
                <w:noProof/>
              </w:rPr>
              <w:t>dnosti</w:t>
            </w:r>
            <w:r>
              <w:rPr>
                <w:rFonts w:ascii="Times New Roman" w:hAnsi="Times New Roman"/>
                <w:noProof/>
              </w:rPr>
              <w:t>. Potrebna je ustrezna kombinacija politik za zagotovitev, da bo rast v prihodnje vzdržna in skladna z makroekonomsko stabilnostjo. V neto dolžnicah je za zmanjšanje velikega obsega tujih in domačih dolgov treba ohraniti preudarne salde tekočih račun</w:t>
            </w:r>
            <w:r>
              <w:rPr>
                <w:rFonts w:ascii="Times New Roman" w:hAnsi="Times New Roman"/>
                <w:noProof/>
              </w:rPr>
              <w:t>ov in zagotoviti ustrezno hitrost zmanjševanja dolgov ob ohranjanju cilja povečanja potenciala za rast z ustreznimi naložbami in reformami in preprečevanju tveganja prociklične zaostritve v času slabih gospodarskih razmer. Povečanje obetov glede produktivn</w:t>
            </w:r>
            <w:r>
              <w:rPr>
                <w:rFonts w:ascii="Times New Roman" w:hAnsi="Times New Roman"/>
                <w:noProof/>
              </w:rPr>
              <w:t>osti je zlasti potrebno v neto dolžnicah, v katerih je treba zagotoviti vzdržnost dolgov in tak razvoj relativne konkurenčnosti, ki bolj podpira ponovno uravnoteženje, saj se je naraščanje relativne konkurenčnosti neto dolžnic, ki se je začelo leta 2012, n</w:t>
            </w:r>
            <w:r>
              <w:rPr>
                <w:rFonts w:ascii="Times New Roman" w:hAnsi="Times New Roman"/>
                <w:noProof/>
              </w:rPr>
              <w:t>edavno začelo umirjati (graf B.5). Na drugi strani bi politike za spodbujanje naložb in obravnavanje stagniranja plač pomagale pri odpravljanju vztrajno velikih presežkov v neto upnicah, hkrati pa prispevale k podpiranju potenciala za rast in k temu, da bo</w:t>
            </w:r>
            <w:r>
              <w:rPr>
                <w:rFonts w:ascii="Times New Roman" w:hAnsi="Times New Roman"/>
                <w:noProof/>
              </w:rPr>
              <w:t>do obeti za rast manj odvisni od tujega povpraševanja.</w:t>
            </w:r>
          </w:p>
          <w:tbl>
            <w:tblPr>
              <w:tblW w:w="9214" w:type="dxa"/>
              <w:tblLayout w:type="fixed"/>
              <w:tblLook w:val="04A0" w:firstRow="1" w:lastRow="0" w:firstColumn="1" w:lastColumn="0" w:noHBand="0" w:noVBand="1"/>
            </w:tblPr>
            <w:tblGrid>
              <w:gridCol w:w="4536"/>
              <w:gridCol w:w="4429"/>
              <w:gridCol w:w="249"/>
            </w:tblGrid>
            <w:tr w:rsidR="00BB7D09">
              <w:tc>
                <w:tcPr>
                  <w:tcW w:w="4536" w:type="dxa"/>
                </w:tcPr>
                <w:p w:rsidR="00BB7D09" w:rsidRDefault="00A35831">
                  <w:pPr>
                    <w:jc w:val="both"/>
                    <w:rPr>
                      <w:rFonts w:ascii="Times New Roman" w:hAnsi="Times New Roman" w:cs="Times New Roman"/>
                      <w:b/>
                      <w:noProof/>
                    </w:rPr>
                  </w:pPr>
                  <w:r>
                    <w:rPr>
                      <w:rFonts w:ascii="Times New Roman" w:hAnsi="Times New Roman"/>
                      <w:b/>
                      <w:noProof/>
                    </w:rPr>
                    <w:t>Graf B.5: Ponovno uravnoteženje v euroobmočju (gibanje brezposelnosti, plač in stroškov dela na enoto)</w:t>
                  </w:r>
                </w:p>
              </w:tc>
              <w:tc>
                <w:tcPr>
                  <w:tcW w:w="4429" w:type="dxa"/>
                </w:tcPr>
                <w:p w:rsidR="00BB7D09" w:rsidRDefault="00A35831">
                  <w:pPr>
                    <w:jc w:val="both"/>
                    <w:rPr>
                      <w:rFonts w:ascii="Times New Roman" w:hAnsi="Times New Roman" w:cs="Times New Roman"/>
                      <w:b/>
                      <w:noProof/>
                    </w:rPr>
                  </w:pPr>
                  <w:r>
                    <w:rPr>
                      <w:rFonts w:ascii="Times New Roman" w:hAnsi="Times New Roman"/>
                      <w:b/>
                      <w:noProof/>
                    </w:rPr>
                    <w:t>Graf B.6: Dolg in obeti za potencialno rast v državah euroobmočja</w:t>
                  </w:r>
                </w:p>
              </w:tc>
              <w:tc>
                <w:tcPr>
                  <w:tcW w:w="249" w:type="dxa"/>
                </w:tcPr>
                <w:p w:rsidR="00BB7D09" w:rsidRDefault="00BB7D09">
                  <w:pPr>
                    <w:jc w:val="both"/>
                    <w:rPr>
                      <w:rFonts w:ascii="Times New Roman" w:hAnsi="Times New Roman" w:cs="Times New Roman"/>
                      <w:b/>
                      <w:noProof/>
                    </w:rPr>
                  </w:pPr>
                </w:p>
              </w:tc>
            </w:tr>
            <w:tr w:rsidR="00BB7D09">
              <w:tc>
                <w:tcPr>
                  <w:tcW w:w="4536" w:type="dxa"/>
                </w:tcPr>
                <w:tbl>
                  <w:tblPr>
                    <w:tblW w:w="4423" w:type="dxa"/>
                    <w:tblLayout w:type="fixed"/>
                    <w:tblLook w:val="04A0" w:firstRow="1" w:lastRow="0" w:firstColumn="1" w:lastColumn="0" w:noHBand="0" w:noVBand="1"/>
                  </w:tblPr>
                  <w:tblGrid>
                    <w:gridCol w:w="4423"/>
                  </w:tblGrid>
                  <w:tr w:rsidR="00BB7D09">
                    <w:tc>
                      <w:tcPr>
                        <w:tcW w:w="4423" w:type="dxa"/>
                        <w:tcBorders>
                          <w:top w:val="nil"/>
                          <w:left w:val="nil"/>
                          <w:bottom w:val="nil"/>
                          <w:right w:val="nil"/>
                        </w:tcBorders>
                      </w:tcPr>
                      <w:p w:rsidR="00BB7D09" w:rsidRDefault="00A35831">
                        <w:pPr>
                          <w:ind w:right="113"/>
                          <w:rPr>
                            <w:noProof/>
                          </w:rPr>
                        </w:pPr>
                        <w:r>
                          <w:rPr>
                            <w:noProof/>
                            <w:lang w:val="fr-BE" w:eastAsia="fr-BE" w:bidi="ar-SA"/>
                          </w:rPr>
                          <w:drawing>
                            <wp:inline distT="0" distB="0" distL="0" distR="0">
                              <wp:extent cx="2667000" cy="2466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p>
                    </w:tc>
                  </w:tr>
                </w:tbl>
                <w:p w:rsidR="00BB7D09" w:rsidRDefault="00BB7D09">
                  <w:pPr>
                    <w:jc w:val="both"/>
                    <w:rPr>
                      <w:rFonts w:ascii="Times New Roman" w:hAnsi="Times New Roman" w:cs="Times New Roman"/>
                      <w:noProof/>
                    </w:rPr>
                  </w:pPr>
                </w:p>
              </w:tc>
              <w:tc>
                <w:tcPr>
                  <w:tcW w:w="4429" w:type="dxa"/>
                </w:tcPr>
                <w:p w:rsidR="00BB7D09" w:rsidRDefault="00A35831">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676525" cy="2400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a:noFill/>
                                </a:ln>
                              </pic:spPr>
                            </pic:pic>
                          </a:graphicData>
                        </a:graphic>
                      </wp:inline>
                    </w:drawing>
                  </w:r>
                </w:p>
              </w:tc>
              <w:tc>
                <w:tcPr>
                  <w:tcW w:w="249" w:type="dxa"/>
                </w:tcPr>
                <w:p w:rsidR="00BB7D09" w:rsidRDefault="00BB7D09">
                  <w:pPr>
                    <w:jc w:val="both"/>
                    <w:rPr>
                      <w:rFonts w:ascii="Times New Roman" w:hAnsi="Times New Roman" w:cs="Times New Roman"/>
                      <w:noProof/>
                    </w:rPr>
                  </w:pPr>
                </w:p>
              </w:tc>
            </w:tr>
            <w:tr w:rsidR="00BB7D09">
              <w:trPr>
                <w:gridAfter w:val="1"/>
                <w:wAfter w:w="249" w:type="dxa"/>
              </w:trPr>
              <w:tc>
                <w:tcPr>
                  <w:tcW w:w="4536" w:type="dxa"/>
                </w:tcPr>
                <w:p w:rsidR="00BB7D09" w:rsidRDefault="00A35831">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w:t>
                  </w:r>
                </w:p>
                <w:p w:rsidR="00BB7D09" w:rsidRDefault="00A35831">
                  <w:pPr>
                    <w:jc w:val="both"/>
                    <w:rPr>
                      <w:rFonts w:ascii="Times New Roman" w:hAnsi="Times New Roman" w:cs="Times New Roman"/>
                      <w:noProof/>
                      <w:sz w:val="20"/>
                    </w:rPr>
                  </w:pPr>
                  <w:r>
                    <w:rPr>
                      <w:rFonts w:ascii="Times New Roman" w:hAnsi="Times New Roman"/>
                      <w:i/>
                      <w:noProof/>
                      <w:sz w:val="20"/>
                    </w:rPr>
                    <w:t>Opomba:</w:t>
                  </w:r>
                  <w:r>
                    <w:rPr>
                      <w:rFonts w:ascii="Times New Roman" w:hAnsi="Times New Roman"/>
                      <w:noProof/>
                      <w:sz w:val="20"/>
                    </w:rPr>
                    <w:t xml:space="preserve"> države s „presežkom“ so Avstrija, Belgija, Finska, Nemčija, Luksemburg in Nizozemska; vse druge trenutne članice euroobmočja veljajo za države s „primanjkljajem“. </w:t>
                  </w:r>
                </w:p>
              </w:tc>
              <w:tc>
                <w:tcPr>
                  <w:tcW w:w="4429" w:type="dxa"/>
                </w:tcPr>
                <w:p w:rsidR="00BB7D09" w:rsidRDefault="00A35831">
                  <w:pPr>
                    <w:jc w:val="both"/>
                    <w:rPr>
                      <w:rFonts w:ascii="Times New Roman" w:hAnsi="Times New Roman" w:cs="Times New Roman"/>
                      <w:noProof/>
                      <w:sz w:val="20"/>
                    </w:rPr>
                  </w:pPr>
                  <w:r>
                    <w:rPr>
                      <w:rFonts w:ascii="Times New Roman" w:hAnsi="Times New Roman"/>
                      <w:i/>
                      <w:noProof/>
                      <w:sz w:val="20"/>
                    </w:rPr>
                    <w:t>Vir:</w:t>
                  </w:r>
                  <w:r>
                    <w:rPr>
                      <w:rFonts w:ascii="Times New Roman" w:hAnsi="Times New Roman"/>
                      <w:noProof/>
                      <w:sz w:val="20"/>
                    </w:rPr>
                    <w:t xml:space="preserve"> AMECO.</w:t>
                  </w:r>
                  <w:r>
                    <w:rPr>
                      <w:rFonts w:ascii="Times New Roman" w:hAnsi="Times New Roman"/>
                      <w:noProof/>
                    </w:rPr>
                    <w:t xml:space="preserve"> </w:t>
                  </w:r>
                </w:p>
                <w:p w:rsidR="00BB7D09" w:rsidRDefault="00A35831">
                  <w:pPr>
                    <w:jc w:val="both"/>
                    <w:rPr>
                      <w:rFonts w:ascii="Times New Roman" w:hAnsi="Times New Roman" w:cs="Times New Roman"/>
                      <w:noProof/>
                      <w:sz w:val="20"/>
                    </w:rPr>
                  </w:pPr>
                  <w:r>
                    <w:rPr>
                      <w:rFonts w:ascii="Times New Roman" w:hAnsi="Times New Roman"/>
                      <w:i/>
                      <w:noProof/>
                      <w:sz w:val="20"/>
                    </w:rPr>
                    <w:t>Opomba:</w:t>
                  </w:r>
                  <w:r>
                    <w:rPr>
                      <w:rFonts w:ascii="Times New Roman" w:hAnsi="Times New Roman"/>
                      <w:noProof/>
                      <w:sz w:val="20"/>
                    </w:rPr>
                    <w:t xml:space="preserve"> velikost mehurčkov predstavlja vrednost javnega dolga (v % BDP) v letu</w:t>
                  </w:r>
                  <w:r>
                    <w:rPr>
                      <w:rFonts w:ascii="Times New Roman" w:hAnsi="Times New Roman"/>
                      <w:noProof/>
                      <w:sz w:val="20"/>
                    </w:rPr>
                    <w:t xml:space="preserve"> 2017.</w:t>
                  </w:r>
                </w:p>
              </w:tc>
            </w:tr>
          </w:tbl>
          <w:p w:rsidR="00BB7D09" w:rsidRDefault="00BB7D09">
            <w:pPr>
              <w:jc w:val="both"/>
              <w:rPr>
                <w:rFonts w:ascii="Times New Roman" w:hAnsi="Times New Roman" w:cs="Times New Roman"/>
                <w:b/>
                <w:noProof/>
              </w:rPr>
            </w:pPr>
          </w:p>
        </w:tc>
      </w:tr>
    </w:tbl>
    <w:p w:rsidR="00BB7D09" w:rsidRDefault="00BB7D09">
      <w:pPr>
        <w:rPr>
          <w:rFonts w:ascii="Times New Roman" w:eastAsia="Times New Roman" w:hAnsi="Times New Roman" w:cs="Times New Roman"/>
          <w:b/>
          <w:noProof/>
        </w:rPr>
      </w:pPr>
    </w:p>
    <w:p w:rsidR="00BB7D09" w:rsidRDefault="00A35831">
      <w:pPr>
        <w:rPr>
          <w:rFonts w:ascii="Times New Roman" w:eastAsia="Times New Roman" w:hAnsi="Times New Roman" w:cs="Times New Roman"/>
          <w:b/>
          <w:noProof/>
        </w:rPr>
      </w:pPr>
      <w:r>
        <w:rPr>
          <w:noProof/>
        </w:rPr>
        <w:br w:type="page"/>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Deleži dolga zasebnega sektorja postopoma padajo, vendar so še vedno visoki v vrsti držav članic.</w:t>
      </w:r>
      <w:r>
        <w:rPr>
          <w:rFonts w:ascii="Times New Roman" w:hAnsi="Times New Roman"/>
          <w:noProof/>
        </w:rPr>
        <w:t xml:space="preserve"> Dvanajst držav članic je v letu 2017 preseglo prag iz preglednice glede zasebnega dolga, in sicer iste države kot v lanskem poročilu o mehanizmu opozarjanja. Deleži zasebnega dolga so največji na Cipru, Irskem, v Luksemburgu in na Nizozemskem, čeprav na n</w:t>
      </w:r>
      <w:r>
        <w:rPr>
          <w:rFonts w:ascii="Times New Roman" w:hAnsi="Times New Roman"/>
          <w:noProof/>
        </w:rPr>
        <w:t>jihove podatke vplivajo čezmejne transakcije, povezane z dejavnostmi multinacionalnih družb. Izrazito visoke ravni zasebnega dolga so zabeležene tudi v Belgiji, na Danskem, Portugalskem, Švedskem in v Združenem kraljestvu, pri čemer zasebni dolg presega 16</w:t>
      </w:r>
      <w:r>
        <w:rPr>
          <w:rFonts w:ascii="Times New Roman" w:hAnsi="Times New Roman"/>
          <w:noProof/>
        </w:rPr>
        <w:t>0 % BDP. Relativni prispevek gospodinjstev in nefinančnih družb k visokim stopnjam zasebnega dolga se med državami članicami razlikuje.</w:t>
      </w:r>
      <w:r>
        <w:rPr>
          <w:rFonts w:ascii="Times New Roman" w:hAnsi="Times New Roman"/>
          <w:b/>
          <w:noProof/>
        </w:rPr>
        <w:t xml:space="preserve"> </w:t>
      </w:r>
      <w:r>
        <w:rPr>
          <w:rFonts w:ascii="Times New Roman" w:hAnsi="Times New Roman"/>
          <w:noProof/>
        </w:rPr>
        <w:t>V Belgiji, na Irskem in v Luksemburgu se lahko visok delež skupnega zasebnega dolga pripiše predvsem zadolženosti nefina</w:t>
      </w:r>
      <w:r>
        <w:rPr>
          <w:rFonts w:ascii="Times New Roman" w:hAnsi="Times New Roman"/>
          <w:noProof/>
        </w:rPr>
        <w:t>nčnih družb. Nasprotno pa je na Danskem in v Združenem kraljestvu za velik delež zasebnega dolga odgovoren sektor gospodinjstev. Ciper, Nizozemska, Švedska in Portugalska imajo razmeroma visoke stopnje dolga tako v podjetniškem sektorju kot tudi pri gospod</w:t>
      </w:r>
      <w:r>
        <w:rPr>
          <w:rFonts w:ascii="Times New Roman" w:hAnsi="Times New Roman"/>
          <w:noProof/>
        </w:rPr>
        <w:t xml:space="preserve">injstvih. </w:t>
      </w:r>
      <w:r>
        <w:rPr>
          <w:noProof/>
        </w:rPr>
        <w:t xml:space="preserve">Razlike v dolgu med državami se lahko v veliki meri pojasnijo z razlikami v temeljnih dejavnikih, ki upravičujejo akumulacijo dolga, vključno z obeti za rast in naložbe, ter finančnim razvojem. Pri oceni ravni dolga bi bilo zato treba upoštevati </w:t>
      </w:r>
      <w:r>
        <w:rPr>
          <w:noProof/>
        </w:rPr>
        <w:t>te dejavnike, pa tudi druge elemente, ki vplivajo na tveganja, ki jih predstavljajo visoki dolgovi z vidika prihodnosti</w:t>
      </w:r>
      <w:r>
        <w:rPr>
          <w:rStyle w:val="FootnoteReference"/>
          <w:noProof/>
        </w:rPr>
        <w:footnoteReference w:id="30"/>
      </w:r>
      <w:r>
        <w:rPr>
          <w:noProof/>
        </w:rPr>
        <w:t>.</w:t>
      </w:r>
    </w:p>
    <w:p w:rsidR="00BB7D09" w:rsidRDefault="00BB7D09">
      <w:pPr>
        <w:keepNext/>
        <w:spacing w:before="120" w:after="120"/>
        <w:jc w:val="center"/>
        <w:rPr>
          <w:rFonts w:ascii="Times New Roman" w:eastAsia="MS Mincho" w:hAnsi="Times New Roman" w:cs="Times New Roman"/>
          <w:b/>
          <w:bCs/>
          <w:noProof/>
        </w:rPr>
      </w:pP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Graf 11: Potek razdolževanja nefinančnih družb</w:t>
      </w:r>
    </w:p>
    <w:p w:rsidR="00BB7D09" w:rsidRDefault="00A35831">
      <w:pPr>
        <w:keepNext/>
        <w:spacing w:after="0"/>
        <w:jc w:val="center"/>
        <w:rPr>
          <w:rFonts w:ascii="Times New Roman" w:eastAsia="MS Mincho" w:hAnsi="Times New Roman" w:cs="Times New Roman"/>
          <w:b/>
          <w:bCs/>
          <w:noProof/>
        </w:rPr>
      </w:pPr>
      <w:r>
        <w:rPr>
          <w:noProof/>
          <w:lang w:val="fr-BE" w:eastAsia="fr-BE" w:bidi="ar-SA"/>
        </w:rPr>
        <w:drawing>
          <wp:inline distT="0" distB="0" distL="0" distR="0">
            <wp:extent cx="5124450" cy="3209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209925"/>
                    </a:xfrm>
                    <a:prstGeom prst="rect">
                      <a:avLst/>
                    </a:prstGeom>
                    <a:noFill/>
                    <a:ln>
                      <a:noFill/>
                    </a:ln>
                  </pic:spPr>
                </pic:pic>
              </a:graphicData>
            </a:graphic>
          </wp:inline>
        </w:drawing>
      </w:r>
    </w:p>
    <w:p w:rsidR="00BB7D09" w:rsidRDefault="00A3583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Konsolidirani letni sektorski računi Eurostata, izračuni služb Komisije.</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predstavljene v padajočem vrstnem redu glede na delež dolga v BDP v letu 2017. Številke pod oznakami držav označujejo leto z najvišjo ravnjo. Povečanje do najvišje ravni je bilo izračunano glede na začetno leto, ki ni bilo leto 2000, za H</w:t>
      </w:r>
      <w:r>
        <w:rPr>
          <w:rFonts w:ascii="Times New Roman" w:hAnsi="Times New Roman"/>
          <w:noProof/>
          <w:sz w:val="20"/>
        </w:rPr>
        <w:t>rvaško in Irsko (2001) ter Ciper (2006). Prikazi za LU, IE, BE so bili skrajšani, da ustrezajo merilu.</w:t>
      </w:r>
    </w:p>
    <w:p w:rsidR="00BB7D09" w:rsidRDefault="00A35831">
      <w:pPr>
        <w:keepNext/>
        <w:spacing w:before="120" w:after="120"/>
        <w:jc w:val="center"/>
        <w:rPr>
          <w:rFonts w:ascii="Times New Roman" w:eastAsia="MS Mincho" w:hAnsi="Times New Roman" w:cs="Times New Roman"/>
          <w:b/>
          <w:bCs/>
          <w:noProof/>
        </w:rPr>
      </w:pPr>
      <w:r>
        <w:rPr>
          <w:rFonts w:ascii="Times New Roman" w:hAnsi="Times New Roman"/>
          <w:b/>
          <w:noProof/>
        </w:rPr>
        <w:t>Graf 12: Potek razdolževanja gospodinjstev</w:t>
      </w:r>
    </w:p>
    <w:p w:rsidR="00BB7D09" w:rsidRDefault="00A35831">
      <w:pPr>
        <w:keepNext/>
        <w:spacing w:before="120" w:after="120"/>
        <w:jc w:val="center"/>
        <w:rPr>
          <w:rFonts w:ascii="Times New Roman" w:eastAsia="MS Mincho" w:hAnsi="Times New Roman" w:cs="Times New Roman"/>
          <w:b/>
          <w:bCs/>
          <w:noProof/>
        </w:rPr>
      </w:pPr>
      <w:r>
        <w:rPr>
          <w:noProof/>
          <w:lang w:val="fr-BE" w:eastAsia="fr-BE" w:bidi="ar-SA"/>
        </w:rPr>
        <w:drawing>
          <wp:inline distT="0" distB="0" distL="0" distR="0">
            <wp:extent cx="4962525" cy="3058838"/>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2525" cy="3058838"/>
                    </a:xfrm>
                    <a:prstGeom prst="rect">
                      <a:avLst/>
                    </a:prstGeom>
                    <a:noFill/>
                    <a:ln>
                      <a:noFill/>
                    </a:ln>
                  </pic:spPr>
                </pic:pic>
              </a:graphicData>
            </a:graphic>
          </wp:inline>
        </w:drawing>
      </w:r>
    </w:p>
    <w:p w:rsidR="00BB7D09" w:rsidRDefault="00A3583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w:t>
      </w:r>
      <w:r>
        <w:rPr>
          <w:rFonts w:ascii="Times New Roman" w:hAnsi="Times New Roman"/>
          <w:noProof/>
          <w:sz w:val="20"/>
        </w:rPr>
        <w:t xml:space="preserve"> Konsolidirani letni sektorski računi Eurostata, izračuni služb Komisije.</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Opomba:</w:t>
      </w:r>
      <w:r>
        <w:rPr>
          <w:rFonts w:ascii="Times New Roman" w:hAnsi="Times New Roman"/>
          <w:noProof/>
          <w:sz w:val="20"/>
        </w:rPr>
        <w:t xml:space="preserve"> države so predstavljen</w:t>
      </w:r>
      <w:r>
        <w:rPr>
          <w:rFonts w:ascii="Times New Roman" w:hAnsi="Times New Roman"/>
          <w:noProof/>
          <w:sz w:val="20"/>
        </w:rPr>
        <w:t xml:space="preserve">e v padajočem vrstnem redu glede na delež dolga v BDP v letu 2017. Številke pod oznakami držav označujejo leto z najvišjo ravnjo. Povečanje do najvišje ravni je bilo izračunano glede na začetno leto, ki ni bilo leto 2000, za Hrvaško in Irsko (2001). </w:t>
      </w:r>
    </w:p>
    <w:p w:rsidR="00BB7D09" w:rsidRDefault="00BB7D09">
      <w:pPr>
        <w:spacing w:before="120" w:after="120"/>
        <w:jc w:val="both"/>
        <w:rPr>
          <w:rFonts w:ascii="Times New Roman" w:eastAsia="Times New Roman" w:hAnsi="Times New Roman" w:cs="Times New Roman"/>
          <w:b/>
          <w:noProof/>
          <w:sz w:val="24"/>
          <w:szCs w:val="24"/>
        </w:rPr>
      </w:pP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Dele</w:t>
      </w:r>
      <w:r>
        <w:rPr>
          <w:rFonts w:ascii="Times New Roman" w:hAnsi="Times New Roman"/>
          <w:b/>
          <w:noProof/>
        </w:rPr>
        <w:t>ži zasebnega dolga v BDP se zmanjšujejo z najvišje dosežene ravni v večini držav članic, in sicer s hitrostjo, ki ni vedno v skladu s potrebami po razdolževanju</w:t>
      </w:r>
      <w:r>
        <w:rPr>
          <w:rFonts w:ascii="Times New Roman" w:hAnsi="Times New Roman"/>
          <w:noProof/>
        </w:rPr>
        <w:t>. Razdolževanje se je začelo najprej v nefinančnih družbah in je bilo hitrejše v primerjavi s ti</w:t>
      </w:r>
      <w:r>
        <w:rPr>
          <w:rFonts w:ascii="Times New Roman" w:hAnsi="Times New Roman"/>
          <w:noProof/>
        </w:rPr>
        <w:t>stim v sektorju gospodinjstev zaradi bolj negativnih neto kreditnih tokov v podjetniškem sektorju in zaradi močnejšega učinka nominalne rasti pri zmanjšanju deleža dolga v BDP glede na večji obseg deleža dolga</w:t>
      </w:r>
      <w:r>
        <w:rPr>
          <w:noProof/>
        </w:rPr>
        <w:t xml:space="preserve"> podjetij v primerjavi z gospodinjstvi</w:t>
      </w:r>
      <w:r>
        <w:rPr>
          <w:rFonts w:ascii="Times New Roman" w:hAnsi="Times New Roman"/>
          <w:noProof/>
        </w:rPr>
        <w:t xml:space="preserve">. </w:t>
      </w:r>
    </w:p>
    <w:p w:rsidR="00BB7D09" w:rsidRDefault="00A35831">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V štev</w:t>
      </w:r>
      <w:r>
        <w:rPr>
          <w:rFonts w:ascii="Times New Roman" w:hAnsi="Times New Roman"/>
          <w:noProof/>
        </w:rPr>
        <w:t xml:space="preserve">ilnih državah so </w:t>
      </w:r>
      <w:r>
        <w:rPr>
          <w:rFonts w:ascii="Times New Roman" w:hAnsi="Times New Roman"/>
          <w:b/>
          <w:noProof/>
        </w:rPr>
        <w:t>nefinančne družbe</w:t>
      </w:r>
      <w:r>
        <w:rPr>
          <w:rFonts w:ascii="Times New Roman" w:hAnsi="Times New Roman"/>
          <w:noProof/>
        </w:rPr>
        <w:t xml:space="preserve"> uspele približno vsaj za polovico zmanjšati delež dolga v BDP, ki se je nakopičil med letom 2000 in letom, v katerem je dosegel najvišjo raven (Hrvaška, Danska, Estonija, Madžarska, Italija, Latvija, Litva, Portugalska, Romunija, Slovenija, Španija, Šveds</w:t>
      </w:r>
      <w:r>
        <w:rPr>
          <w:rFonts w:ascii="Times New Roman" w:hAnsi="Times New Roman"/>
          <w:noProof/>
        </w:rPr>
        <w:t>ka in Združeno kraljestvo). Vendar hitrost razdolževanja ni bila vedno skladna s potrebami po razdolževanju, saj je bilo v štirih državah z nekaterimi najvišjimi deleži podjetniškega dolga (Luksemburg, Irska, Ciper, Nizozemska in Belgija) razdolževanje pod</w:t>
      </w:r>
      <w:r>
        <w:rPr>
          <w:rFonts w:ascii="Times New Roman" w:hAnsi="Times New Roman"/>
          <w:noProof/>
        </w:rPr>
        <w:t xml:space="preserve">jetij skromno glede na zadolženost, medtem ko se je delež dolga nefinančnih družb v Franciji še naprej povečeval (graf 11). </w:t>
      </w:r>
    </w:p>
    <w:p w:rsidR="00BB7D09" w:rsidRDefault="00A35831">
      <w:pPr>
        <w:pStyle w:val="ListParagraph"/>
        <w:numPr>
          <w:ilvl w:val="0"/>
          <w:numId w:val="24"/>
        </w:numPr>
        <w:spacing w:before="120" w:after="120"/>
        <w:jc w:val="both"/>
        <w:rPr>
          <w:rFonts w:ascii="Times New Roman" w:eastAsia="Times New Roman" w:hAnsi="Times New Roman" w:cs="Times New Roman"/>
          <w:b/>
          <w:noProof/>
        </w:rPr>
      </w:pPr>
      <w:r>
        <w:rPr>
          <w:noProof/>
        </w:rPr>
        <w:t xml:space="preserve">Delež zadolženosti </w:t>
      </w:r>
      <w:r>
        <w:rPr>
          <w:rFonts w:ascii="Times New Roman" w:hAnsi="Times New Roman"/>
          <w:b/>
          <w:noProof/>
        </w:rPr>
        <w:t>gospodinjstev</w:t>
      </w:r>
      <w:r>
        <w:rPr>
          <w:rFonts w:ascii="Times New Roman" w:hAnsi="Times New Roman"/>
          <w:noProof/>
        </w:rPr>
        <w:t xml:space="preserve"> se je v zadnjih dveh letih zmanjšal v treh državah članicah, kjer so gospodinjstva najbolj zadolže</w:t>
      </w:r>
      <w:r>
        <w:rPr>
          <w:rFonts w:ascii="Times New Roman" w:hAnsi="Times New Roman"/>
          <w:noProof/>
        </w:rPr>
        <w:t>na (Ciper, Danska in Nizozemska), pa tudi v drugih državah z visokim dolgom, na primer Grčiji, Portugalski in Španiji (graf 12). V Združenem kraljestvu se je razdolževanje gospodinjstev zaustavilo, relativno visoka deleža dolga na Finskem in Švedskem pa st</w:t>
      </w:r>
      <w:r>
        <w:rPr>
          <w:rFonts w:ascii="Times New Roman" w:hAnsi="Times New Roman"/>
          <w:noProof/>
        </w:rPr>
        <w:t>a se še naprej povečevala.</w:t>
      </w:r>
    </w:p>
    <w:p w:rsidR="00BB7D09" w:rsidRDefault="00A35831">
      <w:pPr>
        <w:rPr>
          <w:noProof/>
        </w:rPr>
      </w:pPr>
      <w:r>
        <w:rPr>
          <w:noProof/>
        </w:rPr>
        <w:br w:type="page"/>
      </w:r>
    </w:p>
    <w:tbl>
      <w:tblPr>
        <w:tblW w:w="0" w:type="auto"/>
        <w:tblLook w:val="04A0" w:firstRow="1" w:lastRow="0" w:firstColumn="1" w:lastColumn="0" w:noHBand="0" w:noVBand="1"/>
      </w:tblPr>
      <w:tblGrid>
        <w:gridCol w:w="4659"/>
        <w:gridCol w:w="4629"/>
      </w:tblGrid>
      <w:tr w:rsidR="00BB7D09">
        <w:tc>
          <w:tcPr>
            <w:tcW w:w="4644" w:type="dxa"/>
          </w:tcPr>
          <w:p w:rsidR="00BB7D09" w:rsidRDefault="00A35831">
            <w:pPr>
              <w:spacing w:before="120" w:after="120"/>
              <w:jc w:val="both"/>
              <w:rPr>
                <w:rFonts w:ascii="Times New Roman" w:eastAsia="Times New Roman" w:hAnsi="Times New Roman" w:cs="Times New Roman"/>
                <w:noProof/>
                <w:sz w:val="24"/>
                <w:szCs w:val="24"/>
              </w:rPr>
            </w:pPr>
            <w:r>
              <w:rPr>
                <w:rFonts w:ascii="Times New Roman" w:hAnsi="Times New Roman"/>
                <w:b/>
                <w:noProof/>
              </w:rPr>
              <w:t>Graf 13: Razčlenitev sprememb deleža dolga v BDP pri nefinančnih družbah (prvo četrtletje leta 2018)</w:t>
            </w:r>
          </w:p>
        </w:tc>
        <w:tc>
          <w:tcPr>
            <w:tcW w:w="4644" w:type="dxa"/>
          </w:tcPr>
          <w:p w:rsidR="00BB7D09" w:rsidRDefault="00A35831">
            <w:pPr>
              <w:keepNext/>
              <w:spacing w:before="120" w:after="120"/>
              <w:jc w:val="both"/>
              <w:rPr>
                <w:rFonts w:ascii="Times New Roman" w:eastAsia="MS Mincho" w:hAnsi="Times New Roman" w:cs="Times New Roman"/>
                <w:b/>
                <w:bCs/>
                <w:noProof/>
              </w:rPr>
            </w:pPr>
            <w:r>
              <w:rPr>
                <w:rFonts w:ascii="Times New Roman" w:hAnsi="Times New Roman"/>
                <w:b/>
                <w:noProof/>
              </w:rPr>
              <w:t>Graf 14: Razčlenitev sprememb deleža dolga v BDP pri gospodinjstvih (prvo četrtletje leta 2018)</w:t>
            </w:r>
          </w:p>
        </w:tc>
      </w:tr>
      <w:tr w:rsidR="00BB7D09">
        <w:tc>
          <w:tcPr>
            <w:tcW w:w="4644" w:type="dxa"/>
          </w:tcPr>
          <w:p w:rsidR="00BB7D09" w:rsidRDefault="00A35831">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fr-BE" w:eastAsia="fr-BE" w:bidi="ar-SA"/>
              </w:rPr>
              <w:drawing>
                <wp:inline distT="0" distB="0" distL="0" distR="0">
                  <wp:extent cx="2847975" cy="2990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BB7D09" w:rsidRDefault="00A35831">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fr-BE" w:eastAsia="fr-BE" w:bidi="ar-SA"/>
              </w:rPr>
              <w:drawing>
                <wp:inline distT="0" distB="0" distL="0" distR="0">
                  <wp:extent cx="2838450" cy="2990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rsidR="00BB7D09" w:rsidRDefault="00A3583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Viri:</w:t>
      </w:r>
      <w:r>
        <w:rPr>
          <w:rFonts w:ascii="Times New Roman" w:hAnsi="Times New Roman"/>
          <w:noProof/>
          <w:sz w:val="20"/>
        </w:rPr>
        <w:t xml:space="preserve"> nekonsolidirani četrtletni sektorski računi Eurostata, izračuni služb Komisije.</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Opombe:</w:t>
      </w:r>
      <w:r>
        <w:rPr>
          <w:rFonts w:ascii="Times New Roman" w:hAnsi="Times New Roman"/>
          <w:noProof/>
          <w:sz w:val="20"/>
        </w:rPr>
        <w:t xml:space="preserve"> v grafih je predstavljena razčlenitev medletnega razvoja nekonsolidiranega razmerja med dolgom in BDP na pet komponent: kreditne tokove, potencialno in ciklično realno</w:t>
      </w:r>
      <w:r>
        <w:rPr>
          <w:rFonts w:ascii="Times New Roman" w:hAnsi="Times New Roman"/>
          <w:noProof/>
          <w:sz w:val="20"/>
        </w:rPr>
        <w:t xml:space="preserve"> rast BDP, inflacijo in druge spremembe. Ciklična komponenta rasti BDP se izračuna kot razlika med dejansko in potencialno rastjo. Pri aktivnem razdolževanju gre za neto odplačilo dolga (negativni neto kreditni tokovi), kar navadno povzroči nominalno krčen</w:t>
      </w:r>
      <w:r>
        <w:rPr>
          <w:rFonts w:ascii="Times New Roman" w:hAnsi="Times New Roman"/>
          <w:noProof/>
          <w:sz w:val="20"/>
        </w:rPr>
        <w:t xml:space="preserve">je bilance stanja sektorja. Pri pasivnem razdolževanju pa pozitivne neto kreditne tokove odtehta višja nominalna rast BDP, zaradi česar se zmanjša razmerje med dolgom in BDP. </w:t>
      </w:r>
    </w:p>
    <w:p w:rsidR="00BB7D09" w:rsidRDefault="00BB7D09">
      <w:pPr>
        <w:spacing w:before="120" w:after="120"/>
        <w:jc w:val="center"/>
        <w:rPr>
          <w:rFonts w:ascii="Times New Roman" w:eastAsia="Times New Roman" w:hAnsi="Times New Roman" w:cs="Times New Roman"/>
          <w:i/>
          <w:noProof/>
          <w:sz w:val="20"/>
          <w:szCs w:val="20"/>
        </w:rPr>
      </w:pP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Razdolževanje je vse bolj odvisno od višjih stopenj nominalne rasti BDP. </w:t>
      </w:r>
      <w:r>
        <w:rPr>
          <w:rFonts w:ascii="Times New Roman" w:hAnsi="Times New Roman"/>
          <w:noProof/>
        </w:rPr>
        <w:t>Kreditni tokovi v zasebnem sektorju okrevajo, a so še vedno skromni in v letu 2017 ni nobena država članica presegla praga iz preglednice. Nominalna rast BDP je zmanjšala pritisk na aktivno razdolževanje, zaradi česar manj držav beleži negativne kreditne t</w:t>
      </w:r>
      <w:r>
        <w:rPr>
          <w:rFonts w:ascii="Times New Roman" w:hAnsi="Times New Roman"/>
          <w:noProof/>
        </w:rPr>
        <w:t>okove bodisi podjetjem bodisi gospodinjstvom in negativne tokove, ki v povprečju izkazujejo nižjo absolutno vrednost (grafa 13 in 14). Poleg tega so se nekatere države, ki se prej niso razdolževale, začele razdolževati „pasivno“, tj. samo zato, ker nominal</w:t>
      </w:r>
      <w:r>
        <w:rPr>
          <w:rFonts w:ascii="Times New Roman" w:hAnsi="Times New Roman"/>
          <w:noProof/>
        </w:rPr>
        <w:t xml:space="preserve">na rast BDP zmanjšuje deleže dolga v BDP in ker neto kreditni tokovi povečujejo dolg. To velja za Italijo, Avstrijo in Češko, kar zadeva nefinančne družbe, ter Avstrijo, Estonijo in Poljsko, kar zadeva sektor gospodinjstev. Kot je prikazano v grafih 13 in </w:t>
      </w:r>
      <w:r>
        <w:rPr>
          <w:rFonts w:ascii="Times New Roman" w:hAnsi="Times New Roman"/>
          <w:noProof/>
        </w:rPr>
        <w:t xml:space="preserve">14, se za dobršen del nedavnih stopenj nominalne rasti ocenjuje, da je cikličen (npr. na Cipru, v Grčiji, Španiji, na Portugalskem in na Hrvaškem). V prihodnje bodo obeti za nadaljnje pasivno razdolževanje vse bolj odvisni od potenciala za rast, saj se bo </w:t>
      </w:r>
      <w:r>
        <w:rPr>
          <w:rFonts w:ascii="Times New Roman" w:hAnsi="Times New Roman"/>
          <w:noProof/>
        </w:rPr>
        <w:t>ciklična komponenta rasti začela umirjati, ker proizvodne vrzeli postajajo pozitivne v vedno večjem številu držav.</w:t>
      </w:r>
    </w:p>
    <w:p w:rsidR="00BB7D09" w:rsidRDefault="00A35831">
      <w:pPr>
        <w:rPr>
          <w:rFonts w:ascii="Times New Roman" w:eastAsia="Times New Roman" w:hAnsi="Times New Roman" w:cs="Times New Roman"/>
          <w:b/>
          <w:noProof/>
        </w:rPr>
      </w:pPr>
      <w:r>
        <w:rPr>
          <w:noProof/>
        </w:rPr>
        <w:br w:type="page"/>
      </w:r>
    </w:p>
    <w:p w:rsidR="00BB7D09" w:rsidRDefault="00A35831">
      <w:pPr>
        <w:spacing w:before="120" w:after="120"/>
        <w:jc w:val="both"/>
        <w:rPr>
          <w:noProof/>
        </w:rPr>
      </w:pPr>
      <w:r>
        <w:rPr>
          <w:rFonts w:ascii="Times New Roman" w:hAnsi="Times New Roman"/>
          <w:b/>
          <w:noProof/>
        </w:rPr>
        <w:t>Razmere v bančnem sektorju EU se izboljšujejo, vendar se v nekaterih državah banke še naprej soočajo z nizkimi stopnjami dobičkonosnosti in</w:t>
      </w:r>
      <w:r>
        <w:rPr>
          <w:rFonts w:ascii="Times New Roman" w:hAnsi="Times New Roman"/>
          <w:b/>
          <w:noProof/>
        </w:rPr>
        <w:t xml:space="preserve"> visokimi ravnmi slabih posojil. </w:t>
      </w:r>
      <w:r>
        <w:rPr>
          <w:noProof/>
        </w:rPr>
        <w:t>To velja zlasti za Grčijo, Ciper, Italijo in Portugalsko (grafa 15 in 16). Pozitivno je, da je bilo v letu 2017 okrevanje dobičkonosnosti bančnega sektorja v teh državah še posebej močno, zmanjšanje slabih posojil pa je bil</w:t>
      </w:r>
      <w:r>
        <w:rPr>
          <w:noProof/>
        </w:rPr>
        <w:t xml:space="preserve">o pogosto precej obsežno. </w:t>
      </w:r>
    </w:p>
    <w:p w:rsidR="00BB7D09" w:rsidRDefault="00A35831">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Rast obveznosti finančnega sektorja se je v letu 2017 v večini držav EU upočasnila</w:t>
      </w:r>
      <w:r>
        <w:rPr>
          <w:rFonts w:ascii="Times New Roman" w:hAnsi="Times New Roman"/>
          <w:noProof/>
        </w:rPr>
        <w:t xml:space="preserve"> in v vseh razen dveh državah članicah ostaja zanesljivo v okviru praga iz preglednice.</w:t>
      </w:r>
      <w:r>
        <w:rPr>
          <w:noProof/>
          <w:vertAlign w:val="superscript"/>
        </w:rPr>
        <w:footnoteReference w:id="31"/>
      </w:r>
      <w:r>
        <w:rPr>
          <w:rFonts w:ascii="Times New Roman" w:hAnsi="Times New Roman"/>
          <w:noProof/>
        </w:rPr>
        <w:t xml:space="preserve"> Bančni kreditni tokovi so se po predhodnem povečanju v let</w:t>
      </w:r>
      <w:r>
        <w:rPr>
          <w:rFonts w:ascii="Times New Roman" w:hAnsi="Times New Roman"/>
          <w:noProof/>
        </w:rPr>
        <w:t xml:space="preserve">u 2017 umirili, pri čemer je rast bančnih posojil za sektor gospodinjstev močnejša kot za nefinančne družbe. </w:t>
      </w:r>
    </w:p>
    <w:p w:rsidR="00BB7D09" w:rsidRDefault="00A35831">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V večini držav članic so se v preteklem letu izboljšali dobičkonosnost bank in kapitalski deleži</w:t>
      </w:r>
      <w:r>
        <w:rPr>
          <w:rFonts w:ascii="Times New Roman" w:hAnsi="Times New Roman"/>
          <w:noProof/>
        </w:rPr>
        <w:t>. Vrednotenja lastniškega kapitala bank so se pove</w:t>
      </w:r>
      <w:r>
        <w:rPr>
          <w:rFonts w:ascii="Times New Roman" w:hAnsi="Times New Roman"/>
          <w:noProof/>
        </w:rPr>
        <w:t xml:space="preserve">čevala do začetka leta 2018, nato pa je prišlo do popravka navzdol, kar je delno izravnalo prejšnje povečanje, ki je bilo delno povezano s sploščitvijo krivulj donosnosti in s tem povezanim zmanjšanjem obrestnih marž. </w:t>
      </w:r>
      <w:r>
        <w:rPr>
          <w:noProof/>
        </w:rPr>
        <w:t>V nekaterih državah članicah je prisot</w:t>
      </w:r>
      <w:r>
        <w:rPr>
          <w:noProof/>
        </w:rPr>
        <w:t xml:space="preserve">na kombinacija nizke dobičkonosnosti, kapitalskih deležev na spodnji strani porazdelitve med državami in visokih ravni slabih posojil. </w:t>
      </w:r>
    </w:p>
    <w:p w:rsidR="00BB7D09" w:rsidRDefault="00A35831">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Ravni slabih posojil so v številnih državah članicah še vedno visoke. </w:t>
      </w:r>
      <w:r>
        <w:rPr>
          <w:rFonts w:ascii="Times New Roman" w:hAnsi="Times New Roman"/>
          <w:noProof/>
        </w:rPr>
        <w:t>Delež slabih posojil v letu 2017 je zlasti visok v</w:t>
      </w:r>
      <w:r>
        <w:rPr>
          <w:rFonts w:ascii="Times New Roman" w:hAnsi="Times New Roman"/>
          <w:noProof/>
        </w:rPr>
        <w:t xml:space="preserve"> Grčiji in na Cipru, kjer znaša 45 % oziroma 30 % vseh posojil, ter v Italiji, na Portugalskem, v Bolgariji, na Irskem in na Hrvaškem, kjer delež ostaja blizu 10 % vseh posojil</w:t>
      </w:r>
      <w:r>
        <w:rPr>
          <w:rStyle w:val="FootnoteReference"/>
          <w:rFonts w:ascii="Times New Roman" w:hAnsi="Times New Roman"/>
          <w:noProof/>
        </w:rPr>
        <w:footnoteReference w:id="32"/>
      </w:r>
      <w:r>
        <w:rPr>
          <w:rFonts w:ascii="Times New Roman" w:hAnsi="Times New Roman"/>
          <w:noProof/>
        </w:rPr>
        <w:t>. Po rasti v obdobju po krizi se je obseg slabih posojil po EU začel zmanjševat</w:t>
      </w:r>
      <w:r>
        <w:rPr>
          <w:rFonts w:ascii="Times New Roman" w:hAnsi="Times New Roman"/>
          <w:noProof/>
        </w:rPr>
        <w:t xml:space="preserve">i z različno hitrostjo. </w:t>
      </w:r>
      <w:r>
        <w:rPr>
          <w:rFonts w:ascii="Times New Roman" w:hAnsi="Times New Roman"/>
          <w:b/>
          <w:noProof/>
        </w:rPr>
        <w:t>Najnovejši podatki kažejo nadaljnji napredek pri zmanjševanju slabih posojil</w:t>
      </w:r>
      <w:r>
        <w:rPr>
          <w:rFonts w:ascii="Times New Roman" w:hAnsi="Times New Roman"/>
          <w:noProof/>
        </w:rPr>
        <w:t>, tudi v državah z velikimi deleži slabih posojil (razen Grčije), zlasti na Portugalskem in v Italiji (graf 16)</w:t>
      </w:r>
      <w:r>
        <w:rPr>
          <w:rStyle w:val="FootnoteReference"/>
          <w:rFonts w:ascii="Times New Roman" w:hAnsi="Times New Roman"/>
          <w:noProof/>
        </w:rPr>
        <w:footnoteReference w:id="33"/>
      </w:r>
      <w:r>
        <w:rPr>
          <w:rFonts w:ascii="Times New Roman" w:hAnsi="Times New Roman"/>
          <w:noProof/>
        </w:rPr>
        <w:t xml:space="preserve">. </w:t>
      </w:r>
    </w:p>
    <w:p w:rsidR="00BB7D09" w:rsidRDefault="00BB7D09">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32"/>
        <w:gridCol w:w="4656"/>
      </w:tblGrid>
      <w:tr w:rsidR="00BB7D09">
        <w:tc>
          <w:tcPr>
            <w:tcW w:w="4643" w:type="dxa"/>
            <w:hideMark/>
          </w:tcPr>
          <w:p w:rsidR="00BB7D09" w:rsidRDefault="00A35831">
            <w:pPr>
              <w:keepNext/>
              <w:spacing w:before="120" w:after="120"/>
              <w:jc w:val="center"/>
              <w:rPr>
                <w:rFonts w:eastAsia="MS Mincho"/>
                <w:b/>
                <w:bCs/>
                <w:noProof/>
              </w:rPr>
            </w:pPr>
            <w:r>
              <w:rPr>
                <w:b/>
                <w:noProof/>
              </w:rPr>
              <w:t xml:space="preserve">Graf 15: Dobičkonosnost bank in </w:t>
            </w:r>
            <w:r>
              <w:rPr>
                <w:b/>
                <w:noProof/>
              </w:rPr>
              <w:t>kapitalski deleži</w:t>
            </w:r>
          </w:p>
        </w:tc>
        <w:tc>
          <w:tcPr>
            <w:tcW w:w="4643" w:type="dxa"/>
          </w:tcPr>
          <w:p w:rsidR="00BB7D09" w:rsidRDefault="00A35831">
            <w:pPr>
              <w:spacing w:before="120" w:after="120"/>
              <w:jc w:val="center"/>
              <w:rPr>
                <w:noProof/>
                <w:sz w:val="24"/>
                <w:szCs w:val="24"/>
              </w:rPr>
            </w:pPr>
            <w:r>
              <w:rPr>
                <w:b/>
                <w:noProof/>
              </w:rPr>
              <w:t>Graf 16: Nedonosni dolžniški instrumenti</w:t>
            </w:r>
          </w:p>
        </w:tc>
      </w:tr>
      <w:tr w:rsidR="00BB7D09">
        <w:tc>
          <w:tcPr>
            <w:tcW w:w="4643" w:type="dxa"/>
            <w:hideMark/>
          </w:tcPr>
          <w:p w:rsidR="00BB7D09" w:rsidRDefault="00A35831">
            <w:pPr>
              <w:spacing w:before="120" w:after="120"/>
              <w:jc w:val="both"/>
              <w:rPr>
                <w:noProof/>
                <w:sz w:val="24"/>
                <w:szCs w:val="24"/>
              </w:rPr>
            </w:pPr>
            <w:r>
              <w:rPr>
                <w:noProof/>
                <w:sz w:val="24"/>
                <w:szCs w:val="24"/>
                <w:lang w:val="fr-BE" w:eastAsia="fr-BE" w:bidi="ar-SA"/>
              </w:rPr>
              <w:drawing>
                <wp:inline distT="0" distB="0" distL="0" distR="0">
                  <wp:extent cx="2790825" cy="3028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3028950"/>
                          </a:xfrm>
                          <a:prstGeom prst="rect">
                            <a:avLst/>
                          </a:prstGeom>
                          <a:noFill/>
                          <a:ln>
                            <a:noFill/>
                          </a:ln>
                        </pic:spPr>
                      </pic:pic>
                    </a:graphicData>
                  </a:graphic>
                </wp:inline>
              </w:drawing>
            </w:r>
          </w:p>
        </w:tc>
        <w:tc>
          <w:tcPr>
            <w:tcW w:w="4643" w:type="dxa"/>
            <w:hideMark/>
          </w:tcPr>
          <w:p w:rsidR="00BB7D09" w:rsidRDefault="00A35831">
            <w:pPr>
              <w:spacing w:before="120" w:after="120"/>
              <w:jc w:val="both"/>
              <w:rPr>
                <w:noProof/>
                <w:sz w:val="24"/>
                <w:szCs w:val="24"/>
              </w:rPr>
            </w:pPr>
            <w:r>
              <w:rPr>
                <w:noProof/>
                <w:sz w:val="24"/>
                <w:szCs w:val="24"/>
                <w:lang w:val="fr-BE" w:eastAsia="fr-BE" w:bidi="ar-SA"/>
              </w:rPr>
              <w:drawing>
                <wp:inline distT="0" distB="0" distL="0" distR="0">
                  <wp:extent cx="2809875" cy="3009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9875" cy="3009900"/>
                          </a:xfrm>
                          <a:prstGeom prst="rect">
                            <a:avLst/>
                          </a:prstGeom>
                          <a:noFill/>
                          <a:ln>
                            <a:noFill/>
                          </a:ln>
                        </pic:spPr>
                      </pic:pic>
                    </a:graphicData>
                  </a:graphic>
                </wp:inline>
              </w:drawing>
            </w:r>
          </w:p>
        </w:tc>
      </w:tr>
    </w:tbl>
    <w:p w:rsidR="00BB7D09" w:rsidRDefault="00A3583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Viri:</w:t>
      </w:r>
      <w:r>
        <w:rPr>
          <w:rFonts w:ascii="Times New Roman" w:hAnsi="Times New Roman"/>
          <w:noProof/>
          <w:sz w:val="20"/>
        </w:rPr>
        <w:t xml:space="preserve"> ECB, izračuni služb Komisije</w:t>
      </w:r>
    </w:p>
    <w:p w:rsidR="00BB7D09" w:rsidRDefault="00A35831">
      <w:pPr>
        <w:spacing w:after="0"/>
        <w:jc w:val="both"/>
        <w:rPr>
          <w:rFonts w:ascii="Times New Roman" w:eastAsia="Times New Roman" w:hAnsi="Times New Roman" w:cs="Times New Roman"/>
          <w:noProof/>
          <w:sz w:val="20"/>
          <w:szCs w:val="20"/>
        </w:rPr>
      </w:pPr>
      <w:r>
        <w:rPr>
          <w:rFonts w:ascii="Times New Roman" w:hAnsi="Times New Roman"/>
          <w:i/>
          <w:noProof/>
          <w:sz w:val="20"/>
        </w:rPr>
        <w:t>Opombe:</w:t>
      </w:r>
      <w:r>
        <w:rPr>
          <w:rFonts w:ascii="Times New Roman" w:hAnsi="Times New Roman"/>
          <w:noProof/>
          <w:sz w:val="24"/>
        </w:rPr>
        <w:t xml:space="preserve"> </w:t>
      </w:r>
      <w:r>
        <w:rPr>
          <w:rFonts w:ascii="Times New Roman" w:hAnsi="Times New Roman"/>
          <w:noProof/>
          <w:sz w:val="20"/>
        </w:rPr>
        <w:t>podatki o bruto nedonosnih dolžniških instrumentih za CZ, HR, SE in SI za leto 2008 niso na voljo.</w:t>
      </w:r>
    </w:p>
    <w:p w:rsidR="00BB7D09" w:rsidRDefault="00BB7D09">
      <w:pPr>
        <w:spacing w:before="120" w:after="120"/>
        <w:rPr>
          <w:rFonts w:ascii="Times New Roman" w:eastAsia="Times New Roman" w:hAnsi="Times New Roman" w:cs="Times New Roman"/>
          <w:b/>
          <w:noProof/>
          <w:sz w:val="24"/>
          <w:szCs w:val="24"/>
        </w:rPr>
      </w:pP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Cene stanovanjskih nepremičnin so v letu 2017 še</w:t>
      </w:r>
      <w:r>
        <w:rPr>
          <w:rFonts w:ascii="Times New Roman" w:hAnsi="Times New Roman"/>
          <w:b/>
          <w:noProof/>
        </w:rPr>
        <w:t xml:space="preserve"> naprej rasle v skoraj vseh državah EU, vendar se zdi, da se tam, kjer so znaki precenjenosti najmočnejši, cene umirjajo.</w:t>
      </w:r>
      <w:r>
        <w:rPr>
          <w:rFonts w:ascii="Times New Roman" w:hAnsi="Times New Roman"/>
          <w:noProof/>
        </w:rPr>
        <w:t xml:space="preserve"> Kljub nadaljnji stalni rasti cen stanovanjskih nepremičnin po vsej EU podatki za leto 2017 kažejo, da je rast cen stanovanjskih neprem</w:t>
      </w:r>
      <w:r>
        <w:rPr>
          <w:rFonts w:ascii="Times New Roman" w:hAnsi="Times New Roman"/>
          <w:noProof/>
        </w:rPr>
        <w:t>ičnin v manj državah nad pragom iz preglednice kot v letu 2016. Leta 2017 je le šest držav (Bolgarija, Češka, Irska, Nizozemska, Portugalska in Slovenija) imelo vrednosti nad pragom, medtem ko je bilo v poročilu o mehanizmu opozarjanja za leto 2018 na podl</w:t>
      </w:r>
      <w:r>
        <w:rPr>
          <w:rFonts w:ascii="Times New Roman" w:hAnsi="Times New Roman"/>
          <w:noProof/>
        </w:rPr>
        <w:t>agi podatkov iz leta 2016 identificiranih deset držav, ki so bile nad pragom. Te spremembe odražajo srednje do zmerno zmanjšanje vrednosti nad pragom in pospešitev rasti cen v nekaj državah. Negativna rast realnih cen stanovanjskih nepremičnin je bila v le</w:t>
      </w:r>
      <w:r>
        <w:rPr>
          <w:rFonts w:ascii="Times New Roman" w:hAnsi="Times New Roman"/>
          <w:noProof/>
        </w:rPr>
        <w:t xml:space="preserve">tu 2017 zabeležena samo v Grčiji in Italiji. Novejši podatki kažejo, da so stopnje rasti v prvi polovici leta 2018 glede na leto poprej bile nad 6-odstotnim pragom iz preglednice na Madžarskem, Irskem, v Latviji, na Nizozemskem, Portugalskem, Slovaškem in </w:t>
      </w:r>
      <w:r>
        <w:rPr>
          <w:rFonts w:ascii="Times New Roman" w:hAnsi="Times New Roman"/>
          <w:noProof/>
        </w:rPr>
        <w:t>v Sloveniji.</w:t>
      </w:r>
    </w:p>
    <w:p w:rsidR="00BB7D09" w:rsidRDefault="00A35831">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Zaradi podaljšanja trajnih stopenj rasti realnih cen stanovanjskih nepremičnin so se </w:t>
      </w:r>
      <w:r>
        <w:rPr>
          <w:rFonts w:ascii="Times New Roman" w:hAnsi="Times New Roman"/>
          <w:b/>
          <w:noProof/>
        </w:rPr>
        <w:t>cene stanovanjskih nepremičnin vrnile na ali presegle najvišje vrednosti iz obdobja pred krizo</w:t>
      </w:r>
      <w:r>
        <w:rPr>
          <w:rFonts w:ascii="Times New Roman" w:hAnsi="Times New Roman"/>
          <w:noProof/>
        </w:rPr>
        <w:t xml:space="preserve"> v vrsti držav, in sicer v Avstriji, Belgiji, na Češkem, v Nemčiji, Luksemburgu ter na Malti in Švedskem. Stopnje rasti realnih cen stanovanjskih nepremičnin, ki so višje od stopenj rasti prihodkov in drugih ustreznih spremenljivk, dvigujejo cene stanovanj</w:t>
      </w:r>
      <w:r>
        <w:rPr>
          <w:rFonts w:ascii="Times New Roman" w:hAnsi="Times New Roman"/>
          <w:noProof/>
        </w:rPr>
        <w:t xml:space="preserve">skih nepremičnin na </w:t>
      </w:r>
      <w:r>
        <w:rPr>
          <w:rFonts w:ascii="Times New Roman" w:hAnsi="Times New Roman"/>
          <w:b/>
          <w:noProof/>
        </w:rPr>
        <w:t>ravni, ki kažejo na možno precenjenost v vedno več državah</w:t>
      </w:r>
      <w:r>
        <w:rPr>
          <w:rFonts w:ascii="Times New Roman" w:hAnsi="Times New Roman"/>
          <w:noProof/>
        </w:rPr>
        <w:t xml:space="preserve"> (graf 17)</w:t>
      </w:r>
      <w:r>
        <w:rPr>
          <w:rFonts w:ascii="Times New Roman" w:hAnsi="Times New Roman"/>
          <w:noProof/>
          <w:vertAlign w:val="superscript"/>
        </w:rPr>
        <w:footnoteReference w:id="34"/>
      </w:r>
      <w:r>
        <w:rPr>
          <w:rFonts w:ascii="Times New Roman" w:hAnsi="Times New Roman"/>
          <w:noProof/>
        </w:rPr>
        <w:t xml:space="preserve">. </w:t>
      </w:r>
    </w:p>
    <w:p w:rsidR="00BB7D09" w:rsidRDefault="00A35831">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Do </w:t>
      </w:r>
      <w:r>
        <w:rPr>
          <w:rFonts w:ascii="Times New Roman" w:hAnsi="Times New Roman"/>
          <w:b/>
          <w:noProof/>
        </w:rPr>
        <w:t>pospešitev</w:t>
      </w:r>
      <w:r>
        <w:rPr>
          <w:rFonts w:ascii="Times New Roman" w:hAnsi="Times New Roman"/>
          <w:noProof/>
        </w:rPr>
        <w:t xml:space="preserve"> rasti realnih cen stanovanjskih nepremičnin je leta 2017 prišlo zlasti v </w:t>
      </w:r>
      <w:r>
        <w:rPr>
          <w:rFonts w:ascii="Times New Roman" w:hAnsi="Times New Roman"/>
          <w:b/>
          <w:noProof/>
        </w:rPr>
        <w:t>državah z negativnimi ali rahlo pozitivnimi vrzelmi v vrednotenju</w:t>
      </w:r>
      <w:r>
        <w:rPr>
          <w:rFonts w:ascii="Times New Roman" w:hAnsi="Times New Roman"/>
          <w:noProof/>
        </w:rPr>
        <w:t xml:space="preserve"> (graf 18).</w:t>
      </w:r>
      <w:r>
        <w:rPr>
          <w:noProof/>
        </w:rPr>
        <w:t xml:space="preserve"> </w:t>
      </w:r>
      <w:r>
        <w:rPr>
          <w:noProof/>
        </w:rPr>
        <w:t xml:space="preserve">Na drugi strani so bile </w:t>
      </w:r>
      <w:r>
        <w:rPr>
          <w:rFonts w:ascii="Times New Roman" w:hAnsi="Times New Roman"/>
          <w:b/>
          <w:noProof/>
        </w:rPr>
        <w:t>upočasnitve</w:t>
      </w:r>
      <w:r>
        <w:rPr>
          <w:rFonts w:ascii="Times New Roman" w:hAnsi="Times New Roman"/>
          <w:noProof/>
        </w:rPr>
        <w:t xml:space="preserve"> zabeležene v </w:t>
      </w:r>
      <w:r>
        <w:rPr>
          <w:rFonts w:ascii="Times New Roman" w:hAnsi="Times New Roman"/>
          <w:b/>
          <w:noProof/>
        </w:rPr>
        <w:t>državah, ki so izkazovale močnejše znake precenjenosti</w:t>
      </w:r>
      <w:r>
        <w:rPr>
          <w:rFonts w:ascii="Times New Roman" w:hAnsi="Times New Roman"/>
          <w:noProof/>
        </w:rPr>
        <w:t>,</w:t>
      </w:r>
      <w:r>
        <w:rPr>
          <w:noProof/>
        </w:rPr>
        <w:t xml:space="preserve"> med drugim zaradi omejitev glede cenovne dostopnosti, izvajanja makrobonitetnih politik in mehanskega vpliva na rast realnih cen stanovanjskih nepremič</w:t>
      </w:r>
      <w:r>
        <w:rPr>
          <w:noProof/>
        </w:rPr>
        <w:t>nin, povezanega s</w:t>
      </w:r>
      <w:r>
        <w:rPr>
          <w:rFonts w:ascii="Times New Roman" w:hAnsi="Times New Roman"/>
          <w:noProof/>
        </w:rPr>
        <w:t xml:space="preserve"> povišanjem stopenj inflacije (npr. v Avstriji, Luksemburgu in Združenem kraljestvu). Najvišje stopnje rasti cen stanovanjskih nepremičnin se trenutno beležijo v državah z zmernimi znaki ali brez znakov precenjenosti. Četrtletni podatki, t</w:t>
      </w:r>
      <w:r>
        <w:rPr>
          <w:rFonts w:ascii="Times New Roman" w:hAnsi="Times New Roman"/>
          <w:noProof/>
        </w:rPr>
        <w:t>udi za začetek leta 2018, kažejo pospešitve v Estoniji, na Hrvaškem, Madžarskem, Poljskem, Portugalskem, v Sloveniji in na Slovaškem. Upočasnitve se beležijo zlasti v Bolgariji, na Češkem, v Romuniji in na Švedskem, kjer je rast cen stanovanjskih nepremičn</w:t>
      </w:r>
      <w:r>
        <w:rPr>
          <w:rFonts w:ascii="Times New Roman" w:hAnsi="Times New Roman"/>
          <w:noProof/>
        </w:rPr>
        <w:t>in v prvi polovici leta 2018 na medletni osnovi postala negativna</w:t>
      </w:r>
      <w:r>
        <w:rPr>
          <w:rStyle w:val="FootnoteReference"/>
          <w:rFonts w:ascii="Times New Roman" w:hAnsi="Times New Roman"/>
          <w:noProof/>
        </w:rPr>
        <w:footnoteReference w:id="35"/>
      </w:r>
      <w:r>
        <w:rPr>
          <w:rFonts w:ascii="Times New Roman" w:hAnsi="Times New Roman"/>
          <w:noProof/>
        </w:rPr>
        <w:t>. Irska, Portugalska in Slovenija so v prvi polovici leta 2018 zabeležile dvomestne stopnje rasti glede na leto poprej.</w:t>
      </w:r>
    </w:p>
    <w:p w:rsidR="00BB7D09" w:rsidRDefault="00A35831">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V številnih državah, vključno z Dansko, Luksemburgom, Švedsko in Združenim kraljestvom, </w:t>
      </w:r>
      <w:r>
        <w:rPr>
          <w:b/>
          <w:noProof/>
        </w:rPr>
        <w:t>precenjene cene stanovanjskih nepremičnin spremljajo visoke ravni zadolženosti gospodinjstev</w:t>
      </w:r>
      <w:r>
        <w:rPr>
          <w:noProof/>
        </w:rPr>
        <w:t>. Za Nizozemsko je značilna zelo visoka zadolženost gospodinjstev. Rast obse</w:t>
      </w:r>
      <w:r>
        <w:rPr>
          <w:noProof/>
        </w:rPr>
        <w:t xml:space="preserve">ga hipotekarnih posojil je bila leta 2017 zlasti hitra (nad 5 % glede na prejšnje leto) v Avstriji, Belgiji, Bolgariji, na Češkem, v Estoniji, Franciji, Litvi, Luksemburgu, na Malti, na Poljskem, v Romuniji in na Slovaškem. </w:t>
      </w:r>
    </w:p>
    <w:p w:rsidR="00BB7D09" w:rsidRDefault="00BB7D09">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88"/>
        <w:gridCol w:w="4600"/>
      </w:tblGrid>
      <w:tr w:rsidR="00BB7D09">
        <w:tc>
          <w:tcPr>
            <w:tcW w:w="4644" w:type="dxa"/>
          </w:tcPr>
          <w:p w:rsidR="00BB7D09" w:rsidRDefault="00A35831">
            <w:pPr>
              <w:keepNext/>
              <w:spacing w:before="120" w:after="120"/>
              <w:jc w:val="both"/>
              <w:rPr>
                <w:rFonts w:ascii="Times New Roman" w:eastAsia="MS Mincho" w:hAnsi="Times New Roman" w:cs="Times New Roman"/>
                <w:b/>
                <w:bCs/>
                <w:noProof/>
              </w:rPr>
            </w:pPr>
            <w:r>
              <w:rPr>
                <w:rFonts w:ascii="Times New Roman" w:hAnsi="Times New Roman"/>
                <w:b/>
                <w:noProof/>
              </w:rPr>
              <w:t>Graf 17: Spremembe cen stanova</w:t>
            </w:r>
            <w:r>
              <w:rPr>
                <w:rFonts w:ascii="Times New Roman" w:hAnsi="Times New Roman"/>
                <w:b/>
                <w:noProof/>
              </w:rPr>
              <w:t>njskih nepremičnin in vrzeli v vrednotenju v letu 2017</w:t>
            </w:r>
          </w:p>
        </w:tc>
        <w:tc>
          <w:tcPr>
            <w:tcW w:w="4644" w:type="dxa"/>
          </w:tcPr>
          <w:p w:rsidR="00BB7D09" w:rsidRDefault="00A35831">
            <w:pPr>
              <w:keepNext/>
              <w:spacing w:before="120" w:after="120"/>
              <w:jc w:val="both"/>
              <w:rPr>
                <w:rFonts w:ascii="Times New Roman" w:eastAsia="MS Mincho" w:hAnsi="Times New Roman" w:cs="Times New Roman"/>
                <w:b/>
                <w:bCs/>
                <w:noProof/>
              </w:rPr>
            </w:pPr>
            <w:r>
              <w:rPr>
                <w:rFonts w:ascii="Times New Roman" w:hAnsi="Times New Roman"/>
                <w:b/>
                <w:noProof/>
              </w:rPr>
              <w:t>Graf 18: Vrzeli v vrednotenju in spremembe rasti cen med letoma 2016 in 2017</w:t>
            </w:r>
          </w:p>
        </w:tc>
      </w:tr>
      <w:tr w:rsidR="00BB7D09">
        <w:tc>
          <w:tcPr>
            <w:tcW w:w="4644" w:type="dxa"/>
          </w:tcPr>
          <w:p w:rsidR="00BB7D09" w:rsidRDefault="00A35831">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fr-BE" w:eastAsia="fr-BE" w:bidi="ar-SA"/>
              </w:rPr>
              <w:drawing>
                <wp:inline distT="0" distB="0" distL="0" distR="0">
                  <wp:extent cx="2876550" cy="30003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3000375"/>
                          </a:xfrm>
                          <a:prstGeom prst="rect">
                            <a:avLst/>
                          </a:prstGeom>
                          <a:noFill/>
                          <a:ln>
                            <a:noFill/>
                          </a:ln>
                        </pic:spPr>
                      </pic:pic>
                    </a:graphicData>
                  </a:graphic>
                </wp:inline>
              </w:drawing>
            </w:r>
          </w:p>
        </w:tc>
        <w:tc>
          <w:tcPr>
            <w:tcW w:w="4644" w:type="dxa"/>
          </w:tcPr>
          <w:p w:rsidR="00BB7D09" w:rsidRDefault="00A35831">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fr-BE" w:eastAsia="fr-BE" w:bidi="ar-SA"/>
              </w:rPr>
              <w:drawing>
                <wp:inline distT="0" distB="0" distL="0" distR="0">
                  <wp:extent cx="2819400" cy="2990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990850"/>
                          </a:xfrm>
                          <a:prstGeom prst="rect">
                            <a:avLst/>
                          </a:prstGeom>
                          <a:noFill/>
                          <a:ln>
                            <a:noFill/>
                          </a:ln>
                        </pic:spPr>
                      </pic:pic>
                    </a:graphicData>
                  </a:graphic>
                </wp:inline>
              </w:drawing>
            </w:r>
          </w:p>
        </w:tc>
      </w:tr>
    </w:tbl>
    <w:p w:rsidR="00BB7D09" w:rsidRDefault="00A35831">
      <w:pPr>
        <w:spacing w:after="0"/>
        <w:jc w:val="both"/>
        <w:rPr>
          <w:rFonts w:ascii="Times New Roman" w:eastAsia="Times New Roman" w:hAnsi="Times New Roman" w:cs="Times New Roman"/>
          <w:noProof/>
          <w:sz w:val="20"/>
          <w:szCs w:val="24"/>
        </w:rPr>
      </w:pPr>
      <w:r>
        <w:rPr>
          <w:rFonts w:ascii="Times New Roman" w:hAnsi="Times New Roman"/>
          <w:i/>
          <w:noProof/>
          <w:sz w:val="20"/>
        </w:rPr>
        <w:t>Vir</w:t>
      </w:r>
      <w:r>
        <w:rPr>
          <w:rFonts w:ascii="Times New Roman" w:hAnsi="Times New Roman"/>
          <w:noProof/>
          <w:sz w:val="20"/>
        </w:rPr>
        <w:t>: Eurostat in izračuni služb Komisije.</w:t>
      </w:r>
    </w:p>
    <w:p w:rsidR="00BB7D09" w:rsidRDefault="00A35831">
      <w:pPr>
        <w:spacing w:after="0"/>
        <w:jc w:val="both"/>
        <w:rPr>
          <w:rFonts w:ascii="Times New Roman" w:eastAsia="Times New Roman" w:hAnsi="Times New Roman" w:cs="Times New Roman"/>
          <w:b/>
          <w:noProof/>
          <w:sz w:val="20"/>
          <w:szCs w:val="24"/>
        </w:rPr>
      </w:pPr>
      <w:r>
        <w:rPr>
          <w:rFonts w:ascii="Times New Roman" w:hAnsi="Times New Roman"/>
          <w:i/>
          <w:noProof/>
          <w:sz w:val="20"/>
        </w:rPr>
        <w:t>Opomba</w:t>
      </w:r>
      <w:r>
        <w:rPr>
          <w:rFonts w:ascii="Times New Roman" w:hAnsi="Times New Roman"/>
          <w:noProof/>
          <w:sz w:val="20"/>
        </w:rPr>
        <w:t>: precenitvena vrzel je bila ocenjena kot povprečje treh kazalnikov, i</w:t>
      </w:r>
      <w:r>
        <w:rPr>
          <w:rFonts w:ascii="Times New Roman" w:hAnsi="Times New Roman"/>
          <w:noProof/>
          <w:sz w:val="20"/>
        </w:rPr>
        <w:t>n sicer odklona razmerja med cenami in dohodki ter razmerja med cenami in najemninami od njunih dolgoročnih povprečij ter rezultatov modela vrzeli v vrednotenju, povezanega s temeljnimi dejavniki; glej opombo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rsidR="00BB7D09" w:rsidRDefault="00BB7D09">
      <w:pPr>
        <w:spacing w:before="120" w:after="120"/>
        <w:jc w:val="both"/>
        <w:rPr>
          <w:rFonts w:ascii="Times New Roman" w:eastAsia="Times New Roman" w:hAnsi="Times New Roman" w:cs="Times New Roman"/>
          <w:b/>
          <w:noProof/>
        </w:rPr>
      </w:pP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 xml:space="preserve">Deleži javnega dolga so v EU prenehali rasti, vendar so ravni dolga v številnih državah še vedno visoke. </w:t>
      </w:r>
      <w:r>
        <w:rPr>
          <w:rFonts w:ascii="Times New Roman" w:hAnsi="Times New Roman"/>
          <w:noProof/>
        </w:rPr>
        <w:t xml:space="preserve">V letu 2017 so vrednosti iz preglednice presegle prag v 15 državah članicah. V Belgiji, Grčiji, Italiji in na Portugalskem je raven dolga višja od 100 % BDP, pri čemer so se leta 2018 za Italijo znatno povečali stroški financiranja. Javni dolg osmih držav </w:t>
      </w:r>
      <w:r>
        <w:rPr>
          <w:rFonts w:ascii="Times New Roman" w:hAnsi="Times New Roman"/>
          <w:noProof/>
        </w:rPr>
        <w:t xml:space="preserve">(Belgije, Cipra, Finske, Francije, Irske, Portugalske, Španije in Združenega kraljestva) je nad 60 % BDP in v kombinaciji z zadolženostjo zasebnega sektorja presega zadevni prag. Deleži javnega dolga v BDP so na splošno začeli upadati (graf 19). Vendar se </w:t>
      </w:r>
      <w:r>
        <w:rPr>
          <w:rFonts w:ascii="Times New Roman" w:hAnsi="Times New Roman"/>
          <w:noProof/>
        </w:rPr>
        <w:t>je v državah z visokimi stopnjami javnega dolga razdolževanje začelo šele pred kratkim in poteka počasi. Med vsemi državami EU naj bi se delež dolga leta 2019 povečal le v Litvi in Romuniji. Na splošno razdolževanje sektorja država poteka v razmerah postop</w:t>
      </w:r>
      <w:r>
        <w:rPr>
          <w:rFonts w:ascii="Times New Roman" w:hAnsi="Times New Roman"/>
          <w:noProof/>
        </w:rPr>
        <w:t>nega izboljševanja proračunskih položajev v zadnjih letih, nadaljnje nominalne rasti BDP in nižjih plačil obresti. Vendar se pričakuje, da bo vedno več držav začelo izvajati prociklične, manj restriktivne proračunske politike, po možnosti na račun manevrsk</w:t>
      </w:r>
      <w:r>
        <w:rPr>
          <w:rFonts w:ascii="Times New Roman" w:hAnsi="Times New Roman"/>
          <w:noProof/>
        </w:rPr>
        <w:t xml:space="preserve">ega prostora, ki bo v prihodnosti na voljo za blažitev negativnih šokov za gospodarsko rast. </w:t>
      </w:r>
    </w:p>
    <w:p w:rsidR="00BB7D09" w:rsidRDefault="00BB7D09">
      <w:pPr>
        <w:spacing w:before="120" w:after="120"/>
        <w:rPr>
          <w:rFonts w:ascii="Times New Roman" w:eastAsia="Times New Roman" w:hAnsi="Times New Roman" w:cs="Times New Roman"/>
          <w:b/>
          <w:noProof/>
        </w:rPr>
      </w:pPr>
    </w:p>
    <w:p w:rsidR="00BB7D09" w:rsidRDefault="00A35831">
      <w:pPr>
        <w:spacing w:before="120" w:after="120"/>
        <w:jc w:val="center"/>
        <w:rPr>
          <w:rFonts w:ascii="Times New Roman" w:eastAsia="Times New Roman" w:hAnsi="Times New Roman" w:cs="Times New Roman"/>
          <w:b/>
          <w:noProof/>
        </w:rPr>
      </w:pPr>
      <w:r>
        <w:rPr>
          <w:rFonts w:ascii="Times New Roman" w:hAnsi="Times New Roman"/>
          <w:b/>
          <w:noProof/>
        </w:rPr>
        <w:t>Graf 19: Javni dolg</w:t>
      </w:r>
    </w:p>
    <w:p w:rsidR="00BB7D09" w:rsidRDefault="00A35831">
      <w:pPr>
        <w:spacing w:before="120" w:after="120"/>
        <w:jc w:val="center"/>
        <w:rPr>
          <w:rFonts w:ascii="Times New Roman" w:eastAsia="Times New Roman" w:hAnsi="Times New Roman" w:cs="Times New Roman"/>
          <w:noProof/>
          <w:sz w:val="24"/>
          <w:szCs w:val="24"/>
        </w:rPr>
      </w:pPr>
      <w:r>
        <w:rPr>
          <w:noProof/>
          <w:lang w:val="fr-BE" w:eastAsia="fr-BE" w:bidi="ar-SA"/>
        </w:rPr>
        <w:drawing>
          <wp:inline distT="0" distB="0" distL="0" distR="0">
            <wp:extent cx="5095875" cy="3219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5875" cy="3219450"/>
                    </a:xfrm>
                    <a:prstGeom prst="rect">
                      <a:avLst/>
                    </a:prstGeom>
                    <a:noFill/>
                    <a:ln>
                      <a:noFill/>
                    </a:ln>
                  </pic:spPr>
                </pic:pic>
              </a:graphicData>
            </a:graphic>
          </wp:inline>
        </w:drawing>
      </w:r>
    </w:p>
    <w:p w:rsidR="00BB7D09" w:rsidRDefault="00A35831">
      <w:pPr>
        <w:spacing w:before="120" w:after="120"/>
        <w:rPr>
          <w:rFonts w:ascii="Times New Roman" w:eastAsia="Times New Roman" w:hAnsi="Times New Roman" w:cs="Times New Roman"/>
          <w:noProof/>
          <w:sz w:val="20"/>
          <w:szCs w:val="24"/>
        </w:rPr>
      </w:pPr>
      <w:r>
        <w:rPr>
          <w:rFonts w:ascii="Times New Roman" w:hAnsi="Times New Roman"/>
          <w:i/>
          <w:noProof/>
          <w:sz w:val="20"/>
        </w:rPr>
        <w:t>Vir:</w:t>
      </w:r>
      <w:r>
        <w:rPr>
          <w:rFonts w:ascii="Times New Roman" w:hAnsi="Times New Roman"/>
          <w:noProof/>
          <w:sz w:val="20"/>
        </w:rPr>
        <w:t xml:space="preserve"> Eurostat.</w:t>
      </w:r>
    </w:p>
    <w:p w:rsidR="00BB7D09" w:rsidRDefault="00BB7D09">
      <w:pPr>
        <w:spacing w:before="120" w:after="120"/>
        <w:rPr>
          <w:rFonts w:ascii="Times New Roman" w:eastAsia="Times New Roman" w:hAnsi="Times New Roman" w:cs="Times New Roman"/>
          <w:noProof/>
          <w:sz w:val="20"/>
          <w:szCs w:val="24"/>
        </w:rPr>
      </w:pPr>
    </w:p>
    <w:p w:rsidR="00BB7D09" w:rsidRDefault="00A35831">
      <w:pPr>
        <w:rPr>
          <w:rFonts w:ascii="Times New Roman" w:eastAsia="Times New Roman" w:hAnsi="Times New Roman" w:cs="Times New Roman"/>
          <w:i/>
          <w:noProof/>
          <w:sz w:val="20"/>
          <w:szCs w:val="20"/>
        </w:rPr>
      </w:pPr>
      <w:r>
        <w:rPr>
          <w:noProof/>
        </w:rPr>
        <w:br w:type="page"/>
      </w:r>
    </w:p>
    <w:p w:rsidR="00BB7D09" w:rsidRDefault="00BB7D09">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B7D09">
        <w:tc>
          <w:tcPr>
            <w:tcW w:w="9288" w:type="dxa"/>
            <w:tcBorders>
              <w:top w:val="single" w:sz="4" w:space="0" w:color="auto"/>
              <w:left w:val="single" w:sz="4" w:space="0" w:color="auto"/>
              <w:bottom w:val="single" w:sz="4" w:space="0" w:color="auto"/>
              <w:right w:val="single" w:sz="4" w:space="0" w:color="auto"/>
            </w:tcBorders>
            <w:shd w:val="clear" w:color="auto" w:fill="BFBFBF"/>
          </w:tcPr>
          <w:p w:rsidR="00BB7D09" w:rsidRDefault="00A35831">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Okvir 3: </w:t>
            </w:r>
            <w:r>
              <w:rPr>
                <w:rFonts w:ascii="Times New Roman" w:hAnsi="Times New Roman"/>
                <w:b/>
                <w:noProof/>
              </w:rPr>
              <w:t>Gibanja na področju zaposlovanja in socialnih zadev</w:t>
            </w:r>
          </w:p>
          <w:p w:rsidR="00BB7D09" w:rsidRDefault="00A35831">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Trgi dela v EU so se v letu 2017 in prvi polovici leta 2018</w:t>
            </w:r>
            <w:r>
              <w:rPr>
                <w:rFonts w:ascii="Times New Roman" w:hAnsi="Times New Roman"/>
                <w:b/>
                <w:noProof/>
              </w:rPr>
              <w:t xml:space="preserve"> še naprej izboljševali, pri čemer so se razlike v EU zmanjšale s prej visokih ravni.</w:t>
            </w:r>
            <w:r>
              <w:rPr>
                <w:rFonts w:ascii="Times New Roman" w:hAnsi="Times New Roman"/>
                <w:noProof/>
              </w:rPr>
              <w:t xml:space="preserve"> Zaposlenost je še narasla in dosegla novo najvišjo vrednost v številu zaposlenih v EU kot celoti. Brezposelnost pada v vseh državah članicah, čeprav v več državah ostaja </w:t>
            </w:r>
            <w:r>
              <w:rPr>
                <w:rFonts w:ascii="Times New Roman" w:hAnsi="Times New Roman"/>
                <w:noProof/>
              </w:rPr>
              <w:t>visoka. Okrevanje je prispevalo k zmanjšanju nekaterih kazalnikov revščine,</w:t>
            </w:r>
            <w:r>
              <w:rPr>
                <w:rStyle w:val="FootnoteReference"/>
                <w:rFonts w:ascii="Times New Roman" w:hAnsi="Times New Roman"/>
                <w:noProof/>
              </w:rPr>
              <w:t xml:space="preserve"> </w:t>
            </w:r>
            <w:r>
              <w:rPr>
                <w:rFonts w:ascii="Times New Roman" w:hAnsi="Times New Roman"/>
                <w:noProof/>
              </w:rPr>
              <w:t>vendar so socialne razmere v nekaterih državah članicah še vedno zaskrbljujoče. Od leta 2008 se je relativno tveganje revščine v EU povečalo, vendar se je resna materialna prikrajš</w:t>
            </w:r>
            <w:r>
              <w:rPr>
                <w:rFonts w:ascii="Times New Roman" w:hAnsi="Times New Roman"/>
                <w:noProof/>
              </w:rPr>
              <w:t>anost zmanjšala, zlasti v vzhodnoevropskih državah članicah, v katerih je bila na začetku visoka.</w:t>
            </w:r>
          </w:p>
          <w:p w:rsidR="00BB7D09" w:rsidRDefault="00BB7D09">
            <w:pPr>
              <w:autoSpaceDE w:val="0"/>
              <w:autoSpaceDN w:val="0"/>
              <w:adjustRightInd w:val="0"/>
              <w:spacing w:after="0" w:line="240" w:lineRule="auto"/>
              <w:rPr>
                <w:rFonts w:ascii="Times New Roman" w:hAnsi="Times New Roman" w:cs="Times New Roman"/>
                <w:noProof/>
              </w:rPr>
            </w:pPr>
          </w:p>
          <w:p w:rsidR="00BB7D09" w:rsidRDefault="00A35831">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Leta 2017 se je </w:t>
            </w:r>
            <w:r>
              <w:rPr>
                <w:rFonts w:ascii="Times New Roman" w:hAnsi="Times New Roman"/>
                <w:b/>
                <w:i/>
                <w:noProof/>
              </w:rPr>
              <w:t>stopnja brezposelnosti</w:t>
            </w:r>
            <w:r>
              <w:rPr>
                <w:rFonts w:ascii="Times New Roman" w:hAnsi="Times New Roman"/>
                <w:b/>
                <w:noProof/>
              </w:rPr>
              <w:t xml:space="preserve"> v vseh državah članicah znižala.</w:t>
            </w:r>
            <w:r>
              <w:rPr>
                <w:rFonts w:ascii="Times New Roman" w:hAnsi="Times New Roman"/>
                <w:noProof/>
              </w:rPr>
              <w:t xml:space="preserve"> Izboljšanje je bilo največje v državah z nekaterimi od najvišjih stopenj brezposelnos</w:t>
            </w:r>
            <w:r>
              <w:rPr>
                <w:rFonts w:ascii="Times New Roman" w:hAnsi="Times New Roman"/>
                <w:noProof/>
              </w:rPr>
              <w:t>ti (znižanje za najmanj 2 odstotni točki na Hrvaškem, v Grčiji, na Portugalskem in v Španiji). Kljub temu pa je sedem držav članic (Grčija, Španija, Hrvaška, Ciper, Italija, Portugalska in Francija) v zadnjih treh letih presegalo pragove kazalnikov iz preg</w:t>
            </w:r>
            <w:r>
              <w:rPr>
                <w:rFonts w:ascii="Times New Roman" w:hAnsi="Times New Roman"/>
                <w:noProof/>
              </w:rPr>
              <w:t xml:space="preserve">lednice postopka v zvezi z makroekonomskimi neravnotežji za povprečno 10 %. Stopnja brezposelnosti je bila leta 2017 v približno dveh tretjinah držav članic še vedno višja kot leta 2008. Stopnja brezposelnosti v EU kot celoti in v euroobmočju je bila za 3 </w:t>
            </w:r>
            <w:r>
              <w:rPr>
                <w:rFonts w:ascii="Times New Roman" w:hAnsi="Times New Roman"/>
                <w:noProof/>
              </w:rPr>
              <w:t>odstotne točke pod najvišjo ravnjo, doseženo leta 2013, vendar še vedno za 0,5 oziroma 1,5 odstotne točke višja kot leta 2008. V prvi polovici leta 2018 se je še naprej postopoma zniževala, pri čemer se je do drugega četrtletja 2018 znižala na 6,9 % v EU i</w:t>
            </w:r>
            <w:r>
              <w:rPr>
                <w:rFonts w:ascii="Times New Roman" w:hAnsi="Times New Roman"/>
                <w:noProof/>
              </w:rPr>
              <w:t xml:space="preserve">n 8,3 % v euroobmočju. </w:t>
            </w:r>
          </w:p>
          <w:p w:rsidR="00BB7D09" w:rsidRDefault="00BB7D09">
            <w:pPr>
              <w:autoSpaceDE w:val="0"/>
              <w:autoSpaceDN w:val="0"/>
              <w:adjustRightInd w:val="0"/>
              <w:spacing w:after="0" w:line="240" w:lineRule="auto"/>
              <w:jc w:val="both"/>
              <w:rPr>
                <w:rFonts w:ascii="Times New Roman" w:hAnsi="Times New Roman" w:cs="Times New Roman"/>
                <w:noProof/>
              </w:rPr>
            </w:pPr>
          </w:p>
          <w:p w:rsidR="00BB7D09" w:rsidRDefault="00A35831">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Stopnje zaposlenosti</w:t>
            </w:r>
            <w:r>
              <w:rPr>
                <w:rFonts w:ascii="Times New Roman" w:hAnsi="Times New Roman"/>
                <w:b/>
                <w:noProof/>
              </w:rPr>
              <w:t xml:space="preserve"> so se zvišale v skoraj vseh državah članicah, s čimer se nadaljuje pozitiven razvoj v zadnjih letih.</w:t>
            </w:r>
            <w:r>
              <w:rPr>
                <w:rFonts w:ascii="Times New Roman" w:hAnsi="Times New Roman"/>
                <w:noProof/>
              </w:rPr>
              <w:t xml:space="preserve"> Stopnja zaposlenosti (oseb v starosti 20–64 let) je v letu 2017 dosegla 72,1 % v celotni EU, s čimer je prese</w:t>
            </w:r>
            <w:r>
              <w:rPr>
                <w:rFonts w:ascii="Times New Roman" w:hAnsi="Times New Roman"/>
                <w:noProof/>
              </w:rPr>
              <w:t xml:space="preserve">gla najvišjo raven iz obdobja pred krizo, tj. 70,3 %, zabeleženo v letu 2008. V drugem četrtletju leta 2018 se je še naprej zviševala in dosegla rekordnih 73,2 %. </w:t>
            </w:r>
          </w:p>
          <w:p w:rsidR="00BB7D09" w:rsidRDefault="00BB7D09">
            <w:pPr>
              <w:autoSpaceDE w:val="0"/>
              <w:autoSpaceDN w:val="0"/>
              <w:adjustRightInd w:val="0"/>
              <w:spacing w:after="0" w:line="240" w:lineRule="auto"/>
              <w:rPr>
                <w:rFonts w:ascii="Times New Roman" w:hAnsi="Times New Roman" w:cs="Times New Roman"/>
                <w:noProof/>
              </w:rPr>
            </w:pPr>
          </w:p>
          <w:p w:rsidR="00BB7D09" w:rsidRDefault="00A35831">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Stopnje delovne aktivnosti</w:t>
            </w:r>
            <w:r>
              <w:rPr>
                <w:rFonts w:ascii="Times New Roman" w:hAnsi="Times New Roman"/>
                <w:b/>
                <w:noProof/>
              </w:rPr>
              <w:t xml:space="preserve"> so se še naprej povečevale skoraj povsod v EU.</w:t>
            </w:r>
            <w:r>
              <w:rPr>
                <w:rFonts w:ascii="Times New Roman" w:hAnsi="Times New Roman"/>
                <w:noProof/>
              </w:rPr>
              <w:t xml:space="preserve"> Samo tri države s</w:t>
            </w:r>
            <w:r>
              <w:rPr>
                <w:rFonts w:ascii="Times New Roman" w:hAnsi="Times New Roman"/>
                <w:noProof/>
              </w:rPr>
              <w:t>o v zadnjih treh letih zabeležile nižjo stopnjo delovne aktivnosti, Španija (–0,3 odstotne točke), Ciper (–0,4) in Luksemburg (–0,6). V vseh treh primerih zmanjšanje presega prag iz preglednice v višini –0,2 odstotne točke. Skupno je stopnja delovne aktivn</w:t>
            </w:r>
            <w:r>
              <w:rPr>
                <w:rFonts w:ascii="Times New Roman" w:hAnsi="Times New Roman"/>
                <w:noProof/>
              </w:rPr>
              <w:t xml:space="preserve">osti v letu 2017 znašala 73,3 % za EU in 73,1 % za euroobmočje, kar je 2,5 oziroma 2 odstotni točki več od ravni iz leta 2008. Ta naraščajoči trend je večinoma posledica večje udeležbe starejših delavcev in žensk na trgu dela. </w:t>
            </w:r>
          </w:p>
          <w:p w:rsidR="00BB7D09" w:rsidRDefault="00BB7D09">
            <w:pPr>
              <w:autoSpaceDE w:val="0"/>
              <w:autoSpaceDN w:val="0"/>
              <w:adjustRightInd w:val="0"/>
              <w:spacing w:after="0" w:line="240" w:lineRule="auto"/>
              <w:rPr>
                <w:rFonts w:ascii="Times New Roman" w:hAnsi="Times New Roman" w:cs="Times New Roman"/>
                <w:noProof/>
              </w:rPr>
            </w:pPr>
          </w:p>
          <w:p w:rsidR="00BB7D09" w:rsidRDefault="00A35831">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Stopnje dolgotrajne brezpos</w:t>
            </w:r>
            <w:r>
              <w:rPr>
                <w:rFonts w:ascii="Times New Roman" w:hAnsi="Times New Roman"/>
                <w:b/>
                <w:noProof/>
              </w:rPr>
              <w:t>elnosti in brezposelnosti mladih so še vedno visoke v različnih državah EU, vendar so se izboljšale bolj kot preostali del trga dela.</w:t>
            </w:r>
            <w:r>
              <w:rPr>
                <w:rFonts w:ascii="Times New Roman" w:hAnsi="Times New Roman"/>
                <w:i/>
                <w:noProof/>
              </w:rPr>
              <w:t xml:space="preserve"> Dolgotrajna brezposelnost</w:t>
            </w:r>
            <w:r>
              <w:rPr>
                <w:noProof/>
              </w:rPr>
              <w:t xml:space="preserve"> se je leta 2017 v vseh državah članicah zmanjšala.</w:t>
            </w:r>
            <w:r>
              <w:rPr>
                <w:rFonts w:ascii="Times New Roman" w:hAnsi="Times New Roman"/>
                <w:noProof/>
              </w:rPr>
              <w:t xml:space="preserve"> Samo dve državi sta zabeležili stopnje, ki so</w:t>
            </w:r>
            <w:r>
              <w:rPr>
                <w:rFonts w:ascii="Times New Roman" w:hAnsi="Times New Roman"/>
                <w:noProof/>
              </w:rPr>
              <w:t xml:space="preserve"> višje kot pred tremi leti: v Avstriji je dolgotrajna brezposelnost znašala 1,8 % (0,3 odstotne točke več kot leta 2014), na Finskem pa 2,1 % (povečanje za 0,2 odstotne točke od leta 2014). Nobeno do teh povečanj ne presega praga 0,5 odstotne točke. Najviš</w:t>
            </w:r>
            <w:r>
              <w:rPr>
                <w:rFonts w:ascii="Times New Roman" w:hAnsi="Times New Roman"/>
                <w:noProof/>
              </w:rPr>
              <w:t xml:space="preserve">ja stopnja dolgotrajne brezposelnosti je bila zabeležena v Grčiji (15,6 %), Španiji (7,7 %), Italiji (6,5 %) in na Slovaškem (5,1 %). V treh letih do leta 2017 se je </w:t>
            </w:r>
            <w:r>
              <w:rPr>
                <w:rFonts w:ascii="Times New Roman" w:hAnsi="Times New Roman"/>
                <w:i/>
                <w:noProof/>
              </w:rPr>
              <w:t>stopnja brezposelnosti mladih</w:t>
            </w:r>
            <w:r>
              <w:rPr>
                <w:rFonts w:ascii="Times New Roman" w:hAnsi="Times New Roman"/>
                <w:noProof/>
              </w:rPr>
              <w:t xml:space="preserve"> v vseh državah EU znižala. Padec za 10 odstotnih točk ali ve</w:t>
            </w:r>
            <w:r>
              <w:rPr>
                <w:rFonts w:ascii="Times New Roman" w:hAnsi="Times New Roman"/>
                <w:noProof/>
              </w:rPr>
              <w:t>č v istem obdobju je bil zabeležen v Bolgariji, na Hrvaškem, Cipru, Portugalskem, Slovaškem in v Španiji. Vendar je stopnja brezposelnosti mladih še vedno nad 30 % v Grčiji, Italiji in Španiji, medtem ko je delež mladih, ki niso zaposleni, se ne izobražuje</w:t>
            </w:r>
            <w:r>
              <w:rPr>
                <w:rFonts w:ascii="Times New Roman" w:hAnsi="Times New Roman"/>
                <w:noProof/>
              </w:rPr>
              <w:t xml:space="preserve">jo ali usposabljajo, še vedno nad 15 % v Bolgariji, na Hrvaškem, Cipru, v Grčiji, Italiji in Romuniji.  </w:t>
            </w:r>
          </w:p>
          <w:p w:rsidR="00BB7D09" w:rsidRDefault="00BB7D09">
            <w:pPr>
              <w:autoSpaceDE w:val="0"/>
              <w:autoSpaceDN w:val="0"/>
              <w:adjustRightInd w:val="0"/>
              <w:spacing w:after="0" w:line="240" w:lineRule="auto"/>
              <w:rPr>
                <w:rFonts w:ascii="Times New Roman" w:hAnsi="Times New Roman" w:cs="Times New Roman"/>
                <w:i/>
                <w:iCs/>
                <w:noProof/>
              </w:rPr>
            </w:pPr>
          </w:p>
          <w:p w:rsidR="00BB7D09" w:rsidRDefault="00A35831">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Čeprav se socialne razmere izboljšujejo, so še vedno zaskrbljujoče v različnih državah EU, kot kažejo standardna merila revščine in prikrajšanosti.</w:t>
            </w:r>
            <w:r>
              <w:rPr>
                <w:rFonts w:ascii="Times New Roman" w:hAnsi="Times New Roman"/>
                <w:noProof/>
              </w:rPr>
              <w:t xml:space="preserve"> Delež ljudi, ki jim grozi revščina ali socialna izključenost, se je med letoma 2016 in 2017 v EU zmanjšal za eno odstotno točko na 22,5 %</w:t>
            </w:r>
            <w:r>
              <w:rPr>
                <w:rStyle w:val="FootnoteReference"/>
                <w:rFonts w:ascii="Times New Roman" w:hAnsi="Times New Roman"/>
                <w:noProof/>
              </w:rPr>
              <w:footnoteReference w:id="36"/>
            </w:r>
            <w:r>
              <w:rPr>
                <w:rFonts w:ascii="Times New Roman" w:hAnsi="Times New Roman"/>
                <w:noProof/>
              </w:rPr>
              <w:t xml:space="preserve">. To je za približno eno odstotno točko pod stopnjo, zabeleženo ob začetku krize, in za okrog dve odstotni točki pod </w:t>
            </w:r>
            <w:r>
              <w:rPr>
                <w:rFonts w:ascii="Times New Roman" w:hAnsi="Times New Roman"/>
                <w:noProof/>
              </w:rPr>
              <w:t xml:space="preserve">najvišjo ravnjo iz leta 2013. Večina držav je v letu 2017 zabeležila zmanjšanje. V Avstriji, na Danskem, v Luksemburgu in na Nizozemskem so bila zabeležena povečanja, vendar z razmeroma nizkih ravni. Stopnja tveganja revščine ali socialne izključenosti se </w:t>
            </w:r>
            <w:r>
              <w:rPr>
                <w:rFonts w:ascii="Times New Roman" w:hAnsi="Times New Roman"/>
                <w:noProof/>
              </w:rPr>
              <w:t>je med državami znatno razlikovala od na eni strani 38,9 % v Bolgariji, ki ji sledijo Romunija, Grčija in Litva, in do približno 12 % na Češkem, ki ji sledijo Finska, Slovaška in Nizozemska, na drugi strani. Ta dinamika na področju revščine in socialne izk</w:t>
            </w:r>
            <w:r>
              <w:rPr>
                <w:rFonts w:ascii="Times New Roman" w:hAnsi="Times New Roman"/>
                <w:noProof/>
              </w:rPr>
              <w:t>ljučenosti odraža različen razvoj različnih elementov kazalnika.</w:t>
            </w:r>
            <w:r>
              <w:rPr>
                <w:rFonts w:ascii="Times New Roman" w:hAnsi="Times New Roman"/>
                <w:b/>
                <w:noProof/>
              </w:rPr>
              <w:t xml:space="preserve"> </w:t>
            </w:r>
            <w:r>
              <w:rPr>
                <w:rFonts w:ascii="Times New Roman" w:hAnsi="Times New Roman"/>
                <w:noProof/>
              </w:rPr>
              <w:t>Delež ljudi, ki jim grozi revščina, se je v nekaterih državah članicah povečal, medtem ko se je v drugih v zadnjih letih zmanjšal: največje povečanje v obdobju treh let je bilo zabeleženo v L</w:t>
            </w:r>
            <w:r>
              <w:rPr>
                <w:rFonts w:ascii="Times New Roman" w:hAnsi="Times New Roman"/>
                <w:noProof/>
              </w:rPr>
              <w:t>itvi (3,8 odstotne točke) in Luksemburgu (2,3), medtem ko je bilo znatno zmanjšanje zabeleženo v Grčiji (1,9) in na Poljskem (2,0). Nasprotno pa se je stopnja resne materialne prikrajšanosti v triletnem obdobju (in tudi v letu 2017) v večini držav članicah</w:t>
            </w:r>
            <w:r>
              <w:rPr>
                <w:rFonts w:ascii="Times New Roman" w:hAnsi="Times New Roman"/>
                <w:noProof/>
              </w:rPr>
              <w:t xml:space="preserve"> EU znižala; na Madžarskem, v Latviji, na Malti in v Romuniji se je v triletnem obdobju znižala za več kot 5 odstotnih točk. In končno, medtem ko je v večini držav okrevanje povzročilo upad deleža ljudi (mlajših od 60 let), ki živijo v gospodinjstvih z zel</w:t>
            </w:r>
            <w:r>
              <w:rPr>
                <w:rFonts w:ascii="Times New Roman" w:hAnsi="Times New Roman"/>
                <w:noProof/>
              </w:rPr>
              <w:t>o nizko intenzivnostjo dela, se je ta delež v obdobju treh let do leta 2017 povečal na Finskem in v Litvi, revščina zaposlenih pa se je v zadnjih dveh letih ustalila na najvišji ravni 9,6 % za EU kot celoto.</w:t>
            </w:r>
          </w:p>
        </w:tc>
      </w:tr>
    </w:tbl>
    <w:p w:rsidR="00BB7D09" w:rsidRDefault="00A35831">
      <w:pPr>
        <w:rPr>
          <w:rFonts w:ascii="Times New Roman" w:eastAsia="Times New Roman" w:hAnsi="Times New Roman" w:cs="Times New Roman"/>
          <w:b/>
          <w:noProof/>
          <w:sz w:val="24"/>
          <w:szCs w:val="24"/>
        </w:rPr>
      </w:pPr>
      <w:r>
        <w:rPr>
          <w:noProof/>
        </w:rPr>
        <w:br w:type="page"/>
      </w:r>
    </w:p>
    <w:p w:rsidR="00BB7D09" w:rsidRDefault="00A35831">
      <w:pPr>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 xml:space="preserve">Povzetek glavnih izzivov po državah </w:t>
      </w:r>
      <w:r>
        <w:rPr>
          <w:rFonts w:ascii="Times New Roman Bold" w:hAnsi="Times New Roman Bold"/>
          <w:b/>
          <w:smallCaps/>
          <w:noProof/>
        </w:rPr>
        <w:t>članicah, primeri in posledice za nadzor</w:t>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Na splošno so v številnih državah članicah še vedno prisotna tveganja v različnih kombinacijah.</w:t>
      </w:r>
      <w:r>
        <w:rPr>
          <w:rFonts w:ascii="Times New Roman" w:hAnsi="Times New Roman"/>
          <w:noProof/>
        </w:rPr>
        <w:t xml:space="preserve"> Stopnja resnosti izzivov za makroekonomsko stabilnost se po državah članicah zelo razlikuje, odvisno od narave in razse</w:t>
      </w:r>
      <w:r>
        <w:rPr>
          <w:rFonts w:ascii="Times New Roman" w:hAnsi="Times New Roman"/>
          <w:noProof/>
        </w:rPr>
        <w:t>žnosti ranljivosti in nevzdržnih trendov ter načina njihovega medsebojnega učinkovanja in kombiniranja. Glavni viri tveganj se kombinirajo v skladu z vrsto tipologij, ki so povzete tukaj:</w:t>
      </w:r>
    </w:p>
    <w:p w:rsidR="00BB7D09" w:rsidRDefault="00A35831">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Številne države članice so predvsem izpostavljene </w:t>
      </w:r>
      <w:r>
        <w:rPr>
          <w:rFonts w:ascii="Times New Roman" w:hAnsi="Times New Roman"/>
          <w:i/>
          <w:noProof/>
        </w:rPr>
        <w:t xml:space="preserve">več in medsebojno </w:t>
      </w:r>
      <w:r>
        <w:rPr>
          <w:rFonts w:ascii="Times New Roman" w:hAnsi="Times New Roman"/>
          <w:i/>
          <w:noProof/>
        </w:rPr>
        <w:t>povezanim ranljivostim v zvezi s stanji</w:t>
      </w:r>
      <w:r>
        <w:rPr>
          <w:rFonts w:ascii="Times New Roman" w:hAnsi="Times New Roman"/>
          <w:noProof/>
        </w:rPr>
        <w:t xml:space="preserve">. To običajno velja za države, ki so jih prizadeli kreditni cikli razcveta in upada skupaj s preobrati na tekočih računih, ki so prav tako imeli posledice za bančni sektor in javni dolg. </w:t>
      </w:r>
    </w:p>
    <w:p w:rsidR="00BB7D09" w:rsidRDefault="00A35831">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V primeru Cipra in Grčije se </w:t>
      </w:r>
      <w:r>
        <w:rPr>
          <w:rFonts w:ascii="Times New Roman" w:hAnsi="Times New Roman"/>
          <w:noProof/>
        </w:rPr>
        <w:t>visoki ravni dolga in visokemu negativnemu neto stanju mednarodnih naložb pridružujejo preostali izzivi za finančni sektor. Ti državi se še vedno soočata z obravnavanjem znatnih potreb po razdolževanju v okviru omejenega fiskalnega manevrskega prostora, vi</w:t>
      </w:r>
      <w:r>
        <w:rPr>
          <w:rFonts w:ascii="Times New Roman" w:hAnsi="Times New Roman"/>
          <w:noProof/>
        </w:rPr>
        <w:t xml:space="preserve">sokih (vendar padajočih) ravni brezposelnosti in skromne potencialne rasti. </w:t>
      </w:r>
    </w:p>
    <w:p w:rsidR="00BB7D09" w:rsidRDefault="00A35831">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Na Hrvaškem, Irskem, Portugalskem in v Španiji so ranljivosti, ki izhajajo iz stanj iz preteklosti, prav tako znatne, številne in medsebojno povezane. Za Bolgarijo je značilna vis</w:t>
      </w:r>
      <w:r>
        <w:rPr>
          <w:rFonts w:ascii="Times New Roman" w:hAnsi="Times New Roman"/>
          <w:noProof/>
        </w:rPr>
        <w:t>oka zadolženost podjetij skupaj z nerešenimi težavami v finančnem sektorju. V teh državah se neravnotežja na strani stanj zmanjšujejo zaradi gospodarske rasti, ki jo v nekaterih primerih spremljajo ponovni stroškovni pritiski, ki se izražajo na ravni cen s</w:t>
      </w:r>
      <w:r>
        <w:rPr>
          <w:rFonts w:ascii="Times New Roman" w:hAnsi="Times New Roman"/>
          <w:noProof/>
        </w:rPr>
        <w:t xml:space="preserve">tanovanjskih nepremičnin (zlasti na Irskem in vedno bolj tudi na Portugalskem), in vedno počasnejše naraščanje stroškovne konkurenčnosti (velika povečanja stroškov dela na enoto so bila zabeležena predvsem v Bolgariji).  </w:t>
      </w:r>
    </w:p>
    <w:p w:rsidR="00BB7D09" w:rsidRDefault="00A35831">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V nekaj državah članicah so ranlji</w:t>
      </w:r>
      <w:r>
        <w:rPr>
          <w:rFonts w:ascii="Times New Roman" w:hAnsi="Times New Roman"/>
          <w:noProof/>
        </w:rPr>
        <w:t xml:space="preserve">vosti zlasti povezane z </w:t>
      </w:r>
      <w:r>
        <w:rPr>
          <w:rFonts w:ascii="Times New Roman" w:hAnsi="Times New Roman"/>
          <w:i/>
          <w:noProof/>
        </w:rPr>
        <w:t>velikim dolgom sektorja država</w:t>
      </w:r>
      <w:r>
        <w:rPr>
          <w:rFonts w:ascii="Times New Roman" w:hAnsi="Times New Roman"/>
          <w:noProof/>
        </w:rPr>
        <w:t xml:space="preserve"> ter pomisleki glede </w:t>
      </w:r>
      <w:r>
        <w:rPr>
          <w:rFonts w:ascii="Times New Roman" w:hAnsi="Times New Roman"/>
          <w:i/>
          <w:noProof/>
        </w:rPr>
        <w:t>rasti potencialnega proizvoda</w:t>
      </w:r>
      <w:r>
        <w:rPr>
          <w:noProof/>
        </w:rPr>
        <w:t xml:space="preserve"> in </w:t>
      </w:r>
      <w:r>
        <w:rPr>
          <w:rFonts w:ascii="Times New Roman" w:hAnsi="Times New Roman"/>
          <w:i/>
          <w:noProof/>
        </w:rPr>
        <w:t>konkurenčnosti</w:t>
      </w:r>
      <w:r>
        <w:rPr>
          <w:noProof/>
        </w:rPr>
        <w:t>. To velja zlasti za Italijo, kjer so ranljivosti povezane tudi z bančnim sektorjem in visoko ravnjo slabih posojil, ki sicer zadnje č</w:t>
      </w:r>
      <w:r>
        <w:rPr>
          <w:noProof/>
        </w:rPr>
        <w:t>ase hitro upada. Belgija in Francija se prav tako soočata z vprašanji glede visokega dolga sektorja država in potencialne rasti v razmerah slabše konkurenčnosti, ne pa tudi s podobnimi morebitnimi tveganji za javni dolg, ki bi izhajala iz ranljivih bank. V</w:t>
      </w:r>
      <w:r>
        <w:rPr>
          <w:noProof/>
        </w:rPr>
        <w:t xml:space="preserve"> Franciji razmeroma visok delež dolga podjetij narašča. V Belgiji razmeroma visok dolg gospodinjstev spremlja morebitna precenjenost cen stanovanjskih nepremičnin.</w:t>
      </w:r>
    </w:p>
    <w:p w:rsidR="00BB7D09" w:rsidRDefault="00A35831">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Za nekatere države članice so značilni </w:t>
      </w:r>
      <w:r>
        <w:rPr>
          <w:rFonts w:ascii="Times New Roman" w:hAnsi="Times New Roman"/>
          <w:i/>
          <w:noProof/>
        </w:rPr>
        <w:t>veliki in vztrajni presežki na tekočem računu</w:t>
      </w:r>
      <w:r>
        <w:rPr>
          <w:rFonts w:ascii="Times New Roman" w:hAnsi="Times New Roman"/>
          <w:noProof/>
        </w:rPr>
        <w:t xml:space="preserve"> , ki v </w:t>
      </w:r>
      <w:r>
        <w:rPr>
          <w:rFonts w:ascii="Times New Roman" w:hAnsi="Times New Roman"/>
          <w:noProof/>
        </w:rPr>
        <w:t>različnem obsegu odražajo tudi skromno zasebno potrošnjo in naložbe ter presegajo raven, pričakovano v skladu z gospodarskimi temelji. To velja zlasti za Nemčijo in Nizozemsko. Pri Nemčiji je to povezano z razdolževanjem v vseh sektorjih gospodarstva, čepr</w:t>
      </w:r>
      <w:r>
        <w:rPr>
          <w:rFonts w:ascii="Times New Roman" w:hAnsi="Times New Roman"/>
          <w:noProof/>
        </w:rPr>
        <w:t>av deleži dolga primerjalno niso visoki. Na Nizozemskem velik presežek spremljata visoka stopnja zadolženosti gospodinjstev in močna rast cen stanovanjskih nepremičnin. Veliki in stalni presežki lahko pomenijo neizkoriščene priložnosti za rast in domače na</w:t>
      </w:r>
      <w:r>
        <w:rPr>
          <w:rFonts w:ascii="Times New Roman" w:hAnsi="Times New Roman"/>
          <w:noProof/>
        </w:rPr>
        <w:t>ložbe, kar lahko vpliva na preostali del euroobmočja v razmerah inflacije, ki je še vedno pod ciljno, ter zunanjega okolja, ki postaja vse bolj negotovo in lahko postane manj ugodno.</w:t>
      </w:r>
    </w:p>
    <w:p w:rsidR="00BB7D09" w:rsidRDefault="00A35831">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nekaterih državah članicah </w:t>
      </w:r>
      <w:r>
        <w:rPr>
          <w:rFonts w:ascii="Times New Roman" w:hAnsi="Times New Roman"/>
          <w:i/>
          <w:noProof/>
        </w:rPr>
        <w:t>gibanje cenovnih ali stroškovnih spremenljiv</w:t>
      </w:r>
      <w:r>
        <w:rPr>
          <w:rFonts w:ascii="Times New Roman" w:hAnsi="Times New Roman"/>
          <w:i/>
          <w:noProof/>
        </w:rPr>
        <w:t>k kaže morebitne znake pregrevanja, zlasti v primeru trga stanovanjskih nepremičnin ali trga dela</w:t>
      </w:r>
      <w:r>
        <w:rPr>
          <w:rFonts w:ascii="Times New Roman" w:hAnsi="Times New Roman"/>
          <w:noProof/>
        </w:rPr>
        <w:t xml:space="preserve">. </w:t>
      </w:r>
    </w:p>
    <w:p w:rsidR="00BB7D09" w:rsidRDefault="00A35831">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Na Švedskem in v manjšem obsegu v Avstriji, na Danskem, v Luksemburgu, na Nizozemskem in v Združenem kraljestvu vztrajna rast cen stanovanjskih nepremičnin </w:t>
      </w:r>
      <w:r>
        <w:rPr>
          <w:rFonts w:ascii="Times New Roman" w:hAnsi="Times New Roman"/>
          <w:noProof/>
        </w:rPr>
        <w:t>poteka v razmerah morebitnih precenitvenih vrzeli in znatnih ravni zadolženosti gospodinjstev, vendar nedavni podatki kažejo, da se cene nepremičnin umirjajo. V številnih državah močno rast cen stanovanjskih nepremičnin spremljajo bolj omejeni znaki precen</w:t>
      </w:r>
      <w:r>
        <w:rPr>
          <w:rFonts w:ascii="Times New Roman" w:hAnsi="Times New Roman"/>
          <w:noProof/>
        </w:rPr>
        <w:t xml:space="preserve">jenosti in omejen dolg gospodinjstev (npr. Češka, Madžarska in Latvija). </w:t>
      </w:r>
    </w:p>
    <w:p w:rsidR="00BB7D09" w:rsidRDefault="00A35831">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Na Češkem, v Estoniji, na Madžarskem, v Latviji, Litvi in Romuniji stroški dela na enoto še naprej razmeroma hitro rastejo, medtem ko se cenovna konkurenčnost zmanjšuje. V primeru </w:t>
      </w:r>
      <w:r>
        <w:rPr>
          <w:rFonts w:ascii="Times New Roman" w:hAnsi="Times New Roman"/>
          <w:noProof/>
        </w:rPr>
        <w:t>Romunije se pospešitev rasti stroškov dela beleži v razmerah vedno večjega primanjkljaja na tekočem računu in procikličnih fiskalnih politik, ki bi lahko še povečale morebitne pritiske zaradi pregrevanja.</w:t>
      </w:r>
    </w:p>
    <w:p w:rsidR="00BB7D09" w:rsidRDefault="00A35831">
      <w:pPr>
        <w:spacing w:before="120" w:after="120"/>
        <w:jc w:val="both"/>
        <w:rPr>
          <w:rFonts w:ascii="Times New Roman" w:eastAsia="Times New Roman" w:hAnsi="Times New Roman" w:cs="Times New Roman"/>
          <w:noProof/>
        </w:rPr>
      </w:pPr>
      <w:r>
        <w:rPr>
          <w:rFonts w:ascii="Times New Roman" w:hAnsi="Times New Roman"/>
          <w:noProof/>
        </w:rPr>
        <w:t>Napovedani poglobljeni pregledi bodo pripomogli k d</w:t>
      </w:r>
      <w:r>
        <w:rPr>
          <w:rFonts w:ascii="Times New Roman" w:hAnsi="Times New Roman"/>
          <w:noProof/>
        </w:rPr>
        <w:t xml:space="preserve">odatni poglobitvi analize teh izzivov in ocene potrebnih politik.  </w:t>
      </w:r>
    </w:p>
    <w:p w:rsidR="00BB7D09" w:rsidRDefault="00A35831">
      <w:pPr>
        <w:spacing w:before="120" w:after="120"/>
        <w:jc w:val="both"/>
        <w:rPr>
          <w:rFonts w:ascii="Times New Roman" w:eastAsia="Times New Roman" w:hAnsi="Times New Roman" w:cs="Times New Roman"/>
          <w:noProof/>
        </w:rPr>
      </w:pPr>
      <w:r>
        <w:rPr>
          <w:rFonts w:ascii="Times New Roman" w:hAnsi="Times New Roman"/>
          <w:b/>
          <w:noProof/>
        </w:rPr>
        <w:t>Poglobljeni pregled je treba opraviti za 13 držav članic, in sicer Bolgarijo, Ciper, Francijo, Grčijo, Hrvaško, Irsko, Italijo, Nemčijo, Nizozemsko, Portugalsko, Romunijo, Španijo in Šveds</w:t>
      </w:r>
      <w:r>
        <w:rPr>
          <w:rFonts w:ascii="Times New Roman" w:hAnsi="Times New Roman"/>
          <w:b/>
          <w:noProof/>
        </w:rPr>
        <w:t>ko.</w:t>
      </w:r>
      <w:r>
        <w:rPr>
          <w:rFonts w:ascii="Times New Roman" w:hAnsi="Times New Roman"/>
          <w:noProof/>
        </w:rPr>
        <w:t xml:space="preserve"> Za enajst od teh držav članic je bil poglobljeni pregled opravljen tudi v prejšnjem letnem ciklu postopka v zvezi z makroekonomskimi neravnotežji. V skladu z ustaljeno prakso bo pripravljen nov poglobljeni pregled za oceno, ali se ugotovljena neravnote</w:t>
      </w:r>
      <w:r>
        <w:rPr>
          <w:rFonts w:ascii="Times New Roman" w:hAnsi="Times New Roman"/>
          <w:noProof/>
        </w:rPr>
        <w:t>žja zaostrujejo ali odpravljajo, z namenom posodobitve obstoječe ocene. Te države članice so Bolgarija, Hrvaška, Ciper, Francija, Nemčija, Irska, Italija, Nizozemska, Portugalska, Španija in Švedska. Poglobljeni pregled bo opravljen tudi za Grčijo, da se o</w:t>
      </w:r>
      <w:r>
        <w:rPr>
          <w:rFonts w:ascii="Times New Roman" w:hAnsi="Times New Roman"/>
          <w:noProof/>
        </w:rPr>
        <w:t>cenijo možna neravnotežja, ki izhajajo iz več virov, zlasti pa iz ranljivosti v zvezi s stanji. Grčija je bila prej izključena iz nadzora v okviru postopka v zvezi z makroekonomskimi neravnotežji, ker je bila do avgusta 2018 vključena v program za makroeko</w:t>
      </w:r>
      <w:r>
        <w:rPr>
          <w:rFonts w:ascii="Times New Roman" w:hAnsi="Times New Roman"/>
          <w:noProof/>
        </w:rPr>
        <w:t>nomsko prilagoditev v okviru finančne pomoči. Ocena iz poročila o mehanizmu opozarjanja ne kaže na dodatna tveganja v primerjavi s tistimi, opredeljenimi v zadnjih razpoložljivih poglobljenih pregledih, za vrsto držav članic, za katere se je v zadnjih leti</w:t>
      </w:r>
      <w:r>
        <w:rPr>
          <w:rFonts w:ascii="Times New Roman" w:hAnsi="Times New Roman"/>
          <w:noProof/>
        </w:rPr>
        <w:t>h prenehal nadzor v okviru postopka v zvezi z makroekonomskimi neravnotežji (za Slovenijo leta 2018, za Finsko leta 2017 ter za Belgijo in Madžarsko leta 2016), ali za katere v poglobljenih pregledih niso bila ugotovljena neravnotežja (za Avstrijo in Eston</w:t>
      </w:r>
      <w:r>
        <w:rPr>
          <w:rFonts w:ascii="Times New Roman" w:hAnsi="Times New Roman"/>
          <w:noProof/>
        </w:rPr>
        <w:t>ijo leta 2016). Namesto tega se zdi utemeljeno pripraviti poglobljeni pregled za Romunijo, da se ocenita razvoj in možna ponovna pojavitev tveganih trendov, ki so bili opredeljeni že v prejšnjih poglobljenih pregledih, zlasti v zvezi s konkurenčnostjo in z</w:t>
      </w:r>
      <w:r>
        <w:rPr>
          <w:rFonts w:ascii="Times New Roman" w:hAnsi="Times New Roman"/>
          <w:noProof/>
        </w:rPr>
        <w:t xml:space="preserve">unanjim saldom. </w:t>
      </w:r>
    </w:p>
    <w:p w:rsidR="00BB7D09" w:rsidRDefault="00BB7D09">
      <w:pPr>
        <w:rPr>
          <w:rFonts w:ascii="Times New Roman" w:hAnsi="Times New Roman" w:cs="Times New Roman"/>
          <w:noProof/>
        </w:rPr>
      </w:pPr>
    </w:p>
    <w:p w:rsidR="00BB7D09" w:rsidRDefault="00A35831">
      <w:pPr>
        <w:rPr>
          <w:rFonts w:ascii="Times New Roman" w:hAnsi="Times New Roman" w:cs="Times New Roman"/>
          <w:b/>
          <w:noProof/>
        </w:rPr>
      </w:pPr>
      <w:r>
        <w:rPr>
          <w:noProof/>
        </w:rPr>
        <w:br w:type="page"/>
      </w:r>
    </w:p>
    <w:p w:rsidR="00BB7D09" w:rsidRDefault="00A35831">
      <w:pPr>
        <w:pStyle w:val="Heading1"/>
        <w:rPr>
          <w:rFonts w:hint="eastAsia"/>
        </w:rPr>
      </w:pPr>
      <w:r>
        <w:t>4.</w:t>
      </w:r>
      <w:r>
        <w:tab/>
        <w:t>Neravnotežja, tveganja in prilagajanje: pripombe glede posameznih držav članic</w:t>
      </w:r>
    </w:p>
    <w:p w:rsidR="00BB7D09" w:rsidRDefault="00BB7D09">
      <w:pPr>
        <w:spacing w:after="160" w:line="259" w:lineRule="auto"/>
        <w:rPr>
          <w:rFonts w:ascii="Times New Roman" w:eastAsia="Calibri" w:hAnsi="Times New Roman" w:cs="Times New Roman"/>
          <w:b/>
          <w:noProof/>
        </w:rPr>
      </w:pP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35040" behindDoc="0" locked="0" layoutInCell="1" allowOverlap="1">
            <wp:simplePos x="0" y="0"/>
            <wp:positionH relativeFrom="column">
              <wp:posOffset>3443605</wp:posOffset>
            </wp:positionH>
            <wp:positionV relativeFrom="paragraph">
              <wp:posOffset>409575</wp:posOffset>
            </wp:positionV>
            <wp:extent cx="2523490" cy="2962275"/>
            <wp:effectExtent l="0" t="0" r="0" b="0"/>
            <wp:wrapSquare wrapText="lef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349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Belgija:</w:t>
      </w:r>
      <w:r>
        <w:rPr>
          <w:rFonts w:ascii="Times New Roman" w:hAnsi="Times New Roman"/>
          <w:noProof/>
        </w:rPr>
        <w:t xml:space="preserve"> V prejšnjem krogu postopka v zvezi z makroekonomskimi neravnotežji za Belgijo </w:t>
      </w:r>
      <w:r>
        <w:rPr>
          <w:rFonts w:ascii="Times New Roman" w:hAnsi="Times New Roman"/>
          <w:i/>
          <w:noProof/>
        </w:rPr>
        <w:t>niso bila ugotovljena makroekonomska neravnotežja</w:t>
      </w:r>
      <w:r>
        <w:rPr>
          <w:rFonts w:ascii="Times New Roman" w:hAnsi="Times New Roman"/>
          <w:noProof/>
        </w:rPr>
        <w:t xml:space="preserve">. V posodobljeni preglednici več kazalnikov presega okvirni prag, in sicer zasebni in javni dolg. </w:t>
      </w:r>
    </w:p>
    <w:p w:rsidR="00BB7D09" w:rsidRDefault="00A35831">
      <w:pPr>
        <w:spacing w:after="120" w:line="300" w:lineRule="atLeast"/>
        <w:jc w:val="both"/>
        <w:rPr>
          <w:rFonts w:ascii="Times New Roman" w:eastAsia="Calibri" w:hAnsi="Times New Roman" w:cs="Times New Roman"/>
          <w:noProof/>
        </w:rPr>
      </w:pPr>
      <w:r>
        <w:rPr>
          <w:noProof/>
          <w:lang w:val="fr-BE" w:eastAsia="fr-BE" w:bidi="ar-SA"/>
        </w:rPr>
        <w:drawing>
          <wp:anchor distT="0" distB="0" distL="114300" distR="114300" simplePos="0" relativeHeight="251736064" behindDoc="0" locked="0" layoutInCell="1" allowOverlap="1">
            <wp:simplePos x="0" y="0"/>
            <wp:positionH relativeFrom="column">
              <wp:posOffset>3415030</wp:posOffset>
            </wp:positionH>
            <wp:positionV relativeFrom="paragraph">
              <wp:posOffset>4607560</wp:posOffset>
            </wp:positionV>
            <wp:extent cx="2552065" cy="2865120"/>
            <wp:effectExtent l="0" t="0" r="635" b="0"/>
            <wp:wrapSquare wrapText="lef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065"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Zunanja vzdržnost temelji na izboljšanju salda tekočega računa in ugodnega neto stanja mednarodnih naložb. Po nekaj letih upočasnitve rasti plač se je rast </w:t>
      </w:r>
      <w:r>
        <w:rPr>
          <w:rFonts w:ascii="Times New Roman" w:hAnsi="Times New Roman"/>
          <w:noProof/>
        </w:rPr>
        <w:t>stroškov dela na enoto povečala, vendar ostaja omejena. Leta 2017 je bilo zabeleženo manjše zmanjšanje deleža na izvoznih trgih. Zasebni dolg je razmeroma visok, zlasti pri nefinančnih družbah, čeprav podatke o dolgu napihuje razširjeno posojanje znotraj s</w:t>
      </w:r>
      <w:r>
        <w:rPr>
          <w:rFonts w:ascii="Times New Roman" w:hAnsi="Times New Roman"/>
          <w:noProof/>
        </w:rPr>
        <w:t>kupin med subjekti v različnih državah. Tveganja, povezana z zadolženostjo gospodinjstev, izvirajo predvsem iz trga stanovanjskih nepremičnin, na katerem je bila realna rast cen stanovanjskih nepremičnin v zadnjih letih skromna, čeprav za hitro rast pred l</w:t>
      </w:r>
      <w:r>
        <w:rPr>
          <w:rFonts w:ascii="Times New Roman" w:hAnsi="Times New Roman"/>
          <w:noProof/>
        </w:rPr>
        <w:t>etom 2008 ni bilo nobenega popravka. Javni dolg se je izravnal in nekoliko zmanjšal v primerjavi z najvišjo ravnjo leta 2014. Kljub temu visoka raven dolga še vedno predstavlja velik izziv za dolgoročno vzdržnost javnih financ. Razmere na trgu dela so se i</w:t>
      </w:r>
      <w:r>
        <w:rPr>
          <w:rFonts w:ascii="Times New Roman" w:hAnsi="Times New Roman"/>
          <w:noProof/>
        </w:rPr>
        <w:t xml:space="preserve">zboljšale, brezposelnost pa se še naprej zmanjšuje, vključno z dolgotrajno brezposelnostjo in brezposelnostjo mladih. Stopnja delovne aktivnosti ostaja nizka v primerjavi z drugimi državami EU, kar je v nasprotju z visokim in naraščajočim številom prostih </w:t>
      </w:r>
      <w:r>
        <w:rPr>
          <w:rFonts w:ascii="Times New Roman" w:hAnsi="Times New Roman"/>
          <w:noProof/>
        </w:rPr>
        <w:t>delovnih mest.</w:t>
      </w:r>
    </w:p>
    <w:p w:rsidR="00BB7D09" w:rsidRDefault="00A35831">
      <w:pPr>
        <w:spacing w:after="120" w:line="300" w:lineRule="atLeast"/>
        <w:jc w:val="both"/>
        <w:rPr>
          <w:rFonts w:ascii="Times New Roman" w:eastAsia="Calibri" w:hAnsi="Times New Roman" w:cs="Times New Roman"/>
          <w:i/>
          <w:noProof/>
        </w:rPr>
      </w:pPr>
      <w:r>
        <w:rPr>
          <w:rFonts w:ascii="Times New Roman" w:hAnsi="Times New Roman"/>
          <w:i/>
          <w:noProof/>
        </w:rPr>
        <w:t>Na splošno ekonomska razlaga izpostavlja vprašanja, povezana predvsem z javno, pa tudi zasebno zadolženostjo, vendar čeprav se zdijo tveganja omejena. Zato Komisija na tej stopnji ne bo izvedla nadaljnje poglobljene analize v okviru postopka</w:t>
      </w:r>
      <w:r>
        <w:rPr>
          <w:rFonts w:ascii="Times New Roman" w:hAnsi="Times New Roman"/>
          <w:i/>
          <w:noProof/>
        </w:rPr>
        <w:t xml:space="preserve"> v zvezi z makroekonomskimi neravnotežji.</w:t>
      </w:r>
    </w:p>
    <w:p w:rsidR="00BB7D09" w:rsidRDefault="00BB7D09">
      <w:pPr>
        <w:spacing w:after="120" w:line="300" w:lineRule="atLeast"/>
        <w:jc w:val="both"/>
        <w:rPr>
          <w:rFonts w:ascii="Times New Roman" w:eastAsia="Calibri" w:hAnsi="Times New Roman" w:cs="Times New Roman"/>
          <w:noProof/>
        </w:rPr>
      </w:pPr>
    </w:p>
    <w:p w:rsidR="00BB7D09" w:rsidRDefault="00A35831">
      <w:pPr>
        <w:spacing w:after="160"/>
        <w:jc w:val="both"/>
        <w:rPr>
          <w:noProof/>
        </w:rPr>
      </w:pPr>
      <w:r>
        <w:rPr>
          <w:rFonts w:ascii="Times New Roman" w:hAnsi="Times New Roman"/>
          <w:b/>
          <w:noProof/>
        </w:rPr>
        <w:t>Bolgarija</w:t>
      </w:r>
      <w:r>
        <w:rPr>
          <w:rFonts w:ascii="Times New Roman" w:hAnsi="Times New Roman"/>
          <w:b/>
          <w:i/>
          <w:noProof/>
        </w:rPr>
        <w:t xml:space="preserve">: </w:t>
      </w:r>
      <w:r>
        <w:rPr>
          <w:rFonts w:ascii="Times New Roman" w:hAnsi="Times New Roman"/>
          <w:noProof/>
        </w:rPr>
        <w:t xml:space="preserve">Za Bolgarijo je bilo marca 2018 ugotovljeno, da se sooča z </w:t>
      </w:r>
      <w:r>
        <w:rPr>
          <w:rFonts w:ascii="Times New Roman" w:hAnsi="Times New Roman"/>
          <w:i/>
          <w:noProof/>
        </w:rPr>
        <w:t>neravnotežji</w:t>
      </w:r>
      <w:r>
        <w:rPr>
          <w:rFonts w:ascii="Times New Roman" w:hAnsi="Times New Roman"/>
          <w:noProof/>
        </w:rPr>
        <w:t>, zlasti v zvezi z ranljivostmi v finančnem sektorju in visoko ravnjo zadolženosti ter slabih posojil v podjetniškem sektorju. V po</w:t>
      </w:r>
      <w:r>
        <w:rPr>
          <w:rFonts w:ascii="Times New Roman" w:hAnsi="Times New Roman"/>
          <w:noProof/>
        </w:rPr>
        <w:t xml:space="preserve">sodobljeni preglednici trije kazalniki presegajo okvirni prag, in sicer so to neto stanje mednarodnih naložb, rast nominalnih stroškov dela na enoto in rast realnih cen stanovanjskih nepremičnin. </w:t>
      </w:r>
    </w:p>
    <w:p w:rsidR="00BB7D09" w:rsidRDefault="00A35831">
      <w:pPr>
        <w:spacing w:after="160"/>
        <w:jc w:val="both"/>
        <w:rPr>
          <w:noProof/>
        </w:rPr>
      </w:pPr>
      <w:r>
        <w:rPr>
          <w:rFonts w:ascii="Times New Roman" w:hAnsi="Times New Roman"/>
          <w:noProof/>
        </w:rPr>
        <w:t>Presežek na tekočem računu se je leta 2017 še dodatno poveč</w:t>
      </w:r>
      <w:r>
        <w:rPr>
          <w:rFonts w:ascii="Times New Roman" w:hAnsi="Times New Roman"/>
          <w:noProof/>
        </w:rPr>
        <w:t>al, medtem ko negativno neto stanje mednarodnih naložb odraža predvsem, da so se neposredne tuje naložbe še povečale. Rast stroškov dela na enoto se je v letu 2017 izrazito povečala, vendar je realni efektivni devizni tečaj ostal na splošno stabilen, delež</w:t>
      </w:r>
      <w:r>
        <w:rPr>
          <w:rFonts w:ascii="Times New Roman" w:hAnsi="Times New Roman"/>
          <w:noProof/>
        </w:rPr>
        <w:t xml:space="preserve">i na izvoznih trgih pa so se nekoliko povečali. Visok dolg podjetij je še vedno zaskrbljujoč, čeprav se je delež dolga v zadnjih nekaj letih postopoma zmanjšal, deloma zaradi močne nominalne rasti BDP. Kreditni tokovi se ponovno krepijo, kar bo upočasnilo </w:t>
      </w:r>
      <w:r>
        <w:rPr>
          <w:rFonts w:ascii="Times New Roman" w:hAnsi="Times New Roman"/>
          <w:noProof/>
        </w:rPr>
        <w:t>proces razdolževanja, vendar bi lahko tudi podprlo tudi večje zasebne naložbe in večjo potencialno rast. Delež slabih posojil, ki se sicer zmanjšuje, ostaja prav tako zelo visok, zlasti za podjetniški sektor. Čeprav je bil po pregledu kakovosti sredstev le</w:t>
      </w:r>
      <w:r>
        <w:rPr>
          <w:rFonts w:ascii="Times New Roman" w:hAnsi="Times New Roman"/>
          <w:noProof/>
        </w:rPr>
        <w:t>ta 2016 dosežen napredek pri izboljšanju nadzora finančnega sektorja, je treba še vedno opozoriti na nekatere ranljivosti, med drugim na posle med povezanimi osebami in izpostavljenost do sredstev, ki jih je težko ovrednotiti. Realne cene stanovanjskih nep</w:t>
      </w:r>
      <w:r>
        <w:rPr>
          <w:rFonts w:ascii="Times New Roman" w:hAnsi="Times New Roman"/>
          <w:noProof/>
        </w:rPr>
        <w:t>remičnin so se hitro zvišale, obseg gradbenih in hipotekarnih posojil pa se je tudi povečal. Na tej stopnji še ni znakov precenjenosti, vendar trenutna dinamika na trgu stanovanjskih nepremičnin zahteva posebno pozornost. V tem okviru pozitivnega cikličneg</w:t>
      </w:r>
      <w:r>
        <w:rPr>
          <w:rFonts w:ascii="Times New Roman" w:hAnsi="Times New Roman"/>
          <w:noProof/>
        </w:rPr>
        <w:t>a razvoja se je brezposelnost še dodatno zmanjšala, zlasti za mlade in dolgotrajno brezposelne, stopnja delovne aktivnosti pa se je izboljšala.</w:t>
      </w:r>
    </w:p>
    <w:p w:rsidR="00BB7D09" w:rsidRDefault="00A35831">
      <w:pPr>
        <w:spacing w:after="160"/>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s preostalimi ranljivostmi v finančnem sektorju in </w:t>
      </w:r>
      <w:r>
        <w:rPr>
          <w:rFonts w:ascii="Times New Roman" w:hAnsi="Times New Roman"/>
          <w:i/>
          <w:noProof/>
        </w:rPr>
        <w:t>dolgom podjetij. Zato se zdi Komisiji primerno, tudi ob upoštevanju ugotovljenega neravnotežja v marcu 2018, da nadalje prouči obstoj neravnotežij ali njihovo odpravljanje.</w:t>
      </w:r>
    </w:p>
    <w:p w:rsidR="00BB7D09" w:rsidRDefault="00BB7D09">
      <w:pPr>
        <w:spacing w:after="160" w:line="259" w:lineRule="auto"/>
        <w:jc w:val="both"/>
        <w:rPr>
          <w:noProof/>
        </w:rPr>
      </w:pPr>
    </w:p>
    <w:p w:rsidR="00BB7D09" w:rsidRDefault="00A35831">
      <w:pPr>
        <w:spacing w:after="160" w:line="259" w:lineRule="auto"/>
        <w:jc w:val="both"/>
        <w:rPr>
          <w:rFonts w:ascii="Times New Roman" w:eastAsia="Calibri" w:hAnsi="Times New Roman" w:cs="Times New Roman"/>
          <w:noProof/>
        </w:rPr>
      </w:pPr>
      <w:r>
        <w:rPr>
          <w:rFonts w:ascii="Times New Roman" w:hAnsi="Times New Roman"/>
          <w:b/>
          <w:noProof/>
        </w:rPr>
        <w:t>Češka:</w:t>
      </w:r>
      <w:r>
        <w:rPr>
          <w:rFonts w:ascii="Times New Roman" w:hAnsi="Times New Roman"/>
          <w:noProof/>
        </w:rPr>
        <w:t xml:space="preserve"> V prejšnjem krogu postopka v zvezi z makroekonomskimi neravnotežji za Češko</w:t>
      </w:r>
      <w:r>
        <w:rPr>
          <w:rFonts w:ascii="Times New Roman" w:hAnsi="Times New Roman"/>
          <w:noProof/>
        </w:rPr>
        <w:t xml:space="preserve"> </w:t>
      </w:r>
      <w:r>
        <w:rPr>
          <w:rFonts w:ascii="Times New Roman" w:hAnsi="Times New Roman"/>
          <w:i/>
          <w:noProof/>
        </w:rPr>
        <w:t>niso bila ugotovljena makroekonomska neravnotežja</w:t>
      </w:r>
      <w:r>
        <w:rPr>
          <w:rFonts w:ascii="Times New Roman" w:hAnsi="Times New Roman"/>
          <w:noProof/>
        </w:rPr>
        <w:t xml:space="preserve">. V posodobljeni preglednici več kazalnikov presega okvirni prag, in sicer realne cene stanovanjskih nepremičnin skupne obveznosti finančnega sektorja. </w:t>
      </w: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37088" behindDoc="0" locked="0" layoutInCell="1" allowOverlap="1">
            <wp:simplePos x="0" y="0"/>
            <wp:positionH relativeFrom="column">
              <wp:posOffset>3481705</wp:posOffset>
            </wp:positionH>
            <wp:positionV relativeFrom="paragraph">
              <wp:posOffset>635</wp:posOffset>
            </wp:positionV>
            <wp:extent cx="2314575" cy="3037840"/>
            <wp:effectExtent l="0" t="0" r="0" b="0"/>
            <wp:wrapSquare wrapText="lef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Saldo tekočega računa se izboljšuje in je v letu 201</w:t>
      </w:r>
      <w:r>
        <w:rPr>
          <w:rFonts w:ascii="Times New Roman" w:hAnsi="Times New Roman"/>
          <w:noProof/>
        </w:rPr>
        <w:t xml:space="preserve">7 kazal majhen presežek. Izteku zaveze glede deviznega tečaja aprila 2017 je sledilo povečanje realnega efektivnega deviznega tečaja, neto stanje mednarodnih naložb pa se je še naprej krepilo, čeprav počasneje kot v prejšnjih letih. Nominalni stroški dela </w:t>
      </w:r>
      <w:r>
        <w:rPr>
          <w:rFonts w:ascii="Times New Roman" w:hAnsi="Times New Roman"/>
          <w:noProof/>
        </w:rPr>
        <w:t>na enoto so se zvišali zaradi močne rasti plač in njihova rast naj bi se še pospešila zaradi akutnega pomanjkanja delovne sile na trgu dela. Kljub temu, da se je realni efektivni devizni tečaj povečal, so se deleži na izvoznih trgih v zadnjih letih nekolik</w:t>
      </w:r>
      <w:r>
        <w:rPr>
          <w:rFonts w:ascii="Times New Roman" w:hAnsi="Times New Roman"/>
          <w:noProof/>
        </w:rPr>
        <w:t>o okrepili. Realna rast cen stanovanjskih nepremičnin in hipotekarnih posojil se je še pospešila in zahteva tesno spremljanje. Vendar je dolg zasebnega sektorja zmeren, vključno z dolgom gospodinjstev, ki je stabilen. Javni dolg je nizek in se še naprej zm</w:t>
      </w:r>
      <w:r>
        <w:rPr>
          <w:rFonts w:ascii="Times New Roman" w:hAnsi="Times New Roman"/>
          <w:noProof/>
        </w:rPr>
        <w:t>anjšuje ob podpori proračunskega presežka sektorja država. Rast obveznosti finančnega sektorja se je v letu 2017 znatno pospešila in presegla okvirni prag. Razlog za to je bilo predvsem kupovanje vlog, denominiranih v CZK, s strani nerezidentov pred izteko</w:t>
      </w:r>
      <w:r>
        <w:rPr>
          <w:rFonts w:ascii="Times New Roman" w:hAnsi="Times New Roman"/>
          <w:noProof/>
        </w:rPr>
        <w:t xml:space="preserve">m zaveze glede deviznega tečaja. Stopnja brezposelnosti se je še zmanjšala, trg dela pa se sooča s precejšnjim pomanjkanjem delovne sile in visokim povpraševanjem po njej.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s konkurenčnostjo in p</w:t>
      </w:r>
      <w:r>
        <w:rPr>
          <w:rFonts w:ascii="Times New Roman" w:hAnsi="Times New Roman"/>
          <w:i/>
          <w:noProof/>
        </w:rPr>
        <w:t>ritiski na trgu stanovanjskih nepremičnin, čeprav se tveganja na tej stopnji zdijo omejena. Zato se Komisiji na tej stopnji ne zdi potrebno izvajati nadaljnje poglobljene analize v okviru postopka v zvezi z makroekonomskimi neravnotežji.</w:t>
      </w:r>
    </w:p>
    <w:p w:rsidR="00BB7D09" w:rsidRDefault="00BB7D09">
      <w:pPr>
        <w:spacing w:after="160" w:line="259" w:lineRule="auto"/>
        <w:rPr>
          <w:rFonts w:ascii="Times New Roman" w:eastAsia="Calibri" w:hAnsi="Times New Roman" w:cs="Times New Roman"/>
          <w:b/>
          <w:noProof/>
        </w:rPr>
      </w:pPr>
    </w:p>
    <w:p w:rsidR="00BB7D09" w:rsidRDefault="00A35831">
      <w:pPr>
        <w:spacing w:after="160" w:line="259" w:lineRule="auto"/>
        <w:jc w:val="both"/>
        <w:rPr>
          <w:noProof/>
        </w:rPr>
      </w:pPr>
      <w:r>
        <w:rPr>
          <w:noProof/>
          <w:lang w:val="fr-BE" w:eastAsia="fr-BE" w:bidi="ar-SA"/>
        </w:rPr>
        <w:drawing>
          <wp:anchor distT="0" distB="0" distL="114300" distR="114300" simplePos="0" relativeHeight="251764736" behindDoc="0" locked="0" layoutInCell="1" allowOverlap="1">
            <wp:simplePos x="0" y="0"/>
            <wp:positionH relativeFrom="column">
              <wp:posOffset>3224530</wp:posOffset>
            </wp:positionH>
            <wp:positionV relativeFrom="paragraph">
              <wp:posOffset>622300</wp:posOffset>
            </wp:positionV>
            <wp:extent cx="2514600" cy="3429000"/>
            <wp:effectExtent l="0" t="0" r="0" b="0"/>
            <wp:wrapSquare wrapText="lef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Danska:</w:t>
      </w:r>
      <w:r>
        <w:rPr>
          <w:rFonts w:ascii="Times New Roman" w:hAnsi="Times New Roman"/>
          <w:i/>
          <w:noProof/>
        </w:rPr>
        <w:t xml:space="preserve"> </w:t>
      </w:r>
      <w:r>
        <w:rPr>
          <w:rFonts w:ascii="Times New Roman" w:hAnsi="Times New Roman"/>
          <w:noProof/>
        </w:rPr>
        <w:t>V prejšn</w:t>
      </w:r>
      <w:r>
        <w:rPr>
          <w:rFonts w:ascii="Times New Roman" w:hAnsi="Times New Roman"/>
          <w:noProof/>
        </w:rPr>
        <w:t xml:space="preserve">jem krogu postopka v zvezi z makroekonomskimi neravnotežji za Dansko </w:t>
      </w:r>
      <w:r>
        <w:rPr>
          <w:rFonts w:ascii="Times New Roman" w:hAnsi="Times New Roman"/>
          <w:i/>
          <w:noProof/>
        </w:rPr>
        <w:t>niso bila ugotovljena makroekonomska neravnotežja</w:t>
      </w:r>
      <w:r>
        <w:rPr>
          <w:rFonts w:ascii="Times New Roman" w:hAnsi="Times New Roman"/>
          <w:noProof/>
        </w:rPr>
        <w:t xml:space="preserve">. V posodobljeni preglednici več kazalnikov presega okvirni prag, in sicer saldo tekočega računa in dolg zasebnega sektorja.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Saldo tekoče</w:t>
      </w:r>
      <w:r>
        <w:rPr>
          <w:rFonts w:ascii="Times New Roman" w:hAnsi="Times New Roman"/>
          <w:noProof/>
        </w:rPr>
        <w:t>ga računa še vedno kaže velike presežke. Zaporedni presežki so privedli do velikega pozitivnega neto stanja mednarodnih naložb, kar ustvarja pozitivne neto primarne dohodke, to pa krepi pozitivni saldo tekočega računa. Rast stroškov dela na enoto je umirje</w:t>
      </w:r>
      <w:r>
        <w:rPr>
          <w:rFonts w:ascii="Times New Roman" w:hAnsi="Times New Roman"/>
          <w:noProof/>
        </w:rPr>
        <w:t>na, čeprav razmere na trgu dela v zvezi z nezadostno ponudbo delovne sile pritiskajo na plače in je dinamika produktivnosti omejena. Rast deležev na izvoznih trgih ostaja večinoma nespremenjena. Kljub upočasnitvi na nacionalni ravni so cene stanovanjskih n</w:t>
      </w:r>
      <w:r>
        <w:rPr>
          <w:rFonts w:ascii="Times New Roman" w:hAnsi="Times New Roman"/>
          <w:noProof/>
        </w:rPr>
        <w:t xml:space="preserve">epremičnin na glavnih metropolitanskih območjih še naprej rasle hitreje. Ta razvoj je treba pozorno spremljati. Zadolženost gospodinjstev kot odstotek BDP ostaja najvišja v EU in se le počasi zmanjšuje v razmerah skromne rasti posojil. Gospodinjstva so še </w:t>
      </w:r>
      <w:r>
        <w:rPr>
          <w:rFonts w:ascii="Times New Roman" w:hAnsi="Times New Roman"/>
          <w:noProof/>
        </w:rPr>
        <w:t>naprej povečevala svoje prihranke, kar odraža prizadevanja za zmanjšanje dolga, sprejeti pa so bili ukrepi makrobonitetne politike za omejevanje najemanja tveganih posojil. Zadolženost podjetij po drugi ostaja zmerna. Trg dela se še naprej izboljšuje, rast</w:t>
      </w:r>
      <w:r>
        <w:rPr>
          <w:rFonts w:ascii="Times New Roman" w:hAnsi="Times New Roman"/>
          <w:noProof/>
        </w:rPr>
        <w:t xml:space="preserve"> zaposlovanja je trdna, pomanjkanje delovne sile pa postaja vse bolj razširjeno.</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i/>
          <w:noProof/>
        </w:rPr>
        <w:t xml:space="preserve">Na splošno ekonomska razlaga izpostavlja vprašanja, povezana s tekočim računom, zasebnim dolgom in stanovanjskim sektorjem, vendar se tveganja zdijo omejena. Zato Komisija na </w:t>
      </w:r>
      <w:r>
        <w:rPr>
          <w:rFonts w:ascii="Times New Roman" w:hAnsi="Times New Roman"/>
          <w:i/>
          <w:noProof/>
        </w:rPr>
        <w:t>tej stopnji ne bo izvedla nadaljnje poglobljene analize v okviru postopka v zvezi z makroekonomskimi neravnotežji.</w:t>
      </w: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39136" behindDoc="0" locked="0" layoutInCell="1" allowOverlap="1">
            <wp:simplePos x="0" y="0"/>
            <wp:positionH relativeFrom="column">
              <wp:posOffset>3415030</wp:posOffset>
            </wp:positionH>
            <wp:positionV relativeFrom="paragraph">
              <wp:posOffset>247015</wp:posOffset>
            </wp:positionV>
            <wp:extent cx="2731770" cy="2915920"/>
            <wp:effectExtent l="0" t="0" r="0" b="0"/>
            <wp:wrapSquare wrapText="lef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177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7D09" w:rsidRDefault="00A35831">
      <w:pPr>
        <w:spacing w:after="160" w:line="259" w:lineRule="auto"/>
        <w:jc w:val="both"/>
        <w:rPr>
          <w:noProof/>
        </w:rPr>
      </w:pPr>
      <w:r>
        <w:rPr>
          <w:rFonts w:ascii="Times New Roman" w:hAnsi="Times New Roman"/>
          <w:b/>
          <w:noProof/>
        </w:rPr>
        <w:t>Nemčija</w:t>
      </w:r>
      <w:r>
        <w:rPr>
          <w:rFonts w:ascii="Times New Roman" w:hAnsi="Times New Roman"/>
          <w:b/>
          <w:i/>
          <w:noProof/>
        </w:rPr>
        <w:t>:</w:t>
      </w:r>
      <w:r>
        <w:rPr>
          <w:rFonts w:ascii="Times New Roman" w:hAnsi="Times New Roman"/>
          <w:noProof/>
        </w:rPr>
        <w:t xml:space="preserve"> Komisija je marca 2018 ugotovila, da v Nemčiji obstajajo </w:t>
      </w:r>
      <w:r>
        <w:rPr>
          <w:rFonts w:ascii="Times New Roman" w:hAnsi="Times New Roman"/>
          <w:i/>
          <w:noProof/>
        </w:rPr>
        <w:t>makroekonomska neravnotežja</w:t>
      </w:r>
      <w:r>
        <w:rPr>
          <w:rFonts w:ascii="Times New Roman" w:hAnsi="Times New Roman"/>
          <w:noProof/>
        </w:rPr>
        <w:t>, zlasti v zvezi z velikim presežkom na tekoče</w:t>
      </w:r>
      <w:r>
        <w:rPr>
          <w:rFonts w:ascii="Times New Roman" w:hAnsi="Times New Roman"/>
          <w:noProof/>
        </w:rPr>
        <w:t xml:space="preserve">m računu, ki odraža šibke naložbe glede na prihranke tako v zasebnem kot v javnem sektorju. V posodobljeni preglednici dva kazalnika še naprej presegata okvirni prag, in sicer presežek na tekočem računu in javni dolg.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Tekoči račun še naprej kaže zelo veli</w:t>
      </w:r>
      <w:r>
        <w:rPr>
          <w:rFonts w:ascii="Times New Roman" w:hAnsi="Times New Roman"/>
          <w:noProof/>
        </w:rPr>
        <w:t>ke presežke, čeprav se je leta 2017 nekoliko zmanjšal na letni osnovi. Ob stalni rasti domačega povpraševanja naj bi se presežek na tekočem računu še naprej zmanjševal, vendar naj bi ostal na visoki ravni in povzročil dodatno povečanje neto stanja mednarod</w:t>
      </w:r>
      <w:r>
        <w:rPr>
          <w:rFonts w:ascii="Times New Roman" w:hAnsi="Times New Roman"/>
          <w:noProof/>
        </w:rPr>
        <w:t>nih naložb. Rast stroškov dela na enoto ostaja skromna. Rast izvoza se je leta 2017 okrepila, vendar so se deleži na izvoznih trgih nekoliko zmanjšali. Razdolževanje zasebnega sektorja se nadaljuje kljub majhnemu dolgu tega sektorja. Hkrati se naložbe podj</w:t>
      </w:r>
      <w:r>
        <w:rPr>
          <w:rFonts w:ascii="Times New Roman" w:hAnsi="Times New Roman"/>
          <w:noProof/>
        </w:rPr>
        <w:t xml:space="preserve">etij povečujejo glede na BDP. Tudi naložbe v stanovanjske nepremičnine se še naprej povečujejo, vendar še vedno zaostajajo za potrebami po stanovanjskih objektih na metropolitanskih območjih. Realna rast cen stanovanjskih nepremičnin in stroški gradnje se </w:t>
      </w:r>
      <w:r>
        <w:rPr>
          <w:rFonts w:ascii="Times New Roman" w:hAnsi="Times New Roman"/>
          <w:noProof/>
        </w:rPr>
        <w:t xml:space="preserve">povečujejo in jim je treba nameniti pozornost, tudi v zvezi z regionalnimi razlikami v cenah in razpoložljivostjo stanovanjskih nepremičnin. Rast posojil se postopoma krepi. Stopnja varčevanja gospodinjstev ostaja na povišani ravni kljub zmerni rasti plač </w:t>
      </w:r>
      <w:r>
        <w:rPr>
          <w:rFonts w:ascii="Times New Roman" w:hAnsi="Times New Roman"/>
          <w:noProof/>
        </w:rPr>
        <w:t>in močni zasebni potrošnji, kar odraža večje prilive razdeljenega dobička podjetij. Javni dolg se je še naprej zmanjševal in bo predvidoma padel pod prag 60 % BDP do leta 2019, medtem ko so precejšnji zaostanki v javnih naložbah še vedno veliki. Skupna bre</w:t>
      </w:r>
      <w:r>
        <w:rPr>
          <w:rFonts w:ascii="Times New Roman" w:hAnsi="Times New Roman"/>
          <w:noProof/>
        </w:rPr>
        <w:t xml:space="preserve">zposelnost, brezposelnost mladih in dolgotrajna brezposelnost so se dodatno znižale in so še vedno zelo nizke.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vztrajnim presežkom prihrankov nad naložbami, ki se odraža v visokem in zgolj pos</w:t>
      </w:r>
      <w:r>
        <w:rPr>
          <w:rFonts w:ascii="Times New Roman" w:hAnsi="Times New Roman"/>
          <w:i/>
          <w:noProof/>
        </w:rPr>
        <w:t>topoma padajočem presežku na tekočem računu, kar poudarja potrebo po nadaljnjem ponovnem uravnoteženju. Zato se zdi Komisiji koristno, tudi ob upoštevanju ugotovljenega neravnotežja v marcu 2018, da nadalje prouči obstoj neravnotežij ali njihovo odpravljan</w:t>
      </w:r>
      <w:r>
        <w:rPr>
          <w:rFonts w:ascii="Times New Roman" w:hAnsi="Times New Roman"/>
          <w:i/>
          <w:noProof/>
        </w:rPr>
        <w:t xml:space="preserve">je. </w:t>
      </w:r>
    </w:p>
    <w:p w:rsidR="00BB7D09" w:rsidRDefault="00BB7D09">
      <w:pPr>
        <w:spacing w:after="160" w:line="259" w:lineRule="auto"/>
        <w:jc w:val="both"/>
        <w:rPr>
          <w:rFonts w:ascii="Times New Roman" w:eastAsia="Calibri" w:hAnsi="Times New Roman" w:cs="Times New Roman"/>
          <w:i/>
          <w:noProof/>
        </w:rPr>
      </w:pPr>
    </w:p>
    <w:p w:rsidR="00BB7D09" w:rsidRDefault="00A35831">
      <w:pPr>
        <w:spacing w:after="160" w:line="259" w:lineRule="auto"/>
        <w:jc w:val="both"/>
        <w:rPr>
          <w:noProof/>
        </w:rPr>
      </w:pPr>
      <w:r>
        <w:rPr>
          <w:noProof/>
          <w:lang w:val="fr-BE" w:eastAsia="fr-BE" w:bidi="ar-SA"/>
        </w:rPr>
        <w:drawing>
          <wp:anchor distT="0" distB="0" distL="114300" distR="114300" simplePos="0" relativeHeight="251740160" behindDoc="0" locked="0" layoutInCell="1" allowOverlap="1">
            <wp:simplePos x="0" y="0"/>
            <wp:positionH relativeFrom="column">
              <wp:posOffset>3215005</wp:posOffset>
            </wp:positionH>
            <wp:positionV relativeFrom="paragraph">
              <wp:posOffset>-3175</wp:posOffset>
            </wp:positionV>
            <wp:extent cx="2541270" cy="3037840"/>
            <wp:effectExtent l="0" t="0" r="0" b="0"/>
            <wp:wrapSquare wrapText="lef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270"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Estonija:</w:t>
      </w:r>
      <w:r>
        <w:rPr>
          <w:rFonts w:ascii="Times New Roman" w:hAnsi="Times New Roman"/>
          <w:i/>
          <w:noProof/>
        </w:rPr>
        <w:t xml:space="preserve"> </w:t>
      </w:r>
      <w:r>
        <w:rPr>
          <w:rFonts w:ascii="Times New Roman" w:hAnsi="Times New Roman"/>
          <w:noProof/>
        </w:rPr>
        <w:t xml:space="preserve">V prejšnjem krogu postopka v zvezi z makroekonomskimi neravnotežji za Estonijo </w:t>
      </w:r>
      <w:r>
        <w:rPr>
          <w:rFonts w:ascii="Times New Roman" w:hAnsi="Times New Roman"/>
          <w:i/>
          <w:noProof/>
        </w:rPr>
        <w:t>niso bila ugotovljena makroekonomska neravnotežja</w:t>
      </w:r>
      <w:r>
        <w:rPr>
          <w:rFonts w:ascii="Times New Roman" w:hAnsi="Times New Roman"/>
          <w:noProof/>
        </w:rPr>
        <w:t xml:space="preserve">. V posodobljeni preglednici rast nominalnih stroškov dela na enoto presega okvirni prag.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Presežek na tekočem računu se je v letu 2017 še povečal, neto stanje mednarodnih naložb pa se je izboljšalo in doseglo raven znotraj praga. Nominalni stroški dela na enoto še naprej rastejo po visoki stopnji, kar odraža inflacijo in živahno rast plač. Dina</w:t>
      </w:r>
      <w:r>
        <w:rPr>
          <w:rFonts w:ascii="Times New Roman" w:hAnsi="Times New Roman"/>
          <w:noProof/>
        </w:rPr>
        <w:t>mika produktivnosti je bila omejena, kar je nekoliko vplivalo na kazalnike stroškovne konkurenčnosti. Realni efektivni devizni tečaj se je še naprej višal, deleži na izvoznih trgih pa so bili stabilni. Realna rast cen stanovanjskih nepremičnin je bila v za</w:t>
      </w:r>
      <w:r>
        <w:rPr>
          <w:rFonts w:ascii="Times New Roman" w:hAnsi="Times New Roman"/>
          <w:noProof/>
        </w:rPr>
        <w:t>dnjih letih dinamična, vendar se je v letu 2017 upočasnila na zmerne ravni. Razdolževanje zasebnega sektorja je v teku, raven javnega dolga pa je zelo nizka.  Na trgu dela prihaja do nezadostne ponudbe delovne sile, vendar je priseljevanje do neke mere ubl</w:t>
      </w:r>
      <w:r>
        <w:rPr>
          <w:rFonts w:ascii="Times New Roman" w:hAnsi="Times New Roman"/>
          <w:noProof/>
        </w:rPr>
        <w:t xml:space="preserve">ažilo njeno pomanjkanje.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nominalnimi stroški dela na enoto, vendar se zdijo tveganja omejena. Zato Komisija na tej stopnji ne bo izvedla nadaljnje poglobljene analize v okviru postopka v zvezi</w:t>
      </w:r>
      <w:r>
        <w:rPr>
          <w:rFonts w:ascii="Times New Roman" w:hAnsi="Times New Roman"/>
          <w:i/>
          <w:noProof/>
        </w:rPr>
        <w:t xml:space="preserve"> z makroekonomskimi neravnotežji.</w:t>
      </w:r>
    </w:p>
    <w:p w:rsidR="00BB7D09" w:rsidRDefault="00BB7D09">
      <w:pPr>
        <w:spacing w:after="160" w:line="259" w:lineRule="auto"/>
        <w:jc w:val="both"/>
        <w:rPr>
          <w:rFonts w:ascii="Times New Roman" w:eastAsia="Calibri" w:hAnsi="Times New Roman" w:cs="Times New Roman"/>
          <w:noProof/>
        </w:rPr>
      </w:pPr>
    </w:p>
    <w:p w:rsidR="00BB7D09" w:rsidRDefault="00BB7D09">
      <w:pPr>
        <w:spacing w:after="160" w:line="259" w:lineRule="auto"/>
        <w:jc w:val="both"/>
        <w:rPr>
          <w:rFonts w:ascii="Times New Roman" w:eastAsia="Calibri" w:hAnsi="Times New Roman" w:cs="Times New Roman"/>
          <w:noProof/>
        </w:rPr>
      </w:pPr>
    </w:p>
    <w:p w:rsidR="00BB7D09" w:rsidRDefault="00BB7D09">
      <w:pPr>
        <w:spacing w:after="160" w:line="259" w:lineRule="auto"/>
        <w:jc w:val="both"/>
        <w:rPr>
          <w:rFonts w:ascii="Times New Roman" w:eastAsia="Calibri" w:hAnsi="Times New Roman" w:cs="Times New Roman"/>
          <w:noProof/>
        </w:rPr>
      </w:pPr>
    </w:p>
    <w:p w:rsidR="00BB7D09" w:rsidRDefault="00BB7D09">
      <w:pPr>
        <w:spacing w:after="160" w:line="259" w:lineRule="auto"/>
        <w:jc w:val="both"/>
        <w:rPr>
          <w:rFonts w:ascii="Times New Roman" w:eastAsia="Calibri" w:hAnsi="Times New Roman" w:cs="Times New Roman"/>
          <w:noProof/>
        </w:rPr>
      </w:pPr>
    </w:p>
    <w:p w:rsidR="00BB7D09" w:rsidRDefault="00BB7D09">
      <w:pPr>
        <w:spacing w:after="160" w:line="259" w:lineRule="auto"/>
        <w:jc w:val="both"/>
        <w:rPr>
          <w:rFonts w:ascii="Times New Roman" w:eastAsia="Calibri" w:hAnsi="Times New Roman" w:cs="Times New Roman"/>
          <w:noProof/>
        </w:rPr>
      </w:pPr>
    </w:p>
    <w:p w:rsidR="00BB7D09" w:rsidRDefault="00BB7D09">
      <w:pPr>
        <w:spacing w:after="160" w:line="259" w:lineRule="auto"/>
        <w:jc w:val="both"/>
        <w:rPr>
          <w:rFonts w:ascii="Times New Roman" w:eastAsia="Calibri" w:hAnsi="Times New Roman" w:cs="Times New Roman"/>
          <w:noProof/>
        </w:rPr>
      </w:pPr>
    </w:p>
    <w:p w:rsidR="00BB7D09" w:rsidRDefault="00BB7D09">
      <w:pPr>
        <w:spacing w:after="160" w:line="259" w:lineRule="auto"/>
        <w:jc w:val="both"/>
        <w:rPr>
          <w:rFonts w:ascii="Times New Roman" w:eastAsia="Calibri" w:hAnsi="Times New Roman" w:cs="Times New Roman"/>
          <w:noProof/>
        </w:rPr>
      </w:pPr>
    </w:p>
    <w:p w:rsidR="00BB7D09" w:rsidRDefault="00BB7D09">
      <w:pPr>
        <w:autoSpaceDE w:val="0"/>
        <w:autoSpaceDN w:val="0"/>
        <w:adjustRightInd w:val="0"/>
        <w:spacing w:after="240"/>
        <w:jc w:val="both"/>
        <w:rPr>
          <w:rFonts w:ascii="Times New Roman" w:eastAsia="Calibri" w:hAnsi="Times New Roman" w:cs="Times New Roman"/>
          <w:noProof/>
        </w:rPr>
      </w:pPr>
    </w:p>
    <w:p w:rsidR="00BB7D09" w:rsidRDefault="00A35831">
      <w:pPr>
        <w:autoSpaceDE w:val="0"/>
        <w:autoSpaceDN w:val="0"/>
        <w:adjustRightInd w:val="0"/>
        <w:spacing w:after="240"/>
        <w:jc w:val="both"/>
        <w:rPr>
          <w:noProof/>
        </w:rPr>
      </w:pPr>
      <w:r>
        <w:rPr>
          <w:rFonts w:ascii="Times New Roman" w:hAnsi="Times New Roman"/>
          <w:b/>
          <w:noProof/>
          <w:color w:val="000000"/>
        </w:rPr>
        <w:t>Irska:</w:t>
      </w:r>
      <w:r>
        <w:rPr>
          <w:rFonts w:ascii="Times New Roman" w:hAnsi="Times New Roman"/>
          <w:noProof/>
          <w:color w:val="000000"/>
        </w:rPr>
        <w:t xml:space="preserve"> Komisija je marca 2018 ugotovila, da na Irskem obstajajo </w:t>
      </w:r>
      <w:r>
        <w:rPr>
          <w:rFonts w:ascii="Times New Roman" w:hAnsi="Times New Roman"/>
          <w:i/>
          <w:noProof/>
          <w:color w:val="000000"/>
        </w:rPr>
        <w:t>makroekonomska neravnotežja</w:t>
      </w:r>
      <w:r>
        <w:rPr>
          <w:rFonts w:ascii="Times New Roman" w:hAnsi="Times New Roman"/>
          <w:noProof/>
          <w:color w:val="000000"/>
        </w:rPr>
        <w:t>, zlasti v zvezi z ranljivostmi zaradi velikega javnega in zasebnega dolga ter neto zunanjimi obveznostmi. V posodobljeni p</w:t>
      </w:r>
      <w:r>
        <w:rPr>
          <w:rFonts w:ascii="Times New Roman" w:hAnsi="Times New Roman"/>
          <w:noProof/>
          <w:color w:val="000000"/>
        </w:rPr>
        <w:t xml:space="preserve">reglednici več kazalnikov presega okvirni prag, in sicer neto stanje mednarodnih naložb, realni efektivni devizni tečaj, zasebni dolg, javni dolg in letna sprememba realnih cen stanovanjskih nepremičnin. </w:t>
      </w:r>
    </w:p>
    <w:p w:rsidR="00BB7D09" w:rsidRDefault="00A35831">
      <w:pPr>
        <w:autoSpaceDE w:val="0"/>
        <w:autoSpaceDN w:val="0"/>
        <w:adjustRightInd w:val="0"/>
        <w:spacing w:after="240"/>
        <w:jc w:val="both"/>
        <w:rPr>
          <w:rFonts w:ascii="Times New Roman" w:eastAsia="Times New Roman" w:hAnsi="Times New Roman" w:cs="Times New Roman"/>
          <w:noProof/>
          <w:color w:val="000000"/>
        </w:rPr>
      </w:pPr>
      <w:r>
        <w:rPr>
          <w:noProof/>
          <w:lang w:val="fr-BE" w:eastAsia="fr-BE" w:bidi="ar-SA"/>
        </w:rPr>
        <w:drawing>
          <wp:anchor distT="0" distB="0" distL="114300" distR="114300" simplePos="0" relativeHeight="251741184" behindDoc="0" locked="0" layoutInCell="1" allowOverlap="1">
            <wp:simplePos x="0" y="0"/>
            <wp:positionH relativeFrom="column">
              <wp:posOffset>3119755</wp:posOffset>
            </wp:positionH>
            <wp:positionV relativeFrom="paragraph">
              <wp:posOffset>4445</wp:posOffset>
            </wp:positionV>
            <wp:extent cx="2609850" cy="3048635"/>
            <wp:effectExtent l="0" t="0" r="0" b="0"/>
            <wp:wrapSquare wrapText="lef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9850" cy="3048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rPr>
        <w:t>Stanje na tekočem računu je leta 2017 kazalo velik</w:t>
      </w:r>
      <w:r>
        <w:rPr>
          <w:rFonts w:ascii="Times New Roman" w:hAnsi="Times New Roman"/>
          <w:noProof/>
          <w:color w:val="000000"/>
        </w:rPr>
        <w:t xml:space="preserve"> presežek v primerjavi z znatnim primanjkljajem leta 2016 in presežki v letih pred tem. Nestanovitnost v zvezi z uvozom intelektualne lastnine in pogodbeno proizvodnjo je v zadnjih letih prispevala k tem nihanjem salda tekočega računa.</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Neto stanje mednar</w:t>
      </w:r>
      <w:r>
        <w:rPr>
          <w:rFonts w:ascii="Times New Roman" w:hAnsi="Times New Roman"/>
          <w:noProof/>
          <w:color w:val="000000"/>
        </w:rPr>
        <w:t>odnih naložb se še naprej izboljšuje, vendar je še vedno zelo negativno, predvsem zaradi dejavnosti multinacionalnih družb z omejenimi povezavami z domačim gospodarstvom. Močna rast produktivnosti, ki so jo v zadnjih letih prav tako napihnile dejavnosti mu</w:t>
      </w:r>
      <w:r>
        <w:rPr>
          <w:rFonts w:ascii="Times New Roman" w:hAnsi="Times New Roman"/>
          <w:noProof/>
          <w:color w:val="000000"/>
        </w:rPr>
        <w:t>ltinacionalk, je prispevala k večji konkurenčnosti. Zasebni dolg ostaja zelo visok, čeprav se je še naprej zmanjševal. Gospodinjstva so še naprej zmanjševala svoj dolg, irske banke pa so zmanjšale svoje izpostavljenosti do domačih podjetij, kar kaže na nad</w:t>
      </w:r>
      <w:r>
        <w:rPr>
          <w:rFonts w:ascii="Times New Roman" w:hAnsi="Times New Roman"/>
          <w:noProof/>
          <w:color w:val="000000"/>
        </w:rPr>
        <w:t xml:space="preserve">aljnje razdolževanje podjetij. Glede na učinek multinacionalnih družb na skupni dolg podjetij je težje oceniti stanje domačih nefinančnih družb. Rast cen stanovanjskih nepremičnin je od leta 2014 zelo dinamična, predvsem zaradi omejitev na strani ponudbe, </w:t>
      </w:r>
      <w:r>
        <w:rPr>
          <w:rFonts w:ascii="Times New Roman" w:hAnsi="Times New Roman"/>
          <w:noProof/>
          <w:color w:val="000000"/>
        </w:rPr>
        <w:t>in jo je treba pozorno spremljati. Zaradi močnega gospodarskega okrevanja se delež javnega dolga v BDP sicer znižuje, vendar ostaja visok. Delež slabih posojil se je v zadnjih letih zmanjševal, vendar je še vedno visok. Čeprav so banke dobro kapitalizirane</w:t>
      </w:r>
      <w:r>
        <w:rPr>
          <w:rFonts w:ascii="Times New Roman" w:hAnsi="Times New Roman"/>
          <w:noProof/>
          <w:color w:val="000000"/>
        </w:rPr>
        <w:t>, so se stopnje rezervacij znižale. Njihova dobičkonosnost, čeprav je še vedno omejena, se postopno izboljšuje.</w:t>
      </w:r>
      <w:r>
        <w:rPr>
          <w:rFonts w:ascii="Times New Roman" w:hAnsi="Times New Roman"/>
          <w:noProof/>
        </w:rPr>
        <w:t xml:space="preserve"> Stopnja brezposelnosti se je leta 2017 znižala pod prag v okviru postopka v zvezi z makroekonomskimi neravnotežji, dolgotrajna brezposelnost in </w:t>
      </w:r>
      <w:r>
        <w:rPr>
          <w:rFonts w:ascii="Times New Roman" w:hAnsi="Times New Roman"/>
          <w:noProof/>
        </w:rPr>
        <w:t>brezposelnost mladih pa se še naprej zmanjšujeta.</w:t>
      </w:r>
    </w:p>
    <w:p w:rsidR="00BB7D09" w:rsidRDefault="00A35831">
      <w:pPr>
        <w:spacing w:after="24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nestanovitnostjo zunanjega položaja ter obsegom zasebnega in javnega dolga, pa tudi s hitro rastjo cen stanovanjskih nepremičnin in razmeroma v</w:t>
      </w:r>
      <w:r>
        <w:rPr>
          <w:rFonts w:ascii="Times New Roman" w:hAnsi="Times New Roman"/>
          <w:i/>
          <w:noProof/>
        </w:rPr>
        <w:t>elikim deležem slabih posojil. Zato se zdi Komisiji primerno, tudi ob upoštevanju ugotovljenih neravnotežij v marcu 2018, da nadalje prouči obstoj neravnotežij ali njihovo odpravljanje.</w:t>
      </w:r>
    </w:p>
    <w:p w:rsidR="00BB7D09" w:rsidRDefault="00A35831">
      <w:pPr>
        <w:spacing w:after="160" w:line="259" w:lineRule="auto"/>
        <w:jc w:val="both"/>
        <w:rPr>
          <w:rFonts w:ascii="Times New Roman" w:eastAsia="Calibri" w:hAnsi="Times New Roman" w:cs="Times New Roman"/>
          <w:noProof/>
        </w:rPr>
      </w:pPr>
      <w:r>
        <w:rPr>
          <w:rFonts w:ascii="Times New Roman" w:eastAsia="Calibri" w:hAnsi="Times New Roman" w:cs="Times New Roman"/>
          <w:b/>
          <w:noProof/>
        </w:rPr>
        <w:br/>
      </w:r>
      <w:r>
        <w:rPr>
          <w:rFonts w:ascii="Times New Roman" w:hAnsi="Times New Roman"/>
          <w:b/>
          <w:noProof/>
        </w:rPr>
        <w:t>Grčija:</w:t>
      </w:r>
      <w:r>
        <w:rPr>
          <w:rFonts w:ascii="Times New Roman" w:hAnsi="Times New Roman"/>
          <w:b/>
          <w:i/>
          <w:noProof/>
        </w:rPr>
        <w:t xml:space="preserve"> </w:t>
      </w:r>
      <w:r>
        <w:rPr>
          <w:rFonts w:ascii="Times New Roman" w:hAnsi="Times New Roman"/>
          <w:noProof/>
        </w:rPr>
        <w:t>Grčija je bila od leta 2010 do nedavnega vključena v programe finančne pomoči. Zato se je nadzor nad neravnotežji in popravljalnimi ukrepi izvajal v okviru programov in ne v okviru postopka v zvezi z makroekonomskimi neravnotežji. Grčija je v preteklih let</w:t>
      </w:r>
      <w:r>
        <w:rPr>
          <w:rFonts w:ascii="Times New Roman" w:hAnsi="Times New Roman"/>
          <w:noProof/>
        </w:rPr>
        <w:t>ih sprejela pomembne ukrepe za zmanjšanje neravnotežij na strani tokov in obvladovanje povezanih tveganj, vendar naj bi se obstoječa neravnotežja ohranila. To se odraža v posodobljeni preglednici, kjer več kazalnikov presega okvirni prag, in sicer neto sta</w:t>
      </w:r>
      <w:r>
        <w:rPr>
          <w:rFonts w:ascii="Times New Roman" w:hAnsi="Times New Roman"/>
          <w:noProof/>
        </w:rPr>
        <w:t xml:space="preserve">nje mednarodnih naložb, izguba deležev na izvoznih trgih, javni dolg in stopnja brezposelnosti. </w:t>
      </w: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2208" behindDoc="0" locked="0" layoutInCell="1" allowOverlap="1">
            <wp:simplePos x="0" y="0"/>
            <wp:positionH relativeFrom="column">
              <wp:posOffset>3376930</wp:posOffset>
            </wp:positionH>
            <wp:positionV relativeFrom="paragraph">
              <wp:posOffset>57150</wp:posOffset>
            </wp:positionV>
            <wp:extent cx="2352675" cy="2857500"/>
            <wp:effectExtent l="0" t="0" r="0" b="0"/>
            <wp:wrapSquare wrapText="lef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267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Medtem ko beleži zasebni sektor pozitivno neto stanje mednarodnih naložb, visok delež zunanjega javnega dolga pomeni, da je neto stanje mednarodnih naložb na </w:t>
      </w:r>
      <w:r>
        <w:rPr>
          <w:rFonts w:ascii="Times New Roman" w:hAnsi="Times New Roman"/>
          <w:noProof/>
        </w:rPr>
        <w:t>splošno zelo negativno. Čeprav je bil velik del zunanjega javnega dolga prejet po zelo ugodnih obrestnih merah, bo za dolgoročno vzdržnost neto stanja mednarodnih naložb treba ohraniti nedavne izboljšave na tekočem računu v okolju vedno večjega domačega po</w:t>
      </w:r>
      <w:r>
        <w:rPr>
          <w:rFonts w:ascii="Times New Roman" w:hAnsi="Times New Roman"/>
          <w:noProof/>
        </w:rPr>
        <w:t>vpraševanja. V zadnjih petih letih so bile ugotovljene znatne izgube deležev na izvoznih trgih, vendar se zdi, da se je v letu 2017 trend obrnil. Delež javnega dolga v BDP je zelo visok, čeprav naj bi se po pričakovanjih zmanjšal, njegova vzdržnost pa je p</w:t>
      </w:r>
      <w:r>
        <w:rPr>
          <w:rFonts w:ascii="Times New Roman" w:hAnsi="Times New Roman"/>
          <w:noProof/>
        </w:rPr>
        <w:t>odprta z dogovorom Evroskupine iz junija 2018. Cene stanovanjskih nepremičnin so se v letu 2017 realno še naprej zniževale, vendar so se v začetku leta 2018 stabilizirale. Rast posojil ostaja negativna, medtem ko se razdolževanje zasebnega sektorja nadalju</w:t>
      </w:r>
      <w:r>
        <w:rPr>
          <w:rFonts w:ascii="Times New Roman" w:hAnsi="Times New Roman"/>
          <w:noProof/>
        </w:rPr>
        <w:t>je. Visoka raven slabih posojil ovira ponovno vzpostavitev zdravega kreditnega toka v gospodarstvo, kar je potrebno za srednjeročno podporo rasti. Brezposelnost se znižuje, vendar je še vedno visoka, zlasti dolgotrajna brezposelnost in brezposelnost mladih</w:t>
      </w:r>
      <w:r>
        <w:rPr>
          <w:rFonts w:ascii="Times New Roman" w:hAnsi="Times New Roman"/>
          <w:noProof/>
        </w:rPr>
        <w:t xml:space="preserve">. </w:t>
      </w:r>
    </w:p>
    <w:p w:rsidR="00BB7D09" w:rsidRDefault="00A35831">
      <w:pPr>
        <w:spacing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43232" behindDoc="0" locked="0" layoutInCell="1" allowOverlap="1">
            <wp:simplePos x="0" y="0"/>
            <wp:positionH relativeFrom="column">
              <wp:posOffset>3462655</wp:posOffset>
            </wp:positionH>
            <wp:positionV relativeFrom="paragraph">
              <wp:posOffset>498475</wp:posOffset>
            </wp:positionV>
            <wp:extent cx="2386330" cy="2886075"/>
            <wp:effectExtent l="0" t="0" r="0" b="9525"/>
            <wp:wrapSquare wrapText="lef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633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t>Na splošno ekonomska razlaga izpostavlja vprašanja, povezana z visokim javnim in zunanjim dolgom, nizkimi prihranki in visoko ravnjo slabih posojil, vse v razmerah visoke brezposelnosti, nizke rasti produktivnosti in šibke naložbene dejavnosti. Zato se</w:t>
      </w:r>
      <w:r>
        <w:rPr>
          <w:rFonts w:ascii="Times New Roman" w:hAnsi="Times New Roman"/>
          <w:i/>
          <w:noProof/>
        </w:rPr>
        <w:t xml:space="preserve"> zdi Komisiji primerno, da omenjena tveganja dodatno prouči v poglobljeni analizi z namenom oceniti, ali obstaja neravnotežje.</w:t>
      </w:r>
    </w:p>
    <w:p w:rsidR="00BB7D09" w:rsidRDefault="00BB7D09">
      <w:pPr>
        <w:spacing w:after="160" w:line="259" w:lineRule="auto"/>
        <w:jc w:val="both"/>
        <w:rPr>
          <w:rFonts w:ascii="Times New Roman" w:eastAsia="Calibri" w:hAnsi="Times New Roman" w:cs="Times New Roman"/>
          <w:i/>
          <w:noProof/>
        </w:rPr>
      </w:pPr>
    </w:p>
    <w:p w:rsidR="00BB7D09" w:rsidRDefault="00A35831">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Španija</w:t>
      </w:r>
      <w:r>
        <w:rPr>
          <w:rFonts w:ascii="Times New Roman" w:hAnsi="Times New Roman"/>
          <w:noProof/>
        </w:rPr>
        <w:t xml:space="preserve">: Komisija je marca 2018 ugotovila, da v Španiji obstajajo </w:t>
      </w:r>
      <w:r>
        <w:rPr>
          <w:rFonts w:ascii="Times New Roman" w:hAnsi="Times New Roman"/>
          <w:i/>
          <w:noProof/>
        </w:rPr>
        <w:t>makroekonomska neravnotežja</w:t>
      </w:r>
      <w:r>
        <w:rPr>
          <w:rFonts w:ascii="Times New Roman" w:hAnsi="Times New Roman"/>
          <w:noProof/>
        </w:rPr>
        <w:t xml:space="preserve">, zlasti v zvezi z visokimi ravnmi zunanjega in notranjega dolga zasebnega in javnega sektorja v razmerah visoke brezposelnosti. V posodobljeni preglednici več kazalnikov presega okvirni prag, in sicer neto stanje mednarodnih naložb, delež zasebnega dolga </w:t>
      </w:r>
      <w:r>
        <w:rPr>
          <w:rFonts w:ascii="Times New Roman" w:hAnsi="Times New Roman"/>
          <w:noProof/>
        </w:rPr>
        <w:t xml:space="preserve">in javnega dolga, stopnja brezposelnosti ter rast stopnje delovne aktivnosti. </w:t>
      </w:r>
    </w:p>
    <w:p w:rsidR="00BB7D09" w:rsidRDefault="00A35831">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Ponovno zunanje uravnoteženje se je nadaljevalo, vendar razmeroma počasi, in čeprav se je neto stanje mednarodnih naložb izboljšalo, je še vedno zelo visoko. Rast nominalnih str</w:t>
      </w:r>
      <w:r>
        <w:rPr>
          <w:rFonts w:ascii="Times New Roman" w:hAnsi="Times New Roman"/>
          <w:noProof/>
        </w:rPr>
        <w:t>oškov dela na enoto je bila stabilna v razmerah omejene rasti plač in nizke rasti produktivnosti. Rast deležev na izvoznih trgih je bila na medletni ravni zmerna kljub rahlemu povišanju realnega efektivnega deviznega tečaja v letu 2017. Dolg zasebnega sekt</w:t>
      </w:r>
      <w:r>
        <w:rPr>
          <w:rFonts w:ascii="Times New Roman" w:hAnsi="Times New Roman"/>
          <w:noProof/>
        </w:rPr>
        <w:t>orja, zlasti podjetij, se je v letu 2017 še naprej zmanjševal, vendar so potrebe po razdolževanju še vedno prisotne. Poleg tega so začela pritekati sveža posojila, ki podpirajo povečanje naložb. Za gospodinjstva hitrost zmanjševanja dolga med drugim zavira</w:t>
      </w:r>
      <w:r>
        <w:rPr>
          <w:rFonts w:ascii="Times New Roman" w:hAnsi="Times New Roman"/>
          <w:noProof/>
        </w:rPr>
        <w:t xml:space="preserve"> veliko povečanje potrošniških kreditov. Cene stanovanjskih nepremičnin, ki so bile v preteklosti podcenjene, so v zadnjih letih okrevale. V zadnjih nekaj letih je močna gospodarska rast največ prispevala k zmanjšanju javnofinančnega primanjkljaja, vendar </w:t>
      </w:r>
      <w:r>
        <w:rPr>
          <w:rFonts w:ascii="Times New Roman" w:hAnsi="Times New Roman"/>
          <w:noProof/>
        </w:rPr>
        <w:t xml:space="preserve">vztrajni primanjkljaji pomenijo, da se delež javnega dolga zmanjšuje le počasi. Brezposelnost se hitro znižuje, vendar je še vedno zelo visoka, zlasti med mladimi. Hkrati je zaradi nizke rasti produktivnosti povečanje konkurenčnosti odvisno od stroškovnih </w:t>
      </w:r>
      <w:r>
        <w:rPr>
          <w:rFonts w:ascii="Times New Roman" w:hAnsi="Times New Roman"/>
          <w:noProof/>
        </w:rPr>
        <w:t xml:space="preserve">prednosti. </w:t>
      </w:r>
    </w:p>
    <w:p w:rsidR="00BB7D09" w:rsidRDefault="00A35831">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zunanjo vzdržnostjo, zasebnim in javnim dolgom ter prilagoditvijo trga dela v razmerah šibke rasti produktivnosti. Zato se zdi Komisiji koristno, tudi ob upoštevanju ugotovljenih ne</w:t>
      </w:r>
      <w:r>
        <w:rPr>
          <w:rFonts w:ascii="Times New Roman" w:hAnsi="Times New Roman"/>
          <w:i/>
          <w:noProof/>
        </w:rPr>
        <w:t xml:space="preserve">ravnotežij v marcu 2018 in njihovega čezmejnega pomena, da dodatno prouči nadaljnji obstoj neravnotežij ali njihovo odpravljanje. </w:t>
      </w:r>
    </w:p>
    <w:p w:rsidR="00BB7D09" w:rsidRDefault="00A35831">
      <w:pPr>
        <w:autoSpaceDE w:val="0"/>
        <w:autoSpaceDN w:val="0"/>
        <w:adjustRightInd w:val="0"/>
        <w:spacing w:after="160" w:line="259" w:lineRule="auto"/>
        <w:jc w:val="both"/>
        <w:rPr>
          <w:rFonts w:ascii="Times New Roman" w:eastAsia="MS Mincho" w:hAnsi="Times New Roman" w:cs="Times New Roman"/>
          <w:i/>
          <w:noProof/>
        </w:rPr>
      </w:pPr>
      <w:r>
        <w:rPr>
          <w:noProof/>
          <w:lang w:val="fr-BE" w:eastAsia="fr-BE" w:bidi="ar-SA"/>
        </w:rPr>
        <w:drawing>
          <wp:anchor distT="0" distB="0" distL="114300" distR="114300" simplePos="0" relativeHeight="251744256" behindDoc="0" locked="0" layoutInCell="1" allowOverlap="1">
            <wp:simplePos x="0" y="0"/>
            <wp:positionH relativeFrom="column">
              <wp:posOffset>3217545</wp:posOffset>
            </wp:positionH>
            <wp:positionV relativeFrom="paragraph">
              <wp:posOffset>278765</wp:posOffset>
            </wp:positionV>
            <wp:extent cx="2523490" cy="3106420"/>
            <wp:effectExtent l="0" t="0" r="0" b="0"/>
            <wp:wrapSquare wrapText="lef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3490" cy="310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7D09" w:rsidRDefault="00A35831">
      <w:pPr>
        <w:autoSpaceDE w:val="0"/>
        <w:autoSpaceDN w:val="0"/>
        <w:adjustRightInd w:val="0"/>
        <w:spacing w:after="160" w:line="259" w:lineRule="auto"/>
        <w:jc w:val="both"/>
        <w:rPr>
          <w:noProof/>
        </w:rPr>
      </w:pPr>
      <w:r>
        <w:rPr>
          <w:rFonts w:ascii="Times New Roman" w:hAnsi="Times New Roman"/>
          <w:b/>
          <w:noProof/>
        </w:rPr>
        <w:t>Francija:</w:t>
      </w:r>
      <w:r>
        <w:rPr>
          <w:rFonts w:ascii="Times New Roman" w:hAnsi="Times New Roman"/>
          <w:noProof/>
        </w:rPr>
        <w:t xml:space="preserve"> Komisija je marca 2018 ugotovila, da v Franciji obstajajo </w:t>
      </w:r>
      <w:r>
        <w:rPr>
          <w:rFonts w:ascii="Times New Roman" w:hAnsi="Times New Roman"/>
          <w:i/>
          <w:noProof/>
        </w:rPr>
        <w:t>makroekonomska neravnotežja</w:t>
      </w:r>
      <w:r>
        <w:rPr>
          <w:rFonts w:ascii="Times New Roman" w:hAnsi="Times New Roman"/>
          <w:noProof/>
        </w:rPr>
        <w:t>, zlasti v zvezi z visokim j</w:t>
      </w:r>
      <w:r>
        <w:rPr>
          <w:rFonts w:ascii="Times New Roman" w:hAnsi="Times New Roman"/>
          <w:noProof/>
        </w:rPr>
        <w:t xml:space="preserve">avnim dolgom in šibko konkurenčnostjo v razmerah nizke rasti produktivnosti. V posodobljeni preglednici so kazalniki javnega in zasebnega dolga ter stopnje brezposelnosti blizu okvirnega praga ali ga presegajo. </w:t>
      </w:r>
    </w:p>
    <w:p w:rsidR="00BB7D09" w:rsidRDefault="00A35831">
      <w:pPr>
        <w:autoSpaceDE w:val="0"/>
        <w:autoSpaceDN w:val="0"/>
        <w:adjustRightInd w:val="0"/>
        <w:spacing w:after="160" w:line="259" w:lineRule="auto"/>
        <w:jc w:val="both"/>
        <w:rPr>
          <w:rFonts w:ascii="Times New Roman" w:eastAsia="Calibri" w:hAnsi="Times New Roman" w:cs="Times New Roman"/>
          <w:bCs/>
          <w:noProof/>
        </w:rPr>
      </w:pPr>
      <w:r>
        <w:rPr>
          <w:rFonts w:ascii="Times New Roman" w:hAnsi="Times New Roman"/>
          <w:noProof/>
        </w:rPr>
        <w:t>Primanjkljaj na tekočem računu je bil v letu</w:t>
      </w:r>
      <w:r>
        <w:rPr>
          <w:rFonts w:ascii="Times New Roman" w:hAnsi="Times New Roman"/>
          <w:noProof/>
        </w:rPr>
        <w:t xml:space="preserve"> 2017 na splošno stabilen, neto stanje mednarodnih naložb pa se je poslabšalo. Kljub povečanju rasti izvoza so se deleži na izvoznih trgih leta 2017 nekoliko zmanjšali, realni efektivni devizni tečaj pa se je stabiliziral. Zaradi zmernosti gibanja plač je </w:t>
      </w:r>
      <w:r>
        <w:rPr>
          <w:rFonts w:ascii="Times New Roman" w:hAnsi="Times New Roman"/>
          <w:noProof/>
        </w:rPr>
        <w:t>bila rast stroškov dela na enoto omejena. Vendar je dinamika produktivnosti ostala počasna. Ranljivosti, ki izhajajo iz visokega in še vedno rastočega javnega dolga, ostajajo velik razlog za zaskrbljenost. Kombinacija visokega javnega in zasebnega dolga po</w:t>
      </w:r>
      <w:r>
        <w:rPr>
          <w:rFonts w:ascii="Times New Roman" w:hAnsi="Times New Roman"/>
          <w:noProof/>
        </w:rPr>
        <w:t>meni dodatno ranljivost. Dolg zasebnega sektorja je razmeroma visok, zlasti za nefinančne družbe, medtem ko se rast posojil nekoliko povečuje. Realne cene stanovanjskih nepremičnin so se zmerno povečale. Razmere na trgu dela se izboljšujejo, pri čemer se k</w:t>
      </w:r>
      <w:r>
        <w:rPr>
          <w:rFonts w:ascii="Times New Roman" w:hAnsi="Times New Roman"/>
          <w:noProof/>
        </w:rPr>
        <w:t xml:space="preserve">azalnik brezposelnosti giblje znotraj praga. </w:t>
      </w:r>
    </w:p>
    <w:p w:rsidR="00BB7D09" w:rsidRDefault="00A35831">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Na splošno ekonomska razlaga izpostavlja vprašanja, povezana z visoko zadolženostjo in šibko konkurenčnostjo v razmerah nizke rasti produktivnosti. Zato se zdi Komisiji primerno, tudi ob upoštevanju ugotovljene</w:t>
      </w:r>
      <w:r>
        <w:rPr>
          <w:rFonts w:ascii="Times New Roman" w:hAnsi="Times New Roman"/>
          <w:i/>
          <w:noProof/>
        </w:rPr>
        <w:t>ga neravnotežja v marcu 2018, da nadalje prouči obstoj neravnotežij ali njihovo odpravljanje.</w:t>
      </w: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BB7D09">
      <w:pPr>
        <w:autoSpaceDE w:val="0"/>
        <w:autoSpaceDN w:val="0"/>
        <w:adjustRightInd w:val="0"/>
        <w:spacing w:after="160" w:line="259" w:lineRule="auto"/>
        <w:jc w:val="both"/>
        <w:rPr>
          <w:rFonts w:ascii="Times New Roman" w:eastAsia="Calibri" w:hAnsi="Times New Roman" w:cs="Times New Roman"/>
          <w:bCs/>
          <w:i/>
          <w:noProof/>
        </w:rPr>
      </w:pPr>
    </w:p>
    <w:p w:rsidR="00BB7D09" w:rsidRDefault="00A35831">
      <w:pPr>
        <w:autoSpaceDE w:val="0"/>
        <w:autoSpaceDN w:val="0"/>
        <w:adjustRightInd w:val="0"/>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5280" behindDoc="0" locked="0" layoutInCell="1" allowOverlap="1">
            <wp:simplePos x="0" y="0"/>
            <wp:positionH relativeFrom="column">
              <wp:posOffset>3148330</wp:posOffset>
            </wp:positionH>
            <wp:positionV relativeFrom="paragraph">
              <wp:posOffset>3810</wp:posOffset>
            </wp:positionV>
            <wp:extent cx="2580640" cy="2991485"/>
            <wp:effectExtent l="0" t="0" r="0" b="0"/>
            <wp:wrapSquare wrapText="lef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0640" cy="2991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Hrvaška:</w:t>
      </w:r>
      <w:r>
        <w:rPr>
          <w:rFonts w:ascii="Times New Roman" w:hAnsi="Times New Roman"/>
          <w:noProof/>
        </w:rPr>
        <w:t xml:space="preserve"> Komisija je marca 2018 ugotovila, da na Hrvaškem obstajajo </w:t>
      </w:r>
      <w:r>
        <w:rPr>
          <w:rFonts w:ascii="Times New Roman" w:hAnsi="Times New Roman"/>
          <w:i/>
          <w:noProof/>
        </w:rPr>
        <w:t>čezmerna makroekonomska neravnotežja</w:t>
      </w:r>
      <w:r>
        <w:rPr>
          <w:rFonts w:ascii="Times New Roman" w:hAnsi="Times New Roman"/>
          <w:noProof/>
        </w:rPr>
        <w:t>, povezana z visokimi ravnmi javnega, zasebnega in zunanjega dolga, večinoma denominiranega v tuji valuti, v razmerah nizke potencialne rasti. V posodobljenem pregledu več kazalnikov presega okvirni prag, in sicer neto stanje mednarodnih naložb, javni dolg</w:t>
      </w:r>
      <w:r>
        <w:rPr>
          <w:rFonts w:ascii="Times New Roman" w:hAnsi="Times New Roman"/>
          <w:noProof/>
        </w:rPr>
        <w:t xml:space="preserve"> in stopnja brezposelnosti.  </w:t>
      </w:r>
    </w:p>
    <w:p w:rsidR="00BB7D09" w:rsidRDefault="00A35831">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Negativno neto stanje mednarodnih naložb, ki v veliki meri odraža neposredne tuje naložbe, se je ob podpori rastočega presežka na tekočem računu okrepilo, čeprav ostaja zunaj praga in je izpostavljeno vztrajnim valutnim tvegan</w:t>
      </w:r>
      <w:r>
        <w:rPr>
          <w:rFonts w:ascii="Times New Roman" w:hAnsi="Times New Roman"/>
          <w:noProof/>
        </w:rPr>
        <w:t xml:space="preserve">jem. Negativna rast nominalnih stroškov dela na enoto kaže na nadaljnje povečanje stroškovne konkurenčnosti, čeprav je bil realni efektivni devizni tečaj stabilen. Posledično je Hrvaška v letu 2017 še naprej povečevala tržne deleže, vendar počasneje kot v </w:t>
      </w:r>
      <w:r>
        <w:rPr>
          <w:rFonts w:ascii="Times New Roman" w:hAnsi="Times New Roman"/>
          <w:noProof/>
        </w:rPr>
        <w:t>prejšnjih letih. Dolg zasebnega sektorja se je še naprej zmanjševal kljub okrevanju kreditnih tokov v letu 2017. Zmanjšanje obsega slabih posojil v bančnem sektorju se je upočasnilo, slaba posojila pa še naprej predstavljajo velik delež posojil nefinančnim</w:t>
      </w:r>
      <w:r>
        <w:rPr>
          <w:rFonts w:ascii="Times New Roman" w:hAnsi="Times New Roman"/>
          <w:noProof/>
        </w:rPr>
        <w:t xml:space="preserve"> družbam. Delež javnega dolga se je v letu 2017 še dodatno zmanjšal, tudi zaradi izboljšanja salda sektorja država. Stopnja brezposelnosti se je še naprej zmanjševala. Vendar udeležba na trgu dela ostaja zelo nizka in v povezavi s počasnim razvojem produkt</w:t>
      </w:r>
      <w:r>
        <w:rPr>
          <w:rFonts w:ascii="Times New Roman" w:hAnsi="Times New Roman"/>
          <w:noProof/>
        </w:rPr>
        <w:t xml:space="preserve">ivnosti še naprej negativno vpliva na potencialno rast. Tveganja, povezana z največjim delodajalcem v državi, skupino Agrokor, so se zmanjšala, potem ko so njeni upniki sprejeli načrt prestrukturiranja dolga. </w:t>
      </w:r>
    </w:p>
    <w:p w:rsidR="00BB7D09" w:rsidRDefault="00A35831">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Na splošno ekonomska razlaga izpostavlja še ve</w:t>
      </w:r>
      <w:r>
        <w:rPr>
          <w:rFonts w:ascii="Times New Roman" w:hAnsi="Times New Roman"/>
          <w:i/>
          <w:noProof/>
        </w:rPr>
        <w:t>dno visoke, vendar padajoče ravni dolga in izpostavljenosti valutnemu tveganju v vseh gospodarskih sektorjih ter pomen večje potencialne rasti za trajno odpravo neravnotežij. Zato se zdi Komisiji koristno, tudi ob upoštevanju ugotovljenega čezmernega nerav</w:t>
      </w:r>
      <w:r>
        <w:rPr>
          <w:rFonts w:ascii="Times New Roman" w:hAnsi="Times New Roman"/>
          <w:i/>
          <w:noProof/>
        </w:rPr>
        <w:t>notežja v marcu 2018, da dodatno prouči nadaljnji obstoj makroekonomskih tveganj in spremlja napredek pri odpravljanju čezmernih neravnotežij.</w:t>
      </w:r>
    </w:p>
    <w:p w:rsidR="00BB7D09" w:rsidRDefault="00BB7D09">
      <w:pPr>
        <w:rPr>
          <w:rFonts w:ascii="Times New Roman" w:eastAsia="Times New Roman" w:hAnsi="Times New Roman" w:cs="Times New Roman"/>
          <w:b/>
          <w:bCs/>
          <w:noProof/>
          <w:color w:val="000000"/>
        </w:rPr>
      </w:pPr>
    </w:p>
    <w:p w:rsidR="00BB7D09" w:rsidRDefault="00A35831">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fr-BE" w:eastAsia="fr-BE" w:bidi="ar-SA"/>
        </w:rPr>
        <w:drawing>
          <wp:anchor distT="0" distB="0" distL="114300" distR="114300" simplePos="0" relativeHeight="251746304" behindDoc="0" locked="0" layoutInCell="1" allowOverlap="1">
            <wp:simplePos x="0" y="0"/>
            <wp:positionH relativeFrom="column">
              <wp:posOffset>3291205</wp:posOffset>
            </wp:positionH>
            <wp:positionV relativeFrom="paragraph">
              <wp:posOffset>-4445</wp:posOffset>
            </wp:positionV>
            <wp:extent cx="2447925" cy="2915920"/>
            <wp:effectExtent l="0" t="0" r="9525" b="0"/>
            <wp:wrapSquare wrapText="lef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7925"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0000"/>
        </w:rPr>
        <w:t>Italija</w:t>
      </w:r>
      <w:r>
        <w:rPr>
          <w:rFonts w:ascii="Times New Roman" w:hAnsi="Times New Roman"/>
          <w:noProof/>
          <w:color w:val="000000"/>
        </w:rPr>
        <w:t xml:space="preserve">: Komisija je marca 2018 ugotovila, da v Italiji obstajajo </w:t>
      </w:r>
      <w:r>
        <w:rPr>
          <w:rFonts w:ascii="Times New Roman" w:hAnsi="Times New Roman"/>
          <w:i/>
          <w:noProof/>
          <w:color w:val="000000"/>
        </w:rPr>
        <w:t>čezmerna makroekonomska neravnotežja</w:t>
      </w:r>
      <w:r>
        <w:rPr>
          <w:rFonts w:ascii="Times New Roman" w:hAnsi="Times New Roman"/>
          <w:noProof/>
          <w:color w:val="000000"/>
        </w:rPr>
        <w:t xml:space="preserve">, zlasti </w:t>
      </w:r>
      <w:r>
        <w:rPr>
          <w:rFonts w:ascii="Times New Roman" w:hAnsi="Times New Roman"/>
          <w:noProof/>
          <w:color w:val="000000"/>
        </w:rPr>
        <w:t xml:space="preserve">v zvezi s tveganji, ki izhajajo iz zelo visokega javnega dolga in dolgotrajno šibke konkurenčnosti v razmerah visokega deleža slabih posojil in brezposelnosti. V posodobljeni preglednici dva kazalnika presegata okvirni prag, in sicer javni dolg in stopnja </w:t>
      </w:r>
      <w:r>
        <w:rPr>
          <w:rFonts w:ascii="Times New Roman" w:hAnsi="Times New Roman"/>
          <w:noProof/>
          <w:color w:val="000000"/>
        </w:rPr>
        <w:t xml:space="preserve">brezposelnosti. </w:t>
      </w:r>
    </w:p>
    <w:p w:rsidR="00BB7D09" w:rsidRDefault="00BB7D09">
      <w:pPr>
        <w:autoSpaceDE w:val="0"/>
        <w:autoSpaceDN w:val="0"/>
        <w:adjustRightInd w:val="0"/>
        <w:spacing w:after="0" w:line="240" w:lineRule="auto"/>
        <w:jc w:val="both"/>
        <w:rPr>
          <w:rFonts w:ascii="Times New Roman" w:eastAsia="Times New Roman" w:hAnsi="Times New Roman" w:cs="Times New Roman"/>
          <w:noProof/>
          <w:color w:val="000000"/>
        </w:rPr>
      </w:pPr>
    </w:p>
    <w:p w:rsidR="00BB7D09" w:rsidRDefault="00A35831">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 xml:space="preserve">Zunanji položaj je razmeroma trden s presežki na tekočem računu in izboljšanjem neto stanja mednarodnih naložb. Delež javnega dolga se je leta 2017 stabiliziral na zelo visoki ravni, vendar vladni fiskalni načrti, okrevanje, ki je slabše od pričakovanega, </w:t>
      </w:r>
      <w:r>
        <w:rPr>
          <w:rFonts w:ascii="Times New Roman" w:hAnsi="Times New Roman"/>
          <w:noProof/>
          <w:color w:val="000000"/>
        </w:rPr>
        <w:t>in višji stroški izposojanja zmanjšujejo možnosti za znižanje deleža dolga v BDP v prihodnosti. Hkrati šibka rast produktivnosti in zmanjševanje delovno sposobnega prebivalstva vplivata na potencialno rast Italije. Nizka rast produktivnosti izhaja iz dolgo</w:t>
      </w:r>
      <w:r>
        <w:rPr>
          <w:rFonts w:ascii="Times New Roman" w:hAnsi="Times New Roman"/>
          <w:noProof/>
          <w:color w:val="000000"/>
        </w:rPr>
        <w:t xml:space="preserve">trajnih strukturnih pomanjkljivosti, vključno s poslovnim okoljem, ki je manj ugodno kot v primerljivih državah, finančnimi omejitvami, pomanjkanjem visoko usposobljenih ljudi in nizko ravnjo naložb v neopredmetena sredstva. Sanacija bilanc stanja bank je </w:t>
      </w:r>
      <w:r>
        <w:rPr>
          <w:rFonts w:ascii="Times New Roman" w:hAnsi="Times New Roman"/>
          <w:noProof/>
          <w:color w:val="000000"/>
        </w:rPr>
        <w:t>napredovala, italijanski bančni sektor pa je leta 2017 spet postal dobičkonosen. Vendar so še vedno prisotne ranljivosti, zlasti za srednje velike in male banke, ki imajo v bilancah še vedno velike količine slabih posojil iz preteklosti in so bolj izpostav</w:t>
      </w:r>
      <w:r>
        <w:rPr>
          <w:rFonts w:ascii="Times New Roman" w:hAnsi="Times New Roman"/>
          <w:noProof/>
          <w:color w:val="000000"/>
        </w:rPr>
        <w:t>ljene tveganju državnih posojilojemalcev kot velike banke. Razmere na trgu dela se postopoma izboljšujejo, vendar je stopnja brezposelnosti še vedno visoka, in sicer je precej nad ravnmi pred krizo, zlasti za mlade in dolgotrajno brezposelne. Skupna stopnj</w:t>
      </w:r>
      <w:r>
        <w:rPr>
          <w:rFonts w:ascii="Times New Roman" w:hAnsi="Times New Roman"/>
          <w:noProof/>
          <w:color w:val="000000"/>
        </w:rPr>
        <w:t>a delovne aktivnosti sicer raste, vendar ostaja pod povprečjem v euroobmočju. Zaradi potekajočega okrevanja so se makroekonomska neravnotežja v Italiji nehala slabšati, vendar so še vedno zelo velika in se odpravljajo le postopoma. Upočasnitev realne rasti</w:t>
      </w:r>
      <w:r>
        <w:rPr>
          <w:rFonts w:ascii="Times New Roman" w:hAnsi="Times New Roman"/>
          <w:noProof/>
          <w:color w:val="000000"/>
        </w:rPr>
        <w:t xml:space="preserve"> BDP in ponovne napetosti na trgu državnih obveznic bi lahko ogrozile doseženi napredek. </w:t>
      </w:r>
    </w:p>
    <w:p w:rsidR="00BB7D09" w:rsidRDefault="00BB7D09">
      <w:pPr>
        <w:autoSpaceDE w:val="0"/>
        <w:autoSpaceDN w:val="0"/>
        <w:adjustRightInd w:val="0"/>
        <w:spacing w:after="0" w:line="240" w:lineRule="auto"/>
        <w:jc w:val="both"/>
        <w:rPr>
          <w:rFonts w:ascii="Times New Roman" w:eastAsia="Times New Roman" w:hAnsi="Times New Roman" w:cs="Times New Roman"/>
          <w:noProof/>
          <w:color w:val="000000"/>
        </w:rPr>
      </w:pP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visoko ravnjo javnega dolga v razmerah večje nestanovitnosti trgov in visoke brezposelnosti. Dinamika </w:t>
      </w:r>
      <w:r>
        <w:rPr>
          <w:rFonts w:ascii="Times New Roman" w:hAnsi="Times New Roman"/>
          <w:i/>
          <w:noProof/>
        </w:rPr>
        <w:t>produktivnosti ostaja šibka zaradi ponovnih skrbi glede negativnih povratnih učinkih med bankami in državo. Zato se zdi Komisiji primerno, tudi ob upoštevanju ugotovljenega čezmernega neravnotežja v marcu 2018, da dodatno prouči nadaljnji obstoj makroekono</w:t>
      </w:r>
      <w:r>
        <w:rPr>
          <w:rFonts w:ascii="Times New Roman" w:hAnsi="Times New Roman"/>
          <w:i/>
          <w:noProof/>
        </w:rPr>
        <w:t>mskih tveganj in spremlja napredek pri odpravljanju čezmernih neravnotežij.</w:t>
      </w:r>
    </w:p>
    <w:p w:rsidR="00BB7D09" w:rsidRDefault="00BB7D09">
      <w:pPr>
        <w:spacing w:after="160" w:line="259" w:lineRule="auto"/>
        <w:jc w:val="both"/>
        <w:rPr>
          <w:rFonts w:ascii="Times New Roman" w:eastAsia="Calibri" w:hAnsi="Times New Roman" w:cs="Times New Roman"/>
          <w:i/>
          <w:noProof/>
        </w:rPr>
      </w:pPr>
    </w:p>
    <w:p w:rsidR="00BB7D09" w:rsidRDefault="00A35831">
      <w:pPr>
        <w:spacing w:after="160" w:line="259" w:lineRule="auto"/>
        <w:jc w:val="both"/>
        <w:rPr>
          <w:rFonts w:ascii="Times New Roman" w:eastAsia="Calibri" w:hAnsi="Times New Roman" w:cs="Times New Roman"/>
          <w:noProof/>
        </w:rPr>
      </w:pPr>
      <w:r>
        <w:rPr>
          <w:rFonts w:ascii="Times New Roman" w:hAnsi="Times New Roman"/>
          <w:b/>
          <w:noProof/>
        </w:rPr>
        <w:t>Ciper:</w:t>
      </w:r>
      <w:r>
        <w:rPr>
          <w:rFonts w:ascii="Times New Roman" w:hAnsi="Times New Roman"/>
          <w:noProof/>
        </w:rPr>
        <w:t xml:space="preserve"> Komisija je marca 2018 ugotovila, da na Cipru obstajajo </w:t>
      </w:r>
      <w:r>
        <w:rPr>
          <w:rFonts w:ascii="Times New Roman" w:hAnsi="Times New Roman"/>
          <w:i/>
          <w:noProof/>
        </w:rPr>
        <w:t>čezmerna makroekonomska neravnotežja</w:t>
      </w:r>
      <w:r>
        <w:rPr>
          <w:rFonts w:ascii="Times New Roman" w:hAnsi="Times New Roman"/>
          <w:noProof/>
        </w:rPr>
        <w:t>, zlasti v zvezi z velikim zasebnim, javnim in zunanjim dolgom ter visokim delež</w:t>
      </w:r>
      <w:r>
        <w:rPr>
          <w:rFonts w:ascii="Times New Roman" w:hAnsi="Times New Roman"/>
          <w:noProof/>
        </w:rPr>
        <w:t xml:space="preserve">em slabih posojil v bančnem sistemu. V posodobljeni preglednici več kazalnikov v letu 2017 še vedno presega okvirni prag, in sicer tekoči račun, neto stanje mednarodnih naložb, realni efektivni devizni tečaj, dolg zasebnega sektorja in javni dolg, stopnja </w:t>
      </w:r>
      <w:r>
        <w:rPr>
          <w:rFonts w:ascii="Times New Roman" w:hAnsi="Times New Roman"/>
          <w:noProof/>
        </w:rPr>
        <w:t xml:space="preserve">brezposelnosti in sprememba stopnje delovne aktivnosti. </w:t>
      </w: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7328" behindDoc="0" locked="0" layoutInCell="1" allowOverlap="1">
            <wp:simplePos x="0" y="0"/>
            <wp:positionH relativeFrom="column">
              <wp:posOffset>3234055</wp:posOffset>
            </wp:positionH>
            <wp:positionV relativeFrom="paragraph">
              <wp:posOffset>59690</wp:posOffset>
            </wp:positionV>
            <wp:extent cx="2523490" cy="3056255"/>
            <wp:effectExtent l="0" t="0" r="0" b="0"/>
            <wp:wrapSquare wrapText="lef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349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Primanjkljaj na tekočem računu se je leta 2017 povečal zaradi močne rasti uvoza, negativno neto stanja mednarodnih naložb pa je še vedno veliko. Prilagajanje stroškovne konkurenčnosti se je upočasni</w:t>
      </w:r>
      <w:r>
        <w:rPr>
          <w:rFonts w:ascii="Times New Roman" w:hAnsi="Times New Roman"/>
          <w:noProof/>
        </w:rPr>
        <w:t>lo, ker so se stroški dela na enoto rahlo povečali, realni efektivni devizni tečaj pa se je stabiliziral. Raven zasebne zadolženosti je med najvišjimi v EU, in sicer tako za gospodinjstva kot tudi za podjetja, proces razdolževanja pa je počasen. Zlasti pri</w:t>
      </w:r>
      <w:r>
        <w:rPr>
          <w:rFonts w:ascii="Times New Roman" w:hAnsi="Times New Roman"/>
          <w:noProof/>
        </w:rPr>
        <w:t>hranki gospodinjstev so negativni. Prilagoditev realnih cen stanovanjskih nepremičnin navzdol je dosegla dno in cene stanovanj so se začele zmerno višati. Zelo visoka raven slabih posojil ovira pritok kreditov v gospodarstvo, kar je potrebno za srednjeročn</w:t>
      </w:r>
      <w:r>
        <w:rPr>
          <w:rFonts w:ascii="Times New Roman" w:hAnsi="Times New Roman"/>
          <w:noProof/>
        </w:rPr>
        <w:t>o podporo potencialni rasti. Delež javnega dolga v BDP je še vedno zelo visok. Brezposelnost se hitro zmanjšuje, vendar je še vedno visoka, zlasti brezposelnost mladih, čeprav sta se v zadnjih treh letih dolgotrajna brezposelnost in brezposelnost mladih iz</w:t>
      </w:r>
      <w:r>
        <w:rPr>
          <w:rFonts w:ascii="Times New Roman" w:hAnsi="Times New Roman"/>
          <w:noProof/>
        </w:rPr>
        <w:t>boljšali.</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zunanjo vzdržnostjo, zasebnim in javnim dolgom, ranljivostmi v finančnem sektorju ter prilagoditvijo trga dela. Zato se zdi Komisiji koristno, tudi ob upoštevanju ugotovljenega čezmer</w:t>
      </w:r>
      <w:r>
        <w:rPr>
          <w:rFonts w:ascii="Times New Roman" w:hAnsi="Times New Roman"/>
          <w:i/>
          <w:noProof/>
        </w:rPr>
        <w:t>nega neravnotežja v marcu 2018, da dodatno prouči nadaljnji obstoj makroekonomskih tveganj in spremlja napredek pri odpravljanju čezmernih neravnotežij.</w:t>
      </w:r>
    </w:p>
    <w:p w:rsidR="00BB7D09" w:rsidRDefault="00BB7D09">
      <w:pPr>
        <w:spacing w:after="160" w:line="259" w:lineRule="auto"/>
        <w:jc w:val="both"/>
        <w:rPr>
          <w:rFonts w:ascii="Times New Roman" w:eastAsia="Calibri" w:hAnsi="Times New Roman" w:cs="Times New Roman"/>
          <w:i/>
          <w:noProof/>
        </w:rPr>
      </w:pPr>
    </w:p>
    <w:p w:rsidR="00BB7D09" w:rsidRDefault="00A35831">
      <w:pPr>
        <w:rPr>
          <w:rFonts w:ascii="Times New Roman" w:eastAsia="Calibri" w:hAnsi="Times New Roman" w:cs="Times New Roman"/>
          <w:b/>
          <w:bCs/>
          <w:noProof/>
        </w:rPr>
      </w:pPr>
      <w:r>
        <w:rPr>
          <w:rFonts w:ascii="Times New Roman" w:hAnsi="Times New Roman"/>
          <w:b/>
          <w:noProof/>
        </w:rPr>
        <w:t xml:space="preserve">Latvija: </w:t>
      </w:r>
      <w:r>
        <w:rPr>
          <w:rFonts w:ascii="Times New Roman" w:hAnsi="Times New Roman"/>
          <w:noProof/>
        </w:rPr>
        <w:t xml:space="preserve">V prejšnjem krogu postopka v zvezi z makroekonomskimi neravnotežji za Latvijo </w:t>
      </w:r>
      <w:r>
        <w:rPr>
          <w:rFonts w:ascii="Times New Roman" w:hAnsi="Times New Roman"/>
          <w:i/>
          <w:noProof/>
        </w:rPr>
        <w:t xml:space="preserve">niso bila </w:t>
      </w:r>
      <w:r>
        <w:rPr>
          <w:rFonts w:ascii="Times New Roman" w:hAnsi="Times New Roman"/>
          <w:i/>
          <w:noProof/>
        </w:rPr>
        <w:t>ugotovljena makroekonomska neravnotežja</w:t>
      </w:r>
      <w:r>
        <w:rPr>
          <w:rFonts w:ascii="Times New Roman" w:hAnsi="Times New Roman"/>
          <w:noProof/>
        </w:rPr>
        <w:t xml:space="preserve">. V posodobljeni preglednici dva kazalnika presegata okvirne pragove, in sicer neto stanje mednarodnih naložb in rast stroškov dela na enoto. </w:t>
      </w:r>
    </w:p>
    <w:p w:rsidR="00BB7D09" w:rsidRDefault="00A35831">
      <w:pPr>
        <w:autoSpaceDE w:val="0"/>
        <w:autoSpaceDN w:val="0"/>
        <w:adjustRightInd w:val="0"/>
        <w:spacing w:after="0" w:line="240"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8352" behindDoc="0" locked="0" layoutInCell="1" allowOverlap="1">
            <wp:simplePos x="0" y="0"/>
            <wp:positionH relativeFrom="column">
              <wp:posOffset>3338830</wp:posOffset>
            </wp:positionH>
            <wp:positionV relativeFrom="paragraph">
              <wp:posOffset>26035</wp:posOffset>
            </wp:positionV>
            <wp:extent cx="2418715" cy="3113405"/>
            <wp:effectExtent l="0" t="0" r="635" b="0"/>
            <wp:wrapSquare wrapText="lef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8715"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Tekoči račun je na splošno uravnotežen in negativno neto stanje mednarodn</w:t>
      </w:r>
      <w:r>
        <w:rPr>
          <w:rFonts w:ascii="Times New Roman" w:hAnsi="Times New Roman"/>
          <w:noProof/>
        </w:rPr>
        <w:t>ih naložb, ki ga večinoma sestavljajo neposredne tuje naložbe, se je glede na močno nominalno rast BDP izboljšalo, čeprav ostaja nad pragom. Stroški dela na enoto primerjalno gledano že več let hitro rastejo, kar je posledica močne rasti plač in nezadostne</w:t>
      </w:r>
      <w:r>
        <w:rPr>
          <w:rFonts w:ascii="Times New Roman" w:hAnsi="Times New Roman"/>
          <w:noProof/>
        </w:rPr>
        <w:t xml:space="preserve"> ponudbe delovne sile na trgu dela, kazalnik pa je od leta 2014 nad pragom iz pregleda. Učinek na zunanjo cenovno konkurenčnost in izvozne rezultate je bil do zdaj omejen in se je delno ublažil z nižjimi stopnjami dobička. Pričakuje se, da bo v prihodnje r</w:t>
      </w:r>
      <w:r>
        <w:rPr>
          <w:rFonts w:ascii="Times New Roman" w:hAnsi="Times New Roman"/>
          <w:noProof/>
        </w:rPr>
        <w:t>ast plač ostala močna zaradi nadaljnje nezadostnosti ponudbe na trgu dela ob visokem povpraševanju. Ti dejavniki skupaj predstavljajo tveganje za konkurenčnost države in njene obete glede rasti na srednji rok. Rast realnih cen stanovanjskih nepremičnin ost</w:t>
      </w:r>
      <w:r>
        <w:rPr>
          <w:rFonts w:ascii="Times New Roman" w:hAnsi="Times New Roman"/>
          <w:noProof/>
        </w:rPr>
        <w:t xml:space="preserve">aja dinamična. Medtem ko so se cene stanovanjskih nepremičnin v letu 2017 znižale v primerjavi z letom 2016, so se v prvi polovici leta 2018 spet zvišale. Rast posojil je bila na splošno umirjena. Javni in zasebni dolg sta razmeroma nizka. </w:t>
      </w:r>
    </w:p>
    <w:p w:rsidR="00BB7D09" w:rsidRDefault="00BB7D09">
      <w:pPr>
        <w:autoSpaceDE w:val="0"/>
        <w:autoSpaceDN w:val="0"/>
        <w:adjustRightInd w:val="0"/>
        <w:spacing w:after="0" w:line="240" w:lineRule="auto"/>
        <w:jc w:val="both"/>
        <w:rPr>
          <w:rFonts w:ascii="Times New Roman" w:eastAsia="Calibri" w:hAnsi="Times New Roman" w:cs="Times New Roman"/>
          <w:noProof/>
        </w:rPr>
      </w:pPr>
    </w:p>
    <w:p w:rsidR="00BB7D09" w:rsidRDefault="00A35831">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Na splošno eko</w:t>
      </w:r>
      <w:r>
        <w:rPr>
          <w:rFonts w:ascii="Times New Roman" w:hAnsi="Times New Roman"/>
          <w:i/>
          <w:noProof/>
        </w:rPr>
        <w:t>nomska razlaga izpostavlja vprašanja, povezana z dinamiko na trgu dela in zunanjo konkurenčnostjo, čeprav se tveganja na tej stopnji zdijo omejena. Zato se Komisiji na tej stopnji ne zdi potrebno izvajati nadaljnje poglobljene analize v okviru postopka v z</w:t>
      </w:r>
      <w:r>
        <w:rPr>
          <w:rFonts w:ascii="Times New Roman" w:hAnsi="Times New Roman"/>
          <w:i/>
          <w:noProof/>
        </w:rPr>
        <w:t xml:space="preserve">vezi z makroekonomskimi neravnotežji. </w:t>
      </w:r>
    </w:p>
    <w:p w:rsidR="00BB7D09" w:rsidRDefault="00BB7D09">
      <w:pPr>
        <w:spacing w:after="160" w:line="259" w:lineRule="auto"/>
        <w:rPr>
          <w:rFonts w:ascii="Times New Roman" w:eastAsia="Calibri" w:hAnsi="Times New Roman" w:cs="Times New Roman"/>
          <w:noProof/>
        </w:rPr>
      </w:pP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9376" behindDoc="0" locked="0" layoutInCell="1" allowOverlap="1">
            <wp:simplePos x="0" y="0"/>
            <wp:positionH relativeFrom="column">
              <wp:posOffset>3415030</wp:posOffset>
            </wp:positionH>
            <wp:positionV relativeFrom="paragraph">
              <wp:posOffset>68580</wp:posOffset>
            </wp:positionV>
            <wp:extent cx="2353945" cy="2933700"/>
            <wp:effectExtent l="0" t="0" r="8255" b="0"/>
            <wp:wrapSquare wrapText="lef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394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Litva:</w:t>
      </w:r>
      <w:r>
        <w:rPr>
          <w:rFonts w:ascii="Times New Roman" w:hAnsi="Times New Roman"/>
          <w:noProof/>
        </w:rPr>
        <w:t xml:space="preserve"> V prejšnjih krogih postopka v zvezi z makroekonomskimi neravnotežji za Litvo </w:t>
      </w:r>
      <w:r>
        <w:rPr>
          <w:rFonts w:ascii="Times New Roman" w:hAnsi="Times New Roman"/>
          <w:i/>
          <w:noProof/>
        </w:rPr>
        <w:t>niso bila ugotovljena makroekonomska neravnotežja</w:t>
      </w:r>
      <w:r>
        <w:rPr>
          <w:rFonts w:ascii="Times New Roman" w:hAnsi="Times New Roman"/>
          <w:noProof/>
        </w:rPr>
        <w:t>. V posodobljeni preglednici dva kazalnika presegata okvirne pragove, in sicer net</w:t>
      </w:r>
      <w:r>
        <w:rPr>
          <w:rFonts w:ascii="Times New Roman" w:hAnsi="Times New Roman"/>
          <w:noProof/>
        </w:rPr>
        <w:t>o stanje mednarodnih naložb in nominalni stroški dela na enoto.</w:t>
      </w:r>
      <w:r>
        <w:rPr>
          <w:rFonts w:ascii="Times New Roman" w:hAnsi="Times New Roman"/>
          <w:i/>
          <w:noProof/>
        </w:rPr>
        <w:t xml:space="preserve">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Tekoči račun je na splošno uravnotežen in glede na močno nominalno rast BDP se je negativno neto stanje mednarodnih naložb, ki je v veliki meri sestavljeno iz neposrednih tujih naložb, izbolj</w:t>
      </w:r>
      <w:r>
        <w:rPr>
          <w:rFonts w:ascii="Times New Roman" w:hAnsi="Times New Roman"/>
          <w:noProof/>
        </w:rPr>
        <w:t>šalo, čeprav ostaja nekoliko nad pragom. Rast stroškov dela na enoto je primerjalno gledano že več let visoka, kazalnik pa od leta 2015 presega prag iz preglednice, kar je posledica visoke rasti plač zaradi nezadostne ponudbe delovne sile na trgu dela, in,</w:t>
      </w:r>
      <w:r>
        <w:rPr>
          <w:rFonts w:ascii="Times New Roman" w:hAnsi="Times New Roman"/>
          <w:noProof/>
        </w:rPr>
        <w:t xml:space="preserve"> med drugim, hitre rasti minimalne plače od leta 2016. Učinek rastočih stroškov dela na zunanjo stroškovno konkurenčnost in izvozne rezultate je bil do zdaj omejen in se je delno ublažil z nižjimi stopnjami dobička, kar samo po sebi morda ni vzdržno na dol</w:t>
      </w:r>
      <w:r>
        <w:rPr>
          <w:rFonts w:ascii="Times New Roman" w:hAnsi="Times New Roman"/>
          <w:noProof/>
        </w:rPr>
        <w:t>gi rok. Pričakuje se, da bo v prihodnje rast plač ostala močna zaradi padajoče brezposelnosti in nezadostne ponudbe ter velikega povpraševanja po delovni sili na trgu dela. Ti dejavniki lahko skupaj poslabšajo konkurenčnost države in njene obete glede rast</w:t>
      </w:r>
      <w:r>
        <w:rPr>
          <w:rFonts w:ascii="Times New Roman" w:hAnsi="Times New Roman"/>
          <w:noProof/>
        </w:rPr>
        <w:t>i na srednji rok. Rast cen stanovanjskih nepremičnin je bila v zadnjih letih dinamična in se je postopoma povečevala, vendar je še vedno pod pragom. Rast posojil se je pospešila. Ravni javnega in zasebnega dolga sta še vedno razmeroma nizki in stabilni.</w:t>
      </w:r>
    </w:p>
    <w:p w:rsidR="00BB7D09" w:rsidRDefault="00A35831">
      <w:pPr>
        <w:autoSpaceDE w:val="0"/>
        <w:autoSpaceDN w:val="0"/>
        <w:adjustRightInd w:val="0"/>
        <w:spacing w:after="0" w:line="240"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50400" behindDoc="0" locked="0" layoutInCell="1" allowOverlap="1">
            <wp:simplePos x="0" y="0"/>
            <wp:positionH relativeFrom="column">
              <wp:posOffset>3186430</wp:posOffset>
            </wp:positionH>
            <wp:positionV relativeFrom="paragraph">
              <wp:posOffset>535940</wp:posOffset>
            </wp:positionV>
            <wp:extent cx="2580005" cy="3352800"/>
            <wp:effectExtent l="0" t="0" r="0" b="0"/>
            <wp:wrapSquare wrapText="lef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000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t>N</w:t>
      </w:r>
      <w:r>
        <w:rPr>
          <w:rFonts w:ascii="Times New Roman" w:hAnsi="Times New Roman"/>
          <w:i/>
          <w:noProof/>
        </w:rPr>
        <w:t>a splošno ekonomska razlaga izpostavlja vprašanja, povezana z dinamiko stroškov dela na enoto in zunanjo konkurenčnostjo, čeprav se tveganja na tej stopnji zdijo omejena. Zato se Komisiji na tej stopnji ne zdi potrebno izvajati nadaljnje poglobljene analiz</w:t>
      </w:r>
      <w:r>
        <w:rPr>
          <w:rFonts w:ascii="Times New Roman" w:hAnsi="Times New Roman"/>
          <w:i/>
          <w:noProof/>
        </w:rPr>
        <w:t>e v okviru postopka v zvezi z makroekonomskimi neravnotežji.</w:t>
      </w:r>
    </w:p>
    <w:p w:rsidR="00BB7D09" w:rsidRDefault="00BB7D09">
      <w:pPr>
        <w:spacing w:after="160" w:line="259" w:lineRule="auto"/>
        <w:jc w:val="both"/>
        <w:rPr>
          <w:rFonts w:ascii="Times New Roman" w:eastAsia="Calibri" w:hAnsi="Times New Roman" w:cs="Times New Roman"/>
          <w:i/>
          <w:noProof/>
        </w:rPr>
      </w:pPr>
    </w:p>
    <w:p w:rsidR="00BB7D09" w:rsidRDefault="00A35831">
      <w:pPr>
        <w:spacing w:after="160" w:line="259" w:lineRule="auto"/>
        <w:jc w:val="both"/>
        <w:rPr>
          <w:rFonts w:ascii="Times New Roman" w:eastAsia="Calibri" w:hAnsi="Times New Roman" w:cs="Times New Roman"/>
          <w:noProof/>
        </w:rPr>
      </w:pPr>
      <w:r>
        <w:rPr>
          <w:rFonts w:ascii="Times New Roman" w:hAnsi="Times New Roman"/>
          <w:b/>
          <w:noProof/>
        </w:rPr>
        <w:t>Luksemburg:</w:t>
      </w:r>
      <w:r>
        <w:rPr>
          <w:rFonts w:ascii="Times New Roman" w:hAnsi="Times New Roman"/>
          <w:noProof/>
        </w:rPr>
        <w:t xml:space="preserve"> V prejšnjem krogu postopka v zvezi z makroekonomskimi neravnotežji za Luksemburg </w:t>
      </w:r>
      <w:r>
        <w:rPr>
          <w:rFonts w:ascii="Times New Roman" w:hAnsi="Times New Roman"/>
          <w:i/>
          <w:noProof/>
        </w:rPr>
        <w:t>ni bilo ugotovljeno, da bi imel makroekonomska neravnotežja</w:t>
      </w:r>
      <w:r>
        <w:rPr>
          <w:rFonts w:ascii="Times New Roman" w:hAnsi="Times New Roman"/>
          <w:noProof/>
        </w:rPr>
        <w:t>. V posodobljeni preglednici več kazalniko</w:t>
      </w:r>
      <w:r>
        <w:rPr>
          <w:rFonts w:ascii="Times New Roman" w:hAnsi="Times New Roman"/>
          <w:noProof/>
        </w:rPr>
        <w:t xml:space="preserve">v presega okvirni prag, in sicer zadolženost zasebnega sektorja, sprememba stopnje delovne aktivnosti in stopnja dolgotrajne brezposelnosti.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Zunanji položaj še naprej kaže stabilen presežek na tekočem računu ter pozitivno in stabilno neto stanje mednarodn</w:t>
      </w:r>
      <w:r>
        <w:rPr>
          <w:rFonts w:ascii="Times New Roman" w:hAnsi="Times New Roman"/>
          <w:noProof/>
        </w:rPr>
        <w:t>ih naložb. Vendar ima položaj države kot mednarodnega finančnega centra pomembnejši vpliv na podatke kot dejavnost domačega gospodarstva. Skupni delež na izvoznih trgih se je stabiliziral. Vendar so bile nedavno ugotovljene izgube na nekaterih trgih, delom</w:t>
      </w:r>
      <w:r>
        <w:rPr>
          <w:rFonts w:ascii="Times New Roman" w:hAnsi="Times New Roman"/>
          <w:noProof/>
        </w:rPr>
        <w:t>a zaradi poslabšanja stroškovne konkurenčnosti, na katero pa negativno vplivata večja rast stroškov dela na enoto in rast uvoznih cen. V zadnjem desetletju so se realne cene stanovanjskih nepremičnin povečevale po razmeroma visokih stopnjah, kar na splošno</w:t>
      </w:r>
      <w:r>
        <w:rPr>
          <w:rFonts w:ascii="Times New Roman" w:hAnsi="Times New Roman"/>
          <w:noProof/>
        </w:rPr>
        <w:t xml:space="preserve"> še naprej zahteva natančno spremljanje. Povišanje cen stanovanjskih nepremičnin poteka v razmerah dinamičnega trga dela skupaj z znatnimi neto migracijskimi tokovi in ugodnimi pogoji financiranja, medtem ko je ponudba razmeroma omejena in je še vedno neza</w:t>
      </w:r>
      <w:r>
        <w:rPr>
          <w:rFonts w:ascii="Times New Roman" w:hAnsi="Times New Roman"/>
          <w:noProof/>
        </w:rPr>
        <w:t>dostna glede na veliko povpraševanje. Cenovna dostopnost stanovanj se zaradi stalno naraščajočih cen še naprej slabša. Zadolženost podjetij je zelo visoka, vendar je to večinoma povezano s čezmejnimi posojili znotraj podjetij. Raven zadolženosti gospodinjs</w:t>
      </w:r>
      <w:r>
        <w:rPr>
          <w:rFonts w:ascii="Times New Roman" w:hAnsi="Times New Roman"/>
          <w:noProof/>
        </w:rPr>
        <w:t>tev, večinoma hipotekarnih posojil, vztrajno narašča, kar odraža dinamiko trga nepremičnin in ugodne kreditne pogoje. Čeprav so nižje obrestne mere in daljša obdobja hipotekarnih posojil zmanjšali finančni pritisk na gospodinjstva in je večina novih hipote</w:t>
      </w:r>
      <w:r>
        <w:rPr>
          <w:rFonts w:ascii="Times New Roman" w:hAnsi="Times New Roman"/>
          <w:noProof/>
        </w:rPr>
        <w:t>k sklenjenih s fiksnimi obrestnimi merami, velik delež zadolženih gospodinjstev ostaja izpostavljen nenadnim večjim dvigom obrestnih mer. Vendar so tveganja za finančno stabilnost države ublažena zaradi trdnosti bančnega sektorja. Javni dolg je še vedno ze</w:t>
      </w:r>
      <w:r>
        <w:rPr>
          <w:rFonts w:ascii="Times New Roman" w:hAnsi="Times New Roman"/>
          <w:noProof/>
        </w:rPr>
        <w:t>lo nizek. Kljub nedavni upočasnitvi gospodarske rasti se trg dela sooča z nezadostno ponudbo delovne sile, brezposelnost pa se še zmanjšuje.</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predvsem nekatera omejena tveganja, povezana z vedno višjimi cenami stanov</w:t>
      </w:r>
      <w:r>
        <w:rPr>
          <w:rFonts w:ascii="Times New Roman" w:hAnsi="Times New Roman"/>
          <w:i/>
          <w:noProof/>
        </w:rPr>
        <w:t>anj in zadolženostjo gospodinjstev. Zato Komisija na tej stopnji ne bo izvedla nadaljnje poglobljene analize v okviru postopka v zvezi z makroekonomskimi neravnotežji.</w:t>
      </w:r>
    </w:p>
    <w:p w:rsidR="00BB7D09" w:rsidRDefault="00BB7D09">
      <w:pPr>
        <w:rPr>
          <w:rFonts w:ascii="Times New Roman" w:eastAsia="Calibri" w:hAnsi="Times New Roman" w:cs="Times New Roman"/>
          <w:b/>
          <w:bCs/>
          <w:noProof/>
        </w:rPr>
      </w:pPr>
    </w:p>
    <w:p w:rsidR="00BB7D09" w:rsidRDefault="00A35831">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Madžarska: </w:t>
      </w:r>
      <w:r>
        <w:rPr>
          <w:rFonts w:ascii="Times New Roman" w:hAnsi="Times New Roman"/>
          <w:noProof/>
        </w:rPr>
        <w:t>V prejšnjem krogu postopka v zvezi z makroekonomskimi neravnotežji za Madžar</w:t>
      </w:r>
      <w:r>
        <w:rPr>
          <w:rFonts w:ascii="Times New Roman" w:hAnsi="Times New Roman"/>
          <w:noProof/>
        </w:rPr>
        <w:t xml:space="preserve">sko </w:t>
      </w:r>
      <w:r>
        <w:rPr>
          <w:rFonts w:ascii="Times New Roman" w:hAnsi="Times New Roman"/>
          <w:i/>
          <w:noProof/>
        </w:rPr>
        <w:t>niso bila ugotovljena makroekonomska neravnotežja</w:t>
      </w:r>
      <w:r>
        <w:rPr>
          <w:rFonts w:ascii="Times New Roman" w:hAnsi="Times New Roman"/>
          <w:noProof/>
        </w:rPr>
        <w:t xml:space="preserve">. V posodobljeni preglednici nekateri kazalniki presegajo okvirni prag, in sicer neto stanje mednarodnih naložb in javni dolg. </w:t>
      </w:r>
    </w:p>
    <w:p w:rsidR="00BB7D09" w:rsidRDefault="00A35831">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1424" behindDoc="0" locked="0" layoutInCell="1" allowOverlap="1">
            <wp:simplePos x="0" y="0"/>
            <wp:positionH relativeFrom="column">
              <wp:posOffset>3283585</wp:posOffset>
            </wp:positionH>
            <wp:positionV relativeFrom="paragraph">
              <wp:posOffset>53340</wp:posOffset>
            </wp:positionV>
            <wp:extent cx="2465705" cy="3239770"/>
            <wp:effectExtent l="0" t="0" r="0" b="0"/>
            <wp:wrapSquare wrapText="lef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570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Presežek na tekočem računu v zadnjih letih je pomenil hitro in trajno izbo</w:t>
      </w:r>
      <w:r>
        <w:rPr>
          <w:rFonts w:ascii="Times New Roman" w:hAnsi="Times New Roman"/>
          <w:noProof/>
        </w:rPr>
        <w:t>ljšanje negativnega neto stanja mednarodnih naložb, ki je prav tako v veliki meri posledica neposrednih tujih naložb. Deleži na izvoznih trgih so se leta 2017 povečali ob podpori rastoče avtomobilske industrije. Nominalni stroški dela na enoto so se zaradi</w:t>
      </w:r>
      <w:r>
        <w:rPr>
          <w:rFonts w:ascii="Times New Roman" w:hAnsi="Times New Roman"/>
          <w:noProof/>
        </w:rPr>
        <w:t xml:space="preserve"> nezadostne ponudbe delovne sile in visokega povpraševanja po njej na trgu dela močno povečali. Povečanje plač v javni upravi je prav tako prispevalo k povečanju stroškov dela, vendar se je to delno izravnalo z zmanjšanjem prispevkov delodajalcev za social</w:t>
      </w:r>
      <w:r>
        <w:rPr>
          <w:rFonts w:ascii="Times New Roman" w:hAnsi="Times New Roman"/>
          <w:noProof/>
        </w:rPr>
        <w:t>no varnost. Tokovi posojil zasebnemu sektorju so postali pozitivni, vendar se je obseg posojil zasebnemu sektorju v letu 2017 še naprej zmanjševal. Realna rast cen stanovanjskih nepremičnin se je po znatnem povečanju v prejšnjih letih umirila. Kljub temu j</w:t>
      </w:r>
      <w:r>
        <w:rPr>
          <w:rFonts w:ascii="Times New Roman" w:hAnsi="Times New Roman"/>
          <w:noProof/>
        </w:rPr>
        <w:t>e treba pozornost nameniti visokim cenitvam v nekaterih regijah in hitremu kopičenju hipotekarnih posojil. Trenutno okrevanje nepremičninskega trga lahko prispeva k nadaljnjemu zmanjšanju deleža slabih posojil, ki je še vedno visok. Bančni sektor je izbolj</w:t>
      </w:r>
      <w:r>
        <w:rPr>
          <w:rFonts w:ascii="Times New Roman" w:hAnsi="Times New Roman"/>
          <w:noProof/>
        </w:rPr>
        <w:t xml:space="preserve">šal svojo dobičkonosnost in sposobnost, da absorbira pretrese. Kljub ugodnemu gospodarskemu ciklu se javni dolg zmanjšuje le postopoma zaradi prociklične fiskalne politike. Brezposelnost se je zmanjšala na doslej najnižjo raven, nezadostna ponudba delovne </w:t>
      </w:r>
      <w:r>
        <w:rPr>
          <w:rFonts w:ascii="Times New Roman" w:hAnsi="Times New Roman"/>
          <w:noProof/>
        </w:rPr>
        <w:t xml:space="preserve">sile na trgu dela pa je prispevala k hitri rasti plač, ki je še naprej presegala povečanje produktivnosti. </w:t>
      </w:r>
    </w:p>
    <w:p w:rsidR="00BB7D09" w:rsidRDefault="00A35831">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s stanovanjskim trgom in razmerami nezadostne ponudbe delovne sile ter velikega povpraševanja po njej na trgu dela, vendar se tveganja zdijo omejena. Komisija na tej stopnji ne bo izvedla nadaljn</w:t>
      </w:r>
      <w:r>
        <w:rPr>
          <w:rFonts w:ascii="Times New Roman" w:hAnsi="Times New Roman"/>
          <w:i/>
          <w:noProof/>
        </w:rPr>
        <w:t xml:space="preserve">je poglobljene analize v okviru postopka v zvezi z makroekonomskimi neravnotežji. </w:t>
      </w:r>
    </w:p>
    <w:p w:rsidR="00BB7D09" w:rsidRDefault="00BB7D09">
      <w:pPr>
        <w:spacing w:after="160" w:line="259" w:lineRule="auto"/>
        <w:rPr>
          <w:rFonts w:ascii="Times New Roman" w:eastAsia="Calibri" w:hAnsi="Times New Roman" w:cs="Times New Roman"/>
          <w:noProof/>
        </w:rPr>
      </w:pPr>
    </w:p>
    <w:p w:rsidR="00BB7D09" w:rsidRDefault="00A35831">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V prejšnjem krogu postopka v zvezi z makroekonomskimi neravnotežji za Malto </w:t>
      </w:r>
      <w:r>
        <w:rPr>
          <w:rFonts w:ascii="Times New Roman" w:hAnsi="Times New Roman"/>
          <w:i/>
          <w:noProof/>
          <w:color w:val="000000"/>
        </w:rPr>
        <w:t>niso bila ugotovljena makroekonomska neravnotežja</w:t>
      </w:r>
      <w:r>
        <w:rPr>
          <w:rFonts w:ascii="Times New Roman" w:hAnsi="Times New Roman"/>
          <w:noProof/>
          <w:color w:val="000000"/>
        </w:rPr>
        <w:t>. V posodobljeni preglednici saldo tekoč</w:t>
      </w:r>
      <w:r>
        <w:rPr>
          <w:rFonts w:ascii="Times New Roman" w:hAnsi="Times New Roman"/>
          <w:noProof/>
          <w:color w:val="000000"/>
        </w:rPr>
        <w:t>ega računa presega okvirni prag.</w:t>
      </w:r>
      <w:r>
        <w:rPr>
          <w:noProof/>
        </w:rPr>
        <w:t xml:space="preserve"> </w:t>
      </w:r>
    </w:p>
    <w:p w:rsidR="00BB7D09" w:rsidRDefault="00A35831">
      <w:pPr>
        <w:autoSpaceDE w:val="0"/>
        <w:autoSpaceDN w:val="0"/>
        <w:adjustRightInd w:val="0"/>
        <w:spacing w:before="120"/>
        <w:jc w:val="both"/>
        <w:rPr>
          <w:rFonts w:ascii="Times New Roman" w:eastAsia="Times New Roman" w:hAnsi="Times New Roman" w:cs="Times New Roman"/>
          <w:noProof/>
          <w:color w:val="000000"/>
        </w:rPr>
      </w:pPr>
      <w:r>
        <w:rPr>
          <w:noProof/>
          <w:lang w:val="fr-BE" w:eastAsia="fr-BE" w:bidi="ar-SA"/>
        </w:rPr>
        <w:drawing>
          <wp:anchor distT="0" distB="0" distL="114300" distR="114300" simplePos="0" relativeHeight="251752448" behindDoc="0" locked="0" layoutInCell="1" allowOverlap="1">
            <wp:simplePos x="0" y="0"/>
            <wp:positionH relativeFrom="column">
              <wp:posOffset>3243580</wp:posOffset>
            </wp:positionH>
            <wp:positionV relativeFrom="paragraph">
              <wp:posOffset>59055</wp:posOffset>
            </wp:positionV>
            <wp:extent cx="2534285" cy="3524250"/>
            <wp:effectExtent l="0" t="0" r="0" b="0"/>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428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rPr>
        <w:t>Visok presežek na tekočem računu se je leta 2017 še povečal na precej visoko raven, kar je sovpadalo z močnim izboljšanjem že tako pozitivnega neto stanja mednarodnih naložb. Vendar zunanji položaj odraža nihanja v mednarodno usmerjenem podjetniškem sektor</w:t>
      </w:r>
      <w:r>
        <w:rPr>
          <w:rFonts w:ascii="Times New Roman" w:hAnsi="Times New Roman"/>
          <w:noProof/>
          <w:color w:val="000000"/>
        </w:rPr>
        <w:t>ju in ne razvoja v domačem gospodarstvu. Razvoj v zvezi s stroškovno konkurenčnostjo in realnim efektivnim deviznim tečajem je bil razmeroma ugoden, medtem ko omejena dinamika plač skupaj z razmeroma močno rastjo produktivnosti dela ohranja rast stroškov d</w:t>
      </w:r>
      <w:r>
        <w:rPr>
          <w:rFonts w:ascii="Times New Roman" w:hAnsi="Times New Roman"/>
          <w:noProof/>
          <w:color w:val="000000"/>
        </w:rPr>
        <w:t>ela na enoto na zmerni ravni. Delež dolga zasebnega sektorja v BDP se je leta 2017 znatno zmanjšal, k čemur je prispevala močna nominalna rast BDP. Medtem ko je zadolženost podjetniškega sektorja še vedno visoka, se rast posojil gospodinjstvom upočasnjuje.</w:t>
      </w:r>
      <w:r>
        <w:rPr>
          <w:rFonts w:ascii="Times New Roman" w:hAnsi="Times New Roman"/>
          <w:noProof/>
          <w:color w:val="000000"/>
        </w:rPr>
        <w:t xml:space="preserve"> Delež javnega dolga v BDP se vztrajno znižuje. Realne cene stanovanjskih nepremičnin so se v letu 2017 zvišale, kar je treba pozorno spremljati. Zlasti so močna gospodarska aktivnost in omejene možnosti za vlaganje zasebnih prihrankov privedle do ponovneg</w:t>
      </w:r>
      <w:r>
        <w:rPr>
          <w:rFonts w:ascii="Times New Roman" w:hAnsi="Times New Roman"/>
          <w:noProof/>
          <w:color w:val="000000"/>
        </w:rPr>
        <w:t>a zanimanja za stanovanjske nepremičnine. Kakovost sredstev v domačem bančnem sektorju se izboljšuje in razpoložljive kapitalske rezerve naj bi zadostovale za pokritje neposrednih tveganj, ki bi lahko izhajala iz stanovanjskega trga ali institucionalnega o</w:t>
      </w:r>
      <w:r>
        <w:rPr>
          <w:rFonts w:ascii="Times New Roman" w:hAnsi="Times New Roman"/>
          <w:noProof/>
          <w:color w:val="000000"/>
        </w:rPr>
        <w:t xml:space="preserve">kvira. Na trgu dela se še vedno beležijo dobri rezultati z močno rastjo zaposlovanja, ki jo spremlja nizka in še naprej padajoča brezposelnost. </w:t>
      </w:r>
    </w:p>
    <w:p w:rsidR="00BB7D09" w:rsidRDefault="00A35831">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Na splošno ekonomska razlaga opozarja na vprašanja, povezana z zunanjim položajem in trgom stanovanjskih neprem</w:t>
      </w:r>
      <w:r>
        <w:rPr>
          <w:rFonts w:ascii="Times New Roman" w:hAnsi="Times New Roman"/>
          <w:i/>
          <w:noProof/>
          <w:color w:val="000000"/>
        </w:rPr>
        <w:t>ičnin v razmerah trdne gospodarske rasti, čeprav se tveganja na tej stopnji zdijo omejena. Zato Komisija na tej stopnji ne bo izvedla nadaljnje poglobljene analize v okviru postopka v zvezi z makroekonomskimi neravnotežji.</w:t>
      </w:r>
    </w:p>
    <w:p w:rsidR="00BB7D09" w:rsidRDefault="00BB7D09">
      <w:pPr>
        <w:spacing w:after="160" w:line="259" w:lineRule="auto"/>
        <w:jc w:val="both"/>
        <w:rPr>
          <w:rFonts w:ascii="Times New Roman" w:eastAsia="Calibri" w:hAnsi="Times New Roman" w:cs="Times New Roman"/>
          <w:b/>
          <w:noProof/>
        </w:rPr>
      </w:pPr>
    </w:p>
    <w:p w:rsidR="00BB7D09" w:rsidRDefault="00A35831">
      <w:pPr>
        <w:spacing w:after="160" w:line="259" w:lineRule="auto"/>
        <w:jc w:val="both"/>
        <w:rPr>
          <w:noProof/>
        </w:rPr>
      </w:pPr>
      <w:r>
        <w:rPr>
          <w:noProof/>
          <w:lang w:val="fr-BE" w:eastAsia="fr-BE" w:bidi="ar-SA"/>
        </w:rPr>
        <w:drawing>
          <wp:anchor distT="0" distB="0" distL="114300" distR="114300" simplePos="0" relativeHeight="251753472" behindDoc="0" locked="0" layoutInCell="1" allowOverlap="1">
            <wp:simplePos x="0" y="0"/>
            <wp:positionH relativeFrom="column">
              <wp:posOffset>3129280</wp:posOffset>
            </wp:positionH>
            <wp:positionV relativeFrom="paragraph">
              <wp:posOffset>897890</wp:posOffset>
            </wp:positionV>
            <wp:extent cx="2599055" cy="2905125"/>
            <wp:effectExtent l="0" t="0" r="0" b="0"/>
            <wp:wrapSquare wrapText="lef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05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Nizozemska:</w:t>
      </w:r>
      <w:r>
        <w:rPr>
          <w:rFonts w:ascii="Times New Roman" w:hAnsi="Times New Roman"/>
          <w:noProof/>
        </w:rPr>
        <w:t xml:space="preserve"> Komisija je marca 2</w:t>
      </w:r>
      <w:r>
        <w:rPr>
          <w:rFonts w:ascii="Times New Roman" w:hAnsi="Times New Roman"/>
          <w:noProof/>
        </w:rPr>
        <w:t xml:space="preserve">018 ugotovila, da na Nizozemskem obstajajo </w:t>
      </w:r>
      <w:r>
        <w:rPr>
          <w:rFonts w:ascii="Times New Roman" w:hAnsi="Times New Roman"/>
          <w:i/>
          <w:noProof/>
        </w:rPr>
        <w:t>makroekonomska neravnotežja</w:t>
      </w:r>
      <w:r>
        <w:rPr>
          <w:rFonts w:ascii="Times New Roman" w:hAnsi="Times New Roman"/>
          <w:noProof/>
        </w:rPr>
        <w:t>, zlasti v zvezi z visoko ravnjo zasebnega dolga ter velikim presežkom na tekočem računu. V posodobljeni preglednici več kazalnikov presega okvirni prag, in sicer triletno povprečje sald</w:t>
      </w:r>
      <w:r>
        <w:rPr>
          <w:rFonts w:ascii="Times New Roman" w:hAnsi="Times New Roman"/>
          <w:noProof/>
        </w:rPr>
        <w:t xml:space="preserve">a tekočega računa, dolg zasebnega sektorja in realna rast cen stanovanjskih nepremičnin.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Presežek na tekočem računu je še vedno zelo visok, v letu 2017 pa se je še povečal, medtem ko se je pozitivno neto stanje mednarodnih naložb nekoliko zmanjšalo. Medte</w:t>
      </w:r>
      <w:r>
        <w:rPr>
          <w:rFonts w:ascii="Times New Roman" w:hAnsi="Times New Roman"/>
          <w:noProof/>
        </w:rPr>
        <w:t xml:space="preserve">m ko so vsi sektorji neto varčevalci, so za presežek na tekočem računu v letu 2017 odgovorne predvsem nefinančne družbe s presežkom prihrankov, povezanim z razmeroma visoko dobičkonosnostjo podjetij in razmeroma nizko stopnjo naložb. Gibanja stroškov dela </w:t>
      </w:r>
      <w:r>
        <w:rPr>
          <w:rFonts w:ascii="Times New Roman" w:hAnsi="Times New Roman"/>
          <w:noProof/>
        </w:rPr>
        <w:t>na enoto so umirjena z rastjo plač, ki je skladna z razvojem produktivnosti. Zasebni dolg je na visoki ravni, pri čemer se dolg podjetij prav tako lahko pojasni z dolgom znotraj multinacionalnih skupin. Dolg gospodinjstev je visok, spodbujajo pa ga velikod</w:t>
      </w:r>
      <w:r>
        <w:rPr>
          <w:rFonts w:ascii="Times New Roman" w:hAnsi="Times New Roman"/>
          <w:noProof/>
        </w:rPr>
        <w:t>ušna davčna obravnava lastniških stanovanj in ugodne hipotekarne obrestne mere. Medtem ko se zadolženost gospodinjstev kot delež BDP zmanjšuje, se nominalni dolg spet povečuje. Na trgu stanovanjskih nepremičnin je prišlo do močnega okrevanja, saj so cene s</w:t>
      </w:r>
      <w:r>
        <w:rPr>
          <w:rFonts w:ascii="Times New Roman" w:hAnsi="Times New Roman"/>
          <w:noProof/>
        </w:rPr>
        <w:t>tanovanjskih nepremičnin v letu 2017 rasle še hitreje, tudi zaradi neoptimalnega delovanja najemniškega trga. Trg dela se sooča z nezadostno ponudbo delovne sile zaradi nizke brezposelnosti, ki še upada.</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w:t>
      </w:r>
      <w:r>
        <w:rPr>
          <w:rFonts w:ascii="Times New Roman" w:hAnsi="Times New Roman"/>
          <w:i/>
          <w:noProof/>
        </w:rPr>
        <w:t>povezana z visokim dolgom gospodinjstev in velikim presežkom domačih prihrankov. Zato se zdi Komisiji primerno, tudi ob upoštevanju ugotovljenega neravnotežja v marcu 2018, da nadalje prouči obstoj neravnotežij ali njihovo odpravljanje.</w:t>
      </w:r>
    </w:p>
    <w:p w:rsidR="00BB7D09" w:rsidRDefault="00BB7D09">
      <w:pPr>
        <w:spacing w:after="160" w:line="259" w:lineRule="auto"/>
        <w:jc w:val="both"/>
        <w:rPr>
          <w:rFonts w:ascii="Times New Roman" w:eastAsia="Calibri" w:hAnsi="Times New Roman" w:cs="Times New Roman"/>
          <w:i/>
          <w:noProof/>
        </w:rPr>
      </w:pPr>
    </w:p>
    <w:p w:rsidR="00BB7D09" w:rsidRDefault="00A35831">
      <w:pPr>
        <w:rPr>
          <w:rFonts w:ascii="Times New Roman" w:eastAsia="Calibri" w:hAnsi="Times New Roman" w:cs="Times New Roman"/>
          <w:b/>
          <w:noProof/>
        </w:rPr>
      </w:pPr>
      <w:r>
        <w:rPr>
          <w:noProof/>
        </w:rPr>
        <w:br w:type="page"/>
      </w:r>
    </w:p>
    <w:p w:rsidR="00BB7D09" w:rsidRDefault="00A35831">
      <w:pPr>
        <w:rPr>
          <w:rFonts w:ascii="Times New Roman" w:eastAsia="Calibri" w:hAnsi="Times New Roman" w:cs="Times New Roman"/>
          <w:b/>
          <w:noProof/>
        </w:rPr>
      </w:pPr>
      <w:r>
        <w:rPr>
          <w:rFonts w:ascii="Times New Roman" w:hAnsi="Times New Roman"/>
          <w:b/>
          <w:noProof/>
        </w:rPr>
        <w:t>Avstrija:</w:t>
      </w:r>
      <w:r>
        <w:rPr>
          <w:rFonts w:ascii="Times New Roman" w:hAnsi="Times New Roman"/>
          <w:noProof/>
        </w:rPr>
        <w:t xml:space="preserve"> V prej</w:t>
      </w:r>
      <w:r>
        <w:rPr>
          <w:rFonts w:ascii="Times New Roman" w:hAnsi="Times New Roman"/>
          <w:noProof/>
        </w:rPr>
        <w:t xml:space="preserve">šnjem krogu postopka v zvezi z makroekonomskimi neravnotežji za Avstrijo </w:t>
      </w:r>
      <w:r>
        <w:rPr>
          <w:rFonts w:ascii="Times New Roman" w:hAnsi="Times New Roman"/>
          <w:i/>
          <w:noProof/>
        </w:rPr>
        <w:t>niso bila ugotovljena makroekonomska neravnotežja</w:t>
      </w:r>
      <w:r>
        <w:rPr>
          <w:rFonts w:ascii="Times New Roman" w:hAnsi="Times New Roman"/>
          <w:noProof/>
        </w:rPr>
        <w:t xml:space="preserve">. V posodobljeni preglednici samo kazalnik javnega dolga presega okvirni prag. </w:t>
      </w: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4496" behindDoc="0" locked="0" layoutInCell="1" allowOverlap="1">
            <wp:simplePos x="0" y="0"/>
            <wp:positionH relativeFrom="column">
              <wp:posOffset>3224530</wp:posOffset>
            </wp:positionH>
            <wp:positionV relativeFrom="paragraph">
              <wp:posOffset>-1905</wp:posOffset>
            </wp:positionV>
            <wp:extent cx="2534285" cy="3037840"/>
            <wp:effectExtent l="0" t="0" r="0" b="0"/>
            <wp:wrapSquare wrapText="lef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428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Presežek na tekočem računu je v letu 2017 ostal stabi</w:t>
      </w:r>
      <w:r>
        <w:rPr>
          <w:rFonts w:ascii="Times New Roman" w:hAnsi="Times New Roman"/>
          <w:noProof/>
        </w:rPr>
        <w:t>len na zmerni ravni, medtem ko je bilo neto stanje mednarodnih naložb rahlo pozitivno. Deleži na izvoznih trgih so bili stabilni. Rast stroškov dela na enoto je nizka, kar podpirata hitrejša rast produktivnosti dela in omejena rast plač. Realne cene stanov</w:t>
      </w:r>
      <w:r>
        <w:rPr>
          <w:rFonts w:ascii="Times New Roman" w:hAnsi="Times New Roman"/>
          <w:noProof/>
        </w:rPr>
        <w:t>anjskih nepremičnin so še naprej rasle, vendar se je njihova rast v letu 2017 v primerjavi z letom 2016 upočasnila. Čeprav ta razvoj zahteva spremljanje, rast cen ni videti posledica rasti posojil, ki se je le nekoliko pospešila. Poleg tega se deleža dolga</w:t>
      </w:r>
      <w:r>
        <w:rPr>
          <w:rFonts w:ascii="Times New Roman" w:hAnsi="Times New Roman"/>
          <w:noProof/>
        </w:rPr>
        <w:t xml:space="preserve"> podjetij in gospodinjstev počasi zmanjšujeta. Tudi javni dolg se je še naprej zmanjševal in se leta 2017 zmanjšal zaradi močne gospodarske rasti in potekajoče likvidacije sredstev iz nacionaliziranih finančnih institucij. Stanje bančnega sektorja se je do</w:t>
      </w:r>
      <w:r>
        <w:rPr>
          <w:rFonts w:ascii="Times New Roman" w:hAnsi="Times New Roman"/>
          <w:noProof/>
        </w:rPr>
        <w:t xml:space="preserve">datno izboljšalo, tudi zaradi okrevanja v sosednjih državah. V teh ugodnih gospodarskih razmerah in ob močni rasti zaposlovanja se je stopnja brezposelnosti občutno zmanjšala.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s sektorjem stanov</w:t>
      </w:r>
      <w:r>
        <w:rPr>
          <w:rFonts w:ascii="Times New Roman" w:hAnsi="Times New Roman"/>
          <w:i/>
          <w:noProof/>
        </w:rPr>
        <w:t>anjskih nepremičnin, vendar se zdijo tveganja omejena. Zato se Komisiji na tej stopnji ne zdi potrebno izvajati nadaljnje poglobljene analize v okviru postopka v zvezi z makroekonomskimi neravnotežji.</w:t>
      </w:r>
    </w:p>
    <w:p w:rsidR="00BB7D09" w:rsidRDefault="00BB7D09">
      <w:pPr>
        <w:spacing w:after="160" w:line="259" w:lineRule="auto"/>
        <w:jc w:val="both"/>
        <w:rPr>
          <w:rFonts w:ascii="Times New Roman" w:eastAsia="Calibri" w:hAnsi="Times New Roman" w:cs="Times New Roman"/>
          <w:i/>
          <w:noProof/>
        </w:rPr>
      </w:pP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5520" behindDoc="0" locked="0" layoutInCell="1" allowOverlap="1">
            <wp:simplePos x="0" y="0"/>
            <wp:positionH relativeFrom="column">
              <wp:posOffset>3379470</wp:posOffset>
            </wp:positionH>
            <wp:positionV relativeFrom="paragraph">
              <wp:posOffset>401320</wp:posOffset>
            </wp:positionV>
            <wp:extent cx="2523490" cy="2973070"/>
            <wp:effectExtent l="0" t="0" r="0" b="0"/>
            <wp:wrapSquare wrapText="lef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3490"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Poljska</w:t>
      </w:r>
      <w:r>
        <w:rPr>
          <w:rFonts w:ascii="Times New Roman" w:hAnsi="Times New Roman"/>
          <w:noProof/>
        </w:rPr>
        <w:t xml:space="preserve">: V prejšnjem krogu postopka v zvezi z makroekonomskimi neravnotežji za Poljsko </w:t>
      </w:r>
      <w:r>
        <w:rPr>
          <w:rFonts w:ascii="Times New Roman" w:hAnsi="Times New Roman"/>
          <w:i/>
          <w:noProof/>
        </w:rPr>
        <w:t>niso bila ugotovljena makroekonomska neravnotežja</w:t>
      </w:r>
      <w:r>
        <w:rPr>
          <w:rFonts w:ascii="Times New Roman" w:hAnsi="Times New Roman"/>
          <w:noProof/>
        </w:rPr>
        <w:t xml:space="preserve">. V posodobljeni preglednici neto stanje mednarodnih naložb presega okvirni prag.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Saldo tekočega računa se je leta 2017 izbolj</w:t>
      </w:r>
      <w:r>
        <w:rPr>
          <w:rFonts w:ascii="Times New Roman" w:hAnsi="Times New Roman"/>
          <w:noProof/>
        </w:rPr>
        <w:t>šal na splošno uravnotežen položaj, medtem ko je bilo negativno neto stanje mednarodnih naložb stabilno. Zunanje ranljivosti ostajajo omejene, saj velik del zunanjih obveznosti predstavljajo neposredne tuje naložbe. Rast deležev na izvoznih trgih je bila v</w:t>
      </w:r>
      <w:r>
        <w:rPr>
          <w:rFonts w:ascii="Times New Roman" w:hAnsi="Times New Roman"/>
          <w:noProof/>
        </w:rPr>
        <w:t xml:space="preserve"> letu 2017 ponovno močna. Rast nominalnih stroškov dela na enoto je omejena, kar sovpada z močno rastjo produktivnosti in rastjo plač. Delež dolga zasebnega sektorja v BDP se je v letu 2017 zmanjšal, kar kaže na močno rast BDP in povečanje vrednosti zlota </w:t>
      </w:r>
      <w:r>
        <w:rPr>
          <w:rFonts w:ascii="Times New Roman" w:hAnsi="Times New Roman"/>
          <w:noProof/>
        </w:rPr>
        <w:t>glede na valute, v katerih je denominiran del neporavnanega dolga. Javni dolg, merjen kot odstotek BDP, se je še dodatno zmanjšal z že razmeroma nizkih ravni zaradi hitre nominalne gospodarske rasti, nižjega nominalnega primanjkljaja in povečanja vrednosti</w:t>
      </w:r>
      <w:r>
        <w:rPr>
          <w:rFonts w:ascii="Times New Roman" w:hAnsi="Times New Roman"/>
          <w:noProof/>
        </w:rPr>
        <w:t xml:space="preserve"> zlota. Tveganja v bančnem sektorju so ostala omejena. Zaradi vztrajno dobrih rezultatov trga dela se je stopnja brezposelnosti znižala na zelo nizko raven.</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neto stanjem mednarodnih naložb, ven</w:t>
      </w:r>
      <w:r>
        <w:rPr>
          <w:rFonts w:ascii="Times New Roman" w:hAnsi="Times New Roman"/>
          <w:i/>
          <w:noProof/>
        </w:rPr>
        <w:t xml:space="preserve">dar so tveganja omejena. Zato se Komisiji na tej stopnji ne zdi potrebno izvajati nadaljnje poglobljene analize v okviru postopka v zvezi z makroekonomskimi neravnotežji. </w:t>
      </w:r>
    </w:p>
    <w:p w:rsidR="00BB7D09" w:rsidRDefault="00BB7D09">
      <w:pPr>
        <w:spacing w:after="160" w:line="259" w:lineRule="auto"/>
        <w:jc w:val="both"/>
        <w:rPr>
          <w:rFonts w:ascii="Times New Roman" w:eastAsia="Calibri" w:hAnsi="Times New Roman" w:cs="Times New Roman"/>
          <w:i/>
          <w:noProof/>
        </w:rPr>
      </w:pPr>
    </w:p>
    <w:p w:rsidR="00BB7D09" w:rsidRDefault="00A35831">
      <w:pPr>
        <w:spacing w:after="160" w:line="259" w:lineRule="auto"/>
        <w:jc w:val="both"/>
        <w:rPr>
          <w:rFonts w:ascii="Times New Roman" w:eastAsia="Calibri" w:hAnsi="Times New Roman" w:cs="Times New Roman"/>
          <w:b/>
          <w:noProof/>
        </w:rPr>
      </w:pPr>
      <w:r>
        <w:rPr>
          <w:noProof/>
          <w:lang w:val="fr-BE" w:eastAsia="fr-BE" w:bidi="ar-SA"/>
        </w:rPr>
        <w:drawing>
          <wp:anchor distT="0" distB="0" distL="114300" distR="114300" simplePos="0" relativeHeight="251756544" behindDoc="0" locked="0" layoutInCell="1" allowOverlap="1">
            <wp:simplePos x="0" y="0"/>
            <wp:positionH relativeFrom="column">
              <wp:posOffset>3148330</wp:posOffset>
            </wp:positionH>
            <wp:positionV relativeFrom="paragraph">
              <wp:posOffset>635</wp:posOffset>
            </wp:positionV>
            <wp:extent cx="2591435" cy="2998470"/>
            <wp:effectExtent l="0" t="0" r="0" b="0"/>
            <wp:wrapSquare wrapText="lef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1435"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 xml:space="preserve">Portugalska: </w:t>
      </w:r>
      <w:r>
        <w:rPr>
          <w:rFonts w:ascii="Times New Roman" w:hAnsi="Times New Roman"/>
          <w:noProof/>
        </w:rPr>
        <w:t xml:space="preserve">Komisija je marca 2018 ugotovila, da na Portugalskem obstajajo </w:t>
      </w:r>
      <w:r>
        <w:rPr>
          <w:rFonts w:ascii="Times New Roman" w:hAnsi="Times New Roman"/>
          <w:i/>
          <w:noProof/>
        </w:rPr>
        <w:t>makroe</w:t>
      </w:r>
      <w:r>
        <w:rPr>
          <w:rFonts w:ascii="Times New Roman" w:hAnsi="Times New Roman"/>
          <w:i/>
          <w:noProof/>
        </w:rPr>
        <w:t>konomska neravnotežja</w:t>
      </w:r>
      <w:r>
        <w:rPr>
          <w:rFonts w:ascii="Times New Roman" w:hAnsi="Times New Roman"/>
          <w:noProof/>
        </w:rPr>
        <w:t xml:space="preserve">, zlasti v zvezi z velikim obsegom neto zunanjih obveznosti, zasebnega in javnega dolga ter velikim deležem slabih posojil v razmerah nizke rasti produktivnosti. V posodobljeni preglednici več kazalnikov presega okvirni prag, in sicer </w:t>
      </w:r>
      <w:r>
        <w:rPr>
          <w:rFonts w:ascii="Times New Roman" w:hAnsi="Times New Roman"/>
          <w:noProof/>
        </w:rPr>
        <w:t>neto stanje mednarodnih naložb, javni dolg, zasebni dolg, brezposelnost in realna rast cen stanovanjskih nepremičnin.</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Stanje na tekočem računu je stabilno in kaže majhen presežek, medtem ko neto stanje mednarodnih naložb ostaja zelo negativno, prilagoditev</w:t>
      </w:r>
      <w:r>
        <w:rPr>
          <w:rFonts w:ascii="Times New Roman" w:hAnsi="Times New Roman"/>
          <w:noProof/>
        </w:rPr>
        <w:t xml:space="preserve"> pa naj bi ostala zelo počasna. Cenovna konkurenčnost se je v letu 2017 nekoliko poslabšala, saj se je realni efektivni devizni tečaj rahlo povečal. Nominalna rast stroškov dela na enoto se je nekoliko povečala, rast produktivnosti dela pa je bila leta 201</w:t>
      </w:r>
      <w:r>
        <w:rPr>
          <w:rFonts w:ascii="Times New Roman" w:hAnsi="Times New Roman"/>
          <w:noProof/>
        </w:rPr>
        <w:t xml:space="preserve">7 negativna. Vendar so te spremembe na splošno v skladu s tistimi v trgovinskih partnericah, deleži na izvoznih trgih pa so se povečali. Razdolževanje zasebnega sektorja se nadaljuje, rast posojil pa ostaja šibka. Javni dolg je še vedno zelo visok, vendar </w:t>
      </w:r>
      <w:r>
        <w:rPr>
          <w:rFonts w:ascii="Times New Roman" w:hAnsi="Times New Roman"/>
          <w:noProof/>
        </w:rPr>
        <w:t>naj bi se po napovedih stalno zmanjševal. Banke so znatno okrepile svoje bilance stanja in neto dohodek, vendar so še naprej ranljive, saj je obseg slabih posojil kljub nedavnemu upadu še vedno visok. Cene stanovanjskih nepremičnin ohranjajo močno rast, ve</w:t>
      </w:r>
      <w:r>
        <w:rPr>
          <w:rFonts w:ascii="Times New Roman" w:hAnsi="Times New Roman"/>
          <w:noProof/>
        </w:rPr>
        <w:t xml:space="preserve">ndar v razmerah podcenitve v preteklosti in na splošno stabilnega stanja v zvezi s hipotekami. Na trgu dela se je stanje v zadnjih letih močno izboljšalo, brezposelnost pa se je znatno zmanjšala, k čemur prispeva pozitivni gospodarski cikel.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Na splošno ek</w:t>
      </w:r>
      <w:r>
        <w:rPr>
          <w:rFonts w:ascii="Times New Roman" w:hAnsi="Times New Roman"/>
          <w:i/>
          <w:noProof/>
        </w:rPr>
        <w:t>onomska razlaga izpostavlja vprašanja, povezana z neravnotežji pri spremenljivkah stanj, zlasti neto zunanjimi obveznostmi, javnim in zasebnim dolgom, ranljivostmi v bančnem sektorju in nizko rastjo produktivnosti. Zato se zdi Komisiji primerno, tudi ob up</w:t>
      </w:r>
      <w:r>
        <w:rPr>
          <w:rFonts w:ascii="Times New Roman" w:hAnsi="Times New Roman"/>
          <w:i/>
          <w:noProof/>
        </w:rPr>
        <w:t>oštevanju ugotovljenega neravnotežja v marcu 2018, da nadalje prouči obstoj neravnotežij ali njihovo odpravljanje.</w:t>
      </w: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i/>
          <w:noProof/>
        </w:rPr>
      </w:pPr>
    </w:p>
    <w:p w:rsidR="00BB7D09" w:rsidRDefault="00A35831">
      <w:pPr>
        <w:spacing w:after="160" w:line="259" w:lineRule="auto"/>
        <w:jc w:val="both"/>
        <w:rPr>
          <w:noProof/>
        </w:rPr>
      </w:pPr>
      <w:r>
        <w:rPr>
          <w:rFonts w:ascii="Times New Roman" w:hAnsi="Times New Roman"/>
          <w:b/>
          <w:noProof/>
        </w:rPr>
        <w:t>Romunija:</w:t>
      </w:r>
      <w:r>
        <w:rPr>
          <w:rFonts w:ascii="Times New Roman" w:hAnsi="Times New Roman"/>
          <w:noProof/>
        </w:rPr>
        <w:t xml:space="preserve"> V prejšnjem krogu postopka v zvezi z makroekonomskimi neravnotežji za Romunijo </w:t>
      </w:r>
      <w:r>
        <w:rPr>
          <w:rFonts w:ascii="Times New Roman" w:hAnsi="Times New Roman"/>
          <w:i/>
          <w:noProof/>
        </w:rPr>
        <w:t xml:space="preserve">niso bila ugotovljena makroekonomska </w:t>
      </w:r>
      <w:r>
        <w:rPr>
          <w:rFonts w:ascii="Times New Roman" w:hAnsi="Times New Roman"/>
          <w:i/>
          <w:noProof/>
        </w:rPr>
        <w:t>neravnotežja</w:t>
      </w:r>
      <w:r>
        <w:rPr>
          <w:rFonts w:ascii="Times New Roman" w:hAnsi="Times New Roman"/>
          <w:noProof/>
        </w:rPr>
        <w:t>. V posodobljeni preglednici en kazalnik presega okvirni prag, in sicer neto stanje mednarodnih naložb.</w:t>
      </w:r>
      <w:r>
        <w:rPr>
          <w:rFonts w:ascii="Times New Roman" w:hAnsi="Times New Roman"/>
          <w:i/>
          <w:noProof/>
        </w:rPr>
        <w:t xml:space="preserve"> </w:t>
      </w: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7568" behindDoc="0" locked="0" layoutInCell="1" allowOverlap="1">
            <wp:simplePos x="0" y="0"/>
            <wp:positionH relativeFrom="column">
              <wp:posOffset>3243580</wp:posOffset>
            </wp:positionH>
            <wp:positionV relativeFrom="paragraph">
              <wp:posOffset>2540</wp:posOffset>
            </wp:positionV>
            <wp:extent cx="2515870" cy="2915920"/>
            <wp:effectExtent l="0" t="0" r="0" b="0"/>
            <wp:wrapSquare wrapText="lef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587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Primanjkljaj na tekočem računu se je v letu 2017 še naprej večal zaradi pospeševanja uvoza, predvsem potrošniškega blaga. Negativno neto s</w:t>
      </w:r>
      <w:r>
        <w:rPr>
          <w:rFonts w:ascii="Times New Roman" w:hAnsi="Times New Roman"/>
          <w:noProof/>
        </w:rPr>
        <w:t>tanje mednarodnih naložb, ki ga sestavljajo predvsem neposredne tuje naložbe, se je kljub povečanemu primanjkljaju na tekočem računu še izboljšalo zaradi močne nominalne rasti BDP. Izvozni rezultati so v letu 2017 ostali dobri, Romunija pa je pridobila dod</w:t>
      </w:r>
      <w:r>
        <w:rPr>
          <w:rFonts w:ascii="Times New Roman" w:hAnsi="Times New Roman"/>
          <w:noProof/>
        </w:rPr>
        <w:t>atne deleže na izvoznih trgih. Vendar so se stroški dela na enoto v letu 2017 zaradi višje rasti plač, zlasti v javnem sektorju, zelo povečali. Medtem ko so bili izvozni rezultati Romunije doslej dobri, dokazi iz preteklosti kažejo, da bo rast plač v javne</w:t>
      </w:r>
      <w:r>
        <w:rPr>
          <w:rFonts w:ascii="Times New Roman" w:hAnsi="Times New Roman"/>
          <w:noProof/>
        </w:rPr>
        <w:t>m sektorju verjetno vplivala tudi na zasebni sektor, kar bi lahko privedlo do izgube stroškovne konkurenčnosti v prihodnosti. Realna rast cen stanovanjskih nepremičnin se je v letu 2017 rahlo upočasnila in ostaja zmerna. Bančni sektor je še naprej dobro ka</w:t>
      </w:r>
      <w:r>
        <w:rPr>
          <w:rFonts w:ascii="Times New Roman" w:hAnsi="Times New Roman"/>
          <w:noProof/>
        </w:rPr>
        <w:t>pitaliziran in likviden. Rast posojil zasebnemu sektorju se je nekoliko povečala, vendar je še vedno šibka. Stopnja brezposelnosti se je v letu 2017 še znižala, kar delno odraža visoko povpraševanje po delovni sili ob pomanjkanju njene ponudbe, stopnja del</w:t>
      </w:r>
      <w:r>
        <w:rPr>
          <w:rFonts w:ascii="Times New Roman" w:hAnsi="Times New Roman"/>
          <w:noProof/>
        </w:rPr>
        <w:t>ovne aktivnosti pa se je nekoliko izboljšala. Zaradi močne nominalne rasti BDP sta se zasebni in javni dolg kot delež BDP zmanjšala in oba ostajata razmeroma nizka. Vendar pa bo fiskalna naravnanost na srednji rok ostala ekspanzivna kljub ugodnim gospodars</w:t>
      </w:r>
      <w:r>
        <w:rPr>
          <w:rFonts w:ascii="Times New Roman" w:hAnsi="Times New Roman"/>
          <w:noProof/>
        </w:rPr>
        <w:t xml:space="preserve">kim razmeram in bi lahko negativno vplivala na javni dolg in dinamiko tekočega računa. Povečevanje trgovinskega primanjkljaja in pospešitev rasti stroškov dela na enoto sta povezana z vztrajno prociklično fiskalno politiko vlade, ki spodbuja že tako močno </w:t>
      </w:r>
      <w:r>
        <w:rPr>
          <w:rFonts w:ascii="Times New Roman" w:hAnsi="Times New Roman"/>
          <w:noProof/>
        </w:rPr>
        <w:t>rastoče gospodarstvo z vedno novimi davčnimi olajšavami in zvišanji plač v javnem sektorju. Poleg tega pogoste in nepredvidljive zakonodajne spremembe prispevajo k negotovemu poslovnemu okolju, kar negativno vpliva na poslovne odločitve in naložbe in bi la</w:t>
      </w:r>
      <w:r>
        <w:rPr>
          <w:rFonts w:ascii="Times New Roman" w:hAnsi="Times New Roman"/>
          <w:noProof/>
        </w:rPr>
        <w:t xml:space="preserve">hko vplivalo na privlačnost države za tuje vlagatelje.  </w:t>
      </w:r>
    </w:p>
    <w:p w:rsidR="00BB7D09" w:rsidRDefault="00A35831">
      <w:pPr>
        <w:spacing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58592" behindDoc="0" locked="0" layoutInCell="1" allowOverlap="1">
            <wp:simplePos x="0" y="0"/>
            <wp:positionH relativeFrom="column">
              <wp:posOffset>3386455</wp:posOffset>
            </wp:positionH>
            <wp:positionV relativeFrom="paragraph">
              <wp:posOffset>340995</wp:posOffset>
            </wp:positionV>
            <wp:extent cx="2437130" cy="2865120"/>
            <wp:effectExtent l="0" t="0" r="1270" b="0"/>
            <wp:wrapSquare wrapText="lef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713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t>Ekonomska razlaga kaže, da so se ranljivosti povečale, zlasti glede zunanjega položaja in konkurenčnosti. Na splošno se zdi Komisiji primerno, da omenjena tveganja dodatno prouči v poglobljeni anali</w:t>
      </w:r>
      <w:r>
        <w:rPr>
          <w:rFonts w:ascii="Times New Roman" w:hAnsi="Times New Roman"/>
          <w:i/>
          <w:noProof/>
        </w:rPr>
        <w:t>zi z namenom oceniti, ali obstajajo neravnotežja.</w:t>
      </w:r>
    </w:p>
    <w:p w:rsidR="00BB7D09" w:rsidRDefault="00BB7D09">
      <w:pPr>
        <w:autoSpaceDE w:val="0"/>
        <w:autoSpaceDN w:val="0"/>
        <w:adjustRightInd w:val="0"/>
        <w:spacing w:after="0"/>
        <w:jc w:val="both"/>
        <w:rPr>
          <w:rFonts w:ascii="Times New Roman" w:eastAsia="Calibri" w:hAnsi="Times New Roman" w:cs="Times New Roman"/>
          <w:i/>
          <w:noProof/>
        </w:rPr>
      </w:pPr>
    </w:p>
    <w:p w:rsidR="00BB7D09" w:rsidRDefault="00A35831">
      <w:pPr>
        <w:autoSpaceDE w:val="0"/>
        <w:autoSpaceDN w:val="0"/>
        <w:adjustRightInd w:val="0"/>
        <w:spacing w:after="0"/>
        <w:jc w:val="both"/>
        <w:rPr>
          <w:rFonts w:ascii="Times New Roman" w:eastAsia="Times New Roman" w:hAnsi="Times New Roman" w:cs="Times New Roman"/>
          <w:noProof/>
          <w:color w:val="000000"/>
        </w:rPr>
      </w:pPr>
      <w:r>
        <w:rPr>
          <w:rFonts w:ascii="Times New Roman" w:hAnsi="Times New Roman"/>
          <w:b/>
          <w:noProof/>
          <w:color w:val="000000"/>
        </w:rPr>
        <w:t xml:space="preserve">Slovenija: </w:t>
      </w:r>
      <w:r>
        <w:rPr>
          <w:rFonts w:ascii="Times New Roman" w:hAnsi="Times New Roman"/>
          <w:noProof/>
          <w:color w:val="000000"/>
        </w:rPr>
        <w:t xml:space="preserve">Komisija je marca 2018 ugotovila, da v Sloveniji </w:t>
      </w:r>
      <w:r>
        <w:rPr>
          <w:rFonts w:ascii="Times New Roman" w:hAnsi="Times New Roman"/>
          <w:i/>
          <w:noProof/>
          <w:color w:val="000000"/>
        </w:rPr>
        <w:t>ne obstajajo več makroekonomska neravnotežja</w:t>
      </w:r>
      <w:r>
        <w:rPr>
          <w:rFonts w:ascii="Times New Roman" w:hAnsi="Times New Roman"/>
          <w:noProof/>
          <w:color w:val="000000"/>
        </w:rPr>
        <w:t xml:space="preserve">. V posodobljeni preglednici javni dolg in realna rast cen stanovanjskih nepremičnin presegata okvirni prag. </w:t>
      </w:r>
    </w:p>
    <w:p w:rsidR="00BB7D09" w:rsidRDefault="00A35831">
      <w:pPr>
        <w:autoSpaceDE w:val="0"/>
        <w:autoSpaceDN w:val="0"/>
        <w:adjustRightInd w:val="0"/>
        <w:spacing w:after="0" w:line="259" w:lineRule="auto"/>
        <w:jc w:val="both"/>
        <w:rPr>
          <w:rFonts w:ascii="Times New Roman" w:eastAsia="Calibri" w:hAnsi="Times New Roman" w:cs="Times New Roman"/>
          <w:noProof/>
        </w:rPr>
      </w:pPr>
      <w:r>
        <w:rPr>
          <w:rFonts w:ascii="Times New Roman" w:hAnsi="Times New Roman"/>
          <w:noProof/>
        </w:rPr>
        <w:t>Velik presežek na tekočem računu se je v letu 2017 še povečal zaradi močne rasti izvoza. Negativno neto stanje mednarodnih naložb se je znatno izb</w:t>
      </w:r>
      <w:r>
        <w:rPr>
          <w:rFonts w:ascii="Times New Roman" w:hAnsi="Times New Roman"/>
          <w:noProof/>
        </w:rPr>
        <w:t>oljšalo in ne presega več praga. Deleži na izvoznih trgih so se povečali, medtem ko je bila rast stroškov dela na enoto omejena, realni efektivni devizni tečaj pa se je zmanjšal. Zasebni dolg se je še naprej zmanjševal po zaslugi podjetniškega sektorja, me</w:t>
      </w:r>
      <w:r>
        <w:rPr>
          <w:rFonts w:ascii="Times New Roman" w:hAnsi="Times New Roman"/>
          <w:noProof/>
        </w:rPr>
        <w:t xml:space="preserve">dtem ko so kreditni tokovi v zasebni sektor postali pozitivni. Naložbe so se znatno izboljšale, vendar so še vedno pod preteklimi povprečji. Rast cen stanovanjskih nepremičnin se je povečevala nekoliko hitreje kot v prejšnjih letih, naložbe v stanovanjske </w:t>
      </w:r>
      <w:r>
        <w:rPr>
          <w:rFonts w:ascii="Times New Roman" w:hAnsi="Times New Roman"/>
          <w:noProof/>
        </w:rPr>
        <w:t>objekte pa so stabilne in rast hipotekarnih kreditov omejena. Javni dolg ostaja visok, vendar se je od najvišje ravni leta 2015 zmanjšal. Predvideni stroški, povezani s staranjem prebivalstva, še vedno predstavljajo tveganje za srednje- in dolgoročno vzdrž</w:t>
      </w:r>
      <w:r>
        <w:rPr>
          <w:rFonts w:ascii="Times New Roman" w:hAnsi="Times New Roman"/>
          <w:noProof/>
        </w:rPr>
        <w:t>nost javnih financ. Bančni sektor se je stabiliziral, njegova zadolženost se zmanjšuje, medtem ko še vedno razmeroma velik delež slabih posojil še naprej pada, pričakovati pa je še nadaljnja zmanjšanja. Trg dela se je dodatno izboljšal, stopnja delovne akt</w:t>
      </w:r>
      <w:r>
        <w:rPr>
          <w:rFonts w:ascii="Times New Roman" w:hAnsi="Times New Roman"/>
          <w:noProof/>
        </w:rPr>
        <w:t xml:space="preserve">ivnosti se je povečala, stopnja brezposelnosti pa zmanjšala. Tudi rast produktivnosti dela se je v letu 2017 nekoliko pospešila. </w:t>
      </w:r>
    </w:p>
    <w:p w:rsidR="00BB7D09" w:rsidRDefault="00BB7D09">
      <w:pPr>
        <w:autoSpaceDE w:val="0"/>
        <w:autoSpaceDN w:val="0"/>
        <w:adjustRightInd w:val="0"/>
        <w:spacing w:after="0" w:line="259" w:lineRule="auto"/>
        <w:jc w:val="both"/>
        <w:rPr>
          <w:rFonts w:ascii="Times New Roman" w:eastAsia="Calibri" w:hAnsi="Times New Roman" w:cs="Times New Roman"/>
          <w:noProof/>
        </w:rPr>
      </w:pPr>
    </w:p>
    <w:p w:rsidR="00BB7D09" w:rsidRDefault="00A35831">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zlasti z dolgoročno vzdržnostjo javnih financ. Zato se Komisiji </w:t>
      </w:r>
      <w:r>
        <w:rPr>
          <w:rFonts w:ascii="Times New Roman" w:hAnsi="Times New Roman"/>
          <w:i/>
          <w:noProof/>
        </w:rPr>
        <w:t>na tej stopnji ne zdi potrebno izvajati nadaljnje poglobljene analize v okviru postopka v zvezi z makroekonomskimi neravnotežji.</w:t>
      </w:r>
    </w:p>
    <w:p w:rsidR="00BB7D09" w:rsidRDefault="00BB7D09">
      <w:pPr>
        <w:spacing w:after="160" w:line="259" w:lineRule="auto"/>
        <w:jc w:val="both"/>
        <w:rPr>
          <w:rFonts w:ascii="Times New Roman" w:eastAsia="Calibri" w:hAnsi="Times New Roman" w:cs="Times New Roman"/>
          <w:noProof/>
        </w:rPr>
      </w:pP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9616" behindDoc="0" locked="0" layoutInCell="1" allowOverlap="1">
            <wp:simplePos x="0" y="0"/>
            <wp:positionH relativeFrom="column">
              <wp:posOffset>3310255</wp:posOffset>
            </wp:positionH>
            <wp:positionV relativeFrom="paragraph">
              <wp:posOffset>742950</wp:posOffset>
            </wp:positionV>
            <wp:extent cx="2437130" cy="3056255"/>
            <wp:effectExtent l="0" t="0" r="1270" b="0"/>
            <wp:wrapSquare wrapText="lef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713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Slovaška</w:t>
      </w:r>
      <w:r>
        <w:rPr>
          <w:rFonts w:ascii="Times New Roman" w:hAnsi="Times New Roman"/>
          <w:noProof/>
        </w:rPr>
        <w:t xml:space="preserve">: V prejšnjem krogu postopka v zvezi z makroekonomskimi neravnotežji za Slovaško </w:t>
      </w:r>
      <w:r>
        <w:rPr>
          <w:rFonts w:ascii="Times New Roman" w:hAnsi="Times New Roman"/>
          <w:i/>
          <w:noProof/>
        </w:rPr>
        <w:t>niso bila ugotovljena makroekonomska</w:t>
      </w:r>
      <w:r>
        <w:rPr>
          <w:rFonts w:ascii="Times New Roman" w:hAnsi="Times New Roman"/>
          <w:i/>
          <w:noProof/>
        </w:rPr>
        <w:t xml:space="preserve"> neravnotežja</w:t>
      </w:r>
      <w:r>
        <w:rPr>
          <w:rFonts w:ascii="Times New Roman" w:hAnsi="Times New Roman"/>
          <w:noProof/>
        </w:rPr>
        <w:t>. V posodobljeni preglednici neto stanje mednarodnih naložb in skupne obveznosti finančnega sektorja presegajo okvirni prag.</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 xml:space="preserve">Primanjkljaj na tekočem računu se je v letu 2017 še povečal, vendar na splošno ostaja zmeren. Neto stanje mednarodnih </w:t>
      </w:r>
      <w:r>
        <w:rPr>
          <w:rFonts w:ascii="Times New Roman" w:hAnsi="Times New Roman"/>
          <w:noProof/>
        </w:rPr>
        <w:t>naložb je precej negativno ne glede na nedavno manjše izboljšanje, tveganja pa so omejena, ker se velik del zunanjih obveznosti nanaša na neposredne tuje naložbe, zlasti v rastoči avtomobilski industriji in finančnem sektorju. Deleži na izvoznih trgih in r</w:t>
      </w:r>
      <w:r>
        <w:rPr>
          <w:rFonts w:ascii="Times New Roman" w:hAnsi="Times New Roman"/>
          <w:noProof/>
        </w:rPr>
        <w:t>ealni efektivni devizni tečaj so bili na splošno stabilni. Rast nominalnih stroškov dela na enoto se je povečala zaradi močne rasti plač, ki je posledica visokega povpraševanja po delovni sili in nizke brezposelnosti. Rast cen stanovanjskih nepremičnin ost</w:t>
      </w:r>
      <w:r>
        <w:rPr>
          <w:rFonts w:ascii="Times New Roman" w:hAnsi="Times New Roman"/>
          <w:noProof/>
        </w:rPr>
        <w:t>aja močna, vendar se je leta 2017 v primerjavi z letom 2016 zmanjšala na stopnjo, ki je ravno še znotraj praga. Posojanje zasebnemu sektorju se je nekoliko umirilo, delež zasebnega dolga v BDP pa je na splošno rasel. Bančni sektor, ki je večinoma v tuji la</w:t>
      </w:r>
      <w:r>
        <w:rPr>
          <w:rFonts w:ascii="Times New Roman" w:hAnsi="Times New Roman"/>
          <w:noProof/>
        </w:rPr>
        <w:t xml:space="preserve">sti, je dobro kapitaliziran. Nadaljnje zmanjšanje skupne in dolgotrajne brezposelnosti je spremljalo povečanje stopnje delovne aktivnosti.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vprašanja, povezana z zunanjimi vidiki, trgom stanovanjskih nepremičnin in </w:t>
      </w:r>
      <w:r>
        <w:rPr>
          <w:rFonts w:ascii="Times New Roman" w:hAnsi="Times New Roman"/>
          <w:i/>
          <w:noProof/>
        </w:rPr>
        <w:t xml:space="preserve">rastjo posojil, vendar se zdijo tveganja zaenkrat omejena. Zato Komisija na tej stopnji ne bo izvedla nadaljnje poglobljene analize v okviru postopka v zvezi z makroekonomskimi neravnotežji. </w:t>
      </w:r>
    </w:p>
    <w:p w:rsidR="00BB7D09" w:rsidRDefault="00BB7D09">
      <w:pPr>
        <w:spacing w:after="160" w:line="259" w:lineRule="auto"/>
        <w:jc w:val="both"/>
        <w:rPr>
          <w:rFonts w:ascii="Times New Roman" w:eastAsia="Calibri" w:hAnsi="Times New Roman" w:cs="Times New Roman"/>
          <w:i/>
          <w:noProof/>
        </w:rPr>
      </w:pPr>
    </w:p>
    <w:p w:rsidR="00BB7D09" w:rsidRDefault="00BB7D09">
      <w:pPr>
        <w:spacing w:after="160" w:line="259" w:lineRule="auto"/>
        <w:jc w:val="both"/>
        <w:rPr>
          <w:rFonts w:ascii="Times New Roman" w:eastAsia="Calibri" w:hAnsi="Times New Roman" w:cs="Times New Roman"/>
          <w:b/>
          <w:noProof/>
        </w:rPr>
      </w:pPr>
    </w:p>
    <w:p w:rsidR="00BB7D09" w:rsidRDefault="00BB7D09">
      <w:pPr>
        <w:spacing w:after="160" w:line="259" w:lineRule="auto"/>
        <w:jc w:val="both"/>
        <w:rPr>
          <w:rFonts w:ascii="Times New Roman" w:eastAsia="Calibri" w:hAnsi="Times New Roman" w:cs="Times New Roman"/>
          <w:b/>
          <w:noProof/>
        </w:rPr>
      </w:pPr>
    </w:p>
    <w:p w:rsidR="00BB7D09" w:rsidRDefault="00BB7D09">
      <w:pPr>
        <w:spacing w:after="160" w:line="259" w:lineRule="auto"/>
        <w:jc w:val="both"/>
        <w:rPr>
          <w:rFonts w:ascii="Times New Roman" w:eastAsia="Calibri" w:hAnsi="Times New Roman" w:cs="Times New Roman"/>
          <w:b/>
          <w:noProof/>
        </w:rPr>
      </w:pPr>
    </w:p>
    <w:p w:rsidR="00BB7D09" w:rsidRDefault="00BB7D09">
      <w:pPr>
        <w:spacing w:after="160" w:line="259" w:lineRule="auto"/>
        <w:jc w:val="both"/>
        <w:rPr>
          <w:rFonts w:ascii="Times New Roman" w:eastAsia="Calibri" w:hAnsi="Times New Roman" w:cs="Times New Roman"/>
          <w:b/>
          <w:noProof/>
        </w:rPr>
      </w:pPr>
    </w:p>
    <w:p w:rsidR="00BB7D09" w:rsidRDefault="00BB7D09">
      <w:pPr>
        <w:spacing w:after="160" w:line="259" w:lineRule="auto"/>
        <w:jc w:val="both"/>
        <w:rPr>
          <w:rFonts w:ascii="Times New Roman" w:eastAsia="Calibri" w:hAnsi="Times New Roman" w:cs="Times New Roman"/>
          <w:b/>
          <w:noProof/>
        </w:rPr>
      </w:pPr>
    </w:p>
    <w:p w:rsidR="00BB7D09" w:rsidRDefault="00BB7D09">
      <w:pPr>
        <w:spacing w:after="160" w:line="259" w:lineRule="auto"/>
        <w:jc w:val="both"/>
        <w:rPr>
          <w:rFonts w:ascii="Times New Roman" w:eastAsia="Calibri" w:hAnsi="Times New Roman" w:cs="Times New Roman"/>
          <w:b/>
          <w:noProof/>
        </w:rPr>
      </w:pPr>
    </w:p>
    <w:p w:rsidR="00BB7D09" w:rsidRDefault="00A35831">
      <w:pPr>
        <w:spacing w:after="160" w:line="259" w:lineRule="auto"/>
        <w:jc w:val="both"/>
        <w:rPr>
          <w:rFonts w:ascii="Times New Roman" w:eastAsia="Calibri" w:hAnsi="Times New Roman" w:cs="Times New Roman"/>
          <w:b/>
          <w:noProof/>
        </w:rPr>
      </w:pPr>
      <w:r>
        <w:rPr>
          <w:noProof/>
          <w:lang w:val="fr-BE" w:eastAsia="fr-BE" w:bidi="ar-SA"/>
        </w:rPr>
        <w:drawing>
          <wp:anchor distT="0" distB="0" distL="114300" distR="114300" simplePos="0" relativeHeight="251762688" behindDoc="0" locked="0" layoutInCell="1" allowOverlap="1">
            <wp:simplePos x="0" y="0"/>
            <wp:positionH relativeFrom="column">
              <wp:posOffset>3253105</wp:posOffset>
            </wp:positionH>
            <wp:positionV relativeFrom="paragraph">
              <wp:posOffset>1905</wp:posOffset>
            </wp:positionV>
            <wp:extent cx="2476500" cy="2915920"/>
            <wp:effectExtent l="0" t="0" r="0" b="0"/>
            <wp:wrapSquare wrapText="lef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0"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 xml:space="preserve">Finska: </w:t>
      </w:r>
      <w:r>
        <w:rPr>
          <w:rFonts w:ascii="Times New Roman" w:hAnsi="Times New Roman"/>
          <w:noProof/>
        </w:rPr>
        <w:t xml:space="preserve">V prejšnjem krogu postopka v zvezi z makroekonomskimi neravnotežji za Finsko </w:t>
      </w:r>
      <w:r>
        <w:rPr>
          <w:rFonts w:ascii="Times New Roman" w:hAnsi="Times New Roman"/>
          <w:i/>
          <w:noProof/>
        </w:rPr>
        <w:t>niso bila ugotovljena makroekonomska neravnotežja</w:t>
      </w:r>
      <w:r>
        <w:rPr>
          <w:rFonts w:ascii="Times New Roman" w:hAnsi="Times New Roman"/>
          <w:noProof/>
        </w:rPr>
        <w:t xml:space="preserve">. V posodobljeni preglednici dva kazalnika presegata okvirni prag, in sicer dolg zasebnega sektorja in javni dolg. </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Saldo tekočega</w:t>
      </w:r>
      <w:r>
        <w:rPr>
          <w:rFonts w:ascii="Times New Roman" w:hAnsi="Times New Roman"/>
          <w:noProof/>
        </w:rPr>
        <w:t xml:space="preserve"> računa je v letu 2017 ostal nekoliko negativen po več letih primanjkljajev, medtem ko je neto stanje mednarodnih naložb rahlo pozitivno. Deleži na izvoznih trgih so se že drugo leto zapored povečali, medtem ko so se kazalniki stroškovne konkurenčnosti izb</w:t>
      </w:r>
      <w:r>
        <w:rPr>
          <w:rFonts w:ascii="Times New Roman" w:hAnsi="Times New Roman"/>
          <w:noProof/>
        </w:rPr>
        <w:t>oljšali ob znižanju stroškov dela na enoto in realnega efektivnega deviznega tečaja. V letih 2018 in 2019 bo rast izvoza verjetno še naprej hitrejša od rasti uvoza. Kljub temu se pričakuje, da se bodo kazalniki stroškovne konkurenčnosti stabilizirali, ko b</w:t>
      </w:r>
      <w:r>
        <w:rPr>
          <w:rFonts w:ascii="Times New Roman" w:hAnsi="Times New Roman"/>
          <w:noProof/>
        </w:rPr>
        <w:t>odo pozitivni učinki pakta za konkurenčnost deloma izzveneli. Delež javnega in zasebnega dolga v BDP se je v letu 2017 še znižal, kar je odražalo močno okrevanje proizvoda. Vendar so ugodni posojilni pogoji, nizke obrestne mere in izboljšani gospodarski ob</w:t>
      </w:r>
      <w:r>
        <w:rPr>
          <w:rFonts w:ascii="Times New Roman" w:hAnsi="Times New Roman"/>
          <w:noProof/>
        </w:rPr>
        <w:t>eti prispevali k nadaljnji hitri rasti posojil, kar bi lahko omejilo razdolževanje v prihodnje, medtem ko je zasebni dolg še vedno na visoki ravni. Zadolženost gospodinjstev je visoka, stopnja varčevanja gospodinjstev pa je na zgodovinsko nizki ravni. Fina</w:t>
      </w:r>
      <w:r>
        <w:rPr>
          <w:rFonts w:ascii="Times New Roman" w:hAnsi="Times New Roman"/>
          <w:noProof/>
        </w:rPr>
        <w:t>nčni sektor ostaja dobro kapitaliziran in omejuje tveganja za finančno stabilnost, medtem ko razmeroma stabilne cene stanovanjskih nepremičnin kažejo na omejena tveganja za zadolženost gospodinjstev. Delež javnega dolga se zmanjšuje, kar odraža okolje večj</w:t>
      </w:r>
      <w:r>
        <w:rPr>
          <w:rFonts w:ascii="Times New Roman" w:hAnsi="Times New Roman"/>
          <w:noProof/>
        </w:rPr>
        <w:t xml:space="preserve">e gospodarske rasti. Zaposlenost se še povečuje, brezposelnost pa se zaradi večje gospodarske aktivnosti zmanjšuje. </w:t>
      </w:r>
    </w:p>
    <w:p w:rsidR="00BB7D09" w:rsidRDefault="00A35831">
      <w:pPr>
        <w:spacing w:after="160" w:line="259" w:lineRule="auto"/>
        <w:jc w:val="both"/>
        <w:rPr>
          <w:rFonts w:ascii="Times New Roman" w:eastAsia="Calibri" w:hAnsi="Times New Roman" w:cs="Times New Roman"/>
          <w:i/>
          <w:noProof/>
        </w:rPr>
      </w:pPr>
      <w:r>
        <w:rPr>
          <w:rFonts w:ascii="Times New Roman" w:hAnsi="Times New Roman"/>
          <w:i/>
          <w:noProof/>
        </w:rPr>
        <w:t xml:space="preserve">Na splošno ekonomska razlaga izpostavlja izzive, povezane z zadolženostjo zasebnega sektorja, vendar tveganja ostajajo omejena. Na splošno </w:t>
      </w:r>
      <w:r>
        <w:rPr>
          <w:rFonts w:ascii="Times New Roman" w:hAnsi="Times New Roman"/>
          <w:i/>
          <w:noProof/>
        </w:rPr>
        <w:t xml:space="preserve">se Komisiji na tej stopnji ne zdi potrebno izvajati nadaljnje poglobljene analize v okviru postopka v zvezi z makroekonomskimi neravnotežji. </w:t>
      </w:r>
    </w:p>
    <w:p w:rsidR="00BB7D09" w:rsidRDefault="00BB7D09">
      <w:pPr>
        <w:spacing w:after="160" w:line="259" w:lineRule="auto"/>
        <w:jc w:val="both"/>
        <w:rPr>
          <w:rFonts w:ascii="Times New Roman" w:eastAsia="Calibri" w:hAnsi="Times New Roman" w:cs="Times New Roman"/>
          <w:i/>
          <w:noProof/>
        </w:rPr>
      </w:pPr>
    </w:p>
    <w:p w:rsidR="00BB7D09" w:rsidRDefault="00A35831">
      <w:pPr>
        <w:spacing w:before="120" w:after="160" w:line="259" w:lineRule="auto"/>
        <w:jc w:val="both"/>
        <w:rPr>
          <w:rFonts w:ascii="Times New Roman" w:eastAsia="Calibri" w:hAnsi="Times New Roman" w:cs="Times New Roman"/>
          <w:noProof/>
        </w:rPr>
      </w:pPr>
      <w:r>
        <w:rPr>
          <w:rFonts w:ascii="Times New Roman" w:hAnsi="Times New Roman"/>
          <w:b/>
          <w:noProof/>
        </w:rPr>
        <w:t>Švedska:</w:t>
      </w:r>
      <w:r>
        <w:rPr>
          <w:rFonts w:ascii="Times New Roman" w:hAnsi="Times New Roman"/>
          <w:noProof/>
        </w:rPr>
        <w:t xml:space="preserve"> Komisija je marca 2018 ugotovila, da na Švedskem obstajajo </w:t>
      </w:r>
      <w:r>
        <w:rPr>
          <w:rFonts w:ascii="Times New Roman" w:hAnsi="Times New Roman"/>
          <w:i/>
          <w:noProof/>
        </w:rPr>
        <w:t>neravnotežja</w:t>
      </w:r>
      <w:r>
        <w:rPr>
          <w:rFonts w:ascii="Times New Roman" w:hAnsi="Times New Roman"/>
          <w:noProof/>
        </w:rPr>
        <w:t>, zlasti v zvezi s precenjenostjo</w:t>
      </w:r>
      <w:r>
        <w:rPr>
          <w:rFonts w:ascii="Times New Roman" w:hAnsi="Times New Roman"/>
          <w:noProof/>
        </w:rPr>
        <w:t xml:space="preserve"> stanovanjskih nepremičnin in nadaljnjim povečanjem zadolženosti gospodinjstev. V posodobljeni preglednici okvirni prag presega kazalnik javnega dolga. </w:t>
      </w:r>
    </w:p>
    <w:p w:rsidR="00BB7D09" w:rsidRDefault="00A35831">
      <w:pPr>
        <w:spacing w:before="120"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61664" behindDoc="0" locked="0" layoutInCell="1" allowOverlap="1">
            <wp:simplePos x="0" y="0"/>
            <wp:positionH relativeFrom="column">
              <wp:posOffset>3167380</wp:posOffset>
            </wp:positionH>
            <wp:positionV relativeFrom="paragraph">
              <wp:posOffset>12065</wp:posOffset>
            </wp:positionV>
            <wp:extent cx="2534285" cy="3401695"/>
            <wp:effectExtent l="0" t="0" r="0" b="0"/>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4285" cy="3401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Presežek na tekočem računu ostaja zmeren in se je v letu 2017 zmanjšal. Neto stanje mednarodnih naložb</w:t>
      </w:r>
      <w:r>
        <w:rPr>
          <w:rFonts w:ascii="Times New Roman" w:hAnsi="Times New Roman"/>
          <w:noProof/>
        </w:rPr>
        <w:t xml:space="preserve"> je nekoliko upadlo in je zdaj blizu ravnotežja. Izgube deležev na izvoznih trgih so se umirile, kazalnik pa je zdaj nekoliko pod pragom. Rast stroškov dela na enoto se je umirila in realni efektivni devizni tečaj se je zmanjšal. </w:t>
      </w:r>
      <w:r>
        <w:rPr>
          <w:rFonts w:ascii="Times New Roman" w:hAnsi="Times New Roman"/>
          <w:noProof/>
          <w:color w:val="000000"/>
        </w:rPr>
        <w:t xml:space="preserve">Zadolženost gospodinjstev </w:t>
      </w:r>
      <w:r>
        <w:rPr>
          <w:rFonts w:ascii="Times New Roman" w:hAnsi="Times New Roman"/>
          <w:noProof/>
          <w:color w:val="000000"/>
        </w:rPr>
        <w:t>je visoka in se od leta 2008 stalno povečuje, vključno z letom 2017. To povečanje je povezano z dviganjem cen stanovanjskih nepremičnin, ki predstavlja tveganje za makroekonomsko stabilnost. Jeseni 2017 so se cene stanovanjskih nepremičnin nekoliko znižale</w:t>
      </w:r>
      <w:r>
        <w:rPr>
          <w:rFonts w:ascii="Times New Roman" w:hAnsi="Times New Roman"/>
          <w:noProof/>
          <w:color w:val="000000"/>
        </w:rPr>
        <w:t>, vendar ostajajo na splošno zelo visoke. K cenam stanovanjskih nepremičnin in zadolženosti gospodinjstev prispevajo ugodna davčna obravnava lastništva stanovanj, nizke hipotekarne obrestne mere in specifični vidiki hipotekarnega trga. Tveganja v bančnem s</w:t>
      </w:r>
      <w:r>
        <w:rPr>
          <w:rFonts w:ascii="Times New Roman" w:hAnsi="Times New Roman"/>
          <w:noProof/>
          <w:color w:val="000000"/>
        </w:rPr>
        <w:t>istemu so videti omejena, saj kakovost sredstev in dobičkonosnost ostajata visoki, finančno stanje gospodinjstev pa je na splošno močno. Trg dela se sooča z nezadostno ponudbo delovne sile ob velikem povpraševanju po njej, brezposelnost pa se še zmanjšuje.</w:t>
      </w:r>
      <w:r>
        <w:rPr>
          <w:noProof/>
        </w:rPr>
        <w:t xml:space="preserve"> </w:t>
      </w:r>
    </w:p>
    <w:p w:rsidR="00BB7D09" w:rsidRDefault="00A35831">
      <w:pPr>
        <w:spacing w:before="120" w:after="160" w:line="259" w:lineRule="auto"/>
        <w:jc w:val="both"/>
        <w:rPr>
          <w:rFonts w:ascii="Times New Roman" w:eastAsia="Calibri" w:hAnsi="Times New Roman" w:cs="Times New Roman"/>
          <w:i/>
          <w:noProof/>
        </w:rPr>
      </w:pPr>
      <w:r>
        <w:rPr>
          <w:rFonts w:ascii="Times New Roman" w:hAnsi="Times New Roman"/>
          <w:i/>
          <w:noProof/>
        </w:rPr>
        <w:t>Na splošno ekonomska razlaga izpostavlja vprašanja, povezana z visokim zasebnim dolgom in sektorjem stanovanjskih nepremičnin. Zato se zdi Komisiji koristno, tudi ob upoštevanju ugotovljenega neravnotežja v marcu 2018, da nadalje prouči obstoj neravnotež</w:t>
      </w:r>
      <w:r>
        <w:rPr>
          <w:rFonts w:ascii="Times New Roman" w:hAnsi="Times New Roman"/>
          <w:i/>
          <w:noProof/>
        </w:rPr>
        <w:t>ij ali njihovo odpravljanje.</w:t>
      </w:r>
    </w:p>
    <w:p w:rsidR="00BB7D09" w:rsidRDefault="00BB7D09">
      <w:pPr>
        <w:spacing w:before="120" w:after="160" w:line="259" w:lineRule="auto"/>
        <w:jc w:val="both"/>
        <w:rPr>
          <w:rFonts w:ascii="Times New Roman" w:eastAsia="Calibri" w:hAnsi="Times New Roman" w:cs="Times New Roman"/>
          <w:i/>
          <w:noProof/>
        </w:rPr>
      </w:pPr>
    </w:p>
    <w:p w:rsidR="00BB7D09" w:rsidRDefault="00A35831">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63712" behindDoc="0" locked="0" layoutInCell="1" allowOverlap="1">
            <wp:simplePos x="0" y="0"/>
            <wp:positionH relativeFrom="column">
              <wp:posOffset>3234055</wp:posOffset>
            </wp:positionH>
            <wp:positionV relativeFrom="paragraph">
              <wp:posOffset>635</wp:posOffset>
            </wp:positionV>
            <wp:extent cx="2552065" cy="3037840"/>
            <wp:effectExtent l="0" t="0" r="635" b="0"/>
            <wp:wrapSquare wrapText="lef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06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Združeno kraljestvo</w:t>
      </w:r>
      <w:r>
        <w:rPr>
          <w:rFonts w:ascii="Times New Roman" w:hAnsi="Times New Roman"/>
          <w:noProof/>
        </w:rPr>
        <w:t xml:space="preserve">: V prejšnjem krogu postopka v zvezi z makroekonomskimi neravnotežji za Združeno kraljestvo </w:t>
      </w:r>
      <w:r>
        <w:rPr>
          <w:rFonts w:ascii="Times New Roman" w:hAnsi="Times New Roman"/>
          <w:i/>
          <w:noProof/>
        </w:rPr>
        <w:t>ni bilo ugotovljeno, da bi imelo makroekonomska neravnotežja</w:t>
      </w:r>
      <w:r>
        <w:rPr>
          <w:rFonts w:ascii="Times New Roman" w:hAnsi="Times New Roman"/>
          <w:noProof/>
        </w:rPr>
        <w:t>. V posodobljeni preglednici več kazalnikov presega ok</w:t>
      </w:r>
      <w:r>
        <w:rPr>
          <w:rFonts w:ascii="Times New Roman" w:hAnsi="Times New Roman"/>
          <w:noProof/>
        </w:rPr>
        <w:t>virni prag, in sicer primanjkljaj na tekočem računu, dolg zasebnega sektorja in javni dolg.</w:t>
      </w:r>
    </w:p>
    <w:p w:rsidR="00BB7D09" w:rsidRDefault="00A35831">
      <w:pPr>
        <w:spacing w:after="160" w:line="259" w:lineRule="auto"/>
        <w:jc w:val="both"/>
        <w:rPr>
          <w:rFonts w:ascii="Times New Roman" w:eastAsia="Calibri" w:hAnsi="Times New Roman" w:cs="Times New Roman"/>
          <w:noProof/>
        </w:rPr>
      </w:pPr>
      <w:r>
        <w:rPr>
          <w:rFonts w:ascii="Times New Roman" w:hAnsi="Times New Roman"/>
          <w:noProof/>
        </w:rPr>
        <w:t>Tekoči račun se je leta 2017 rahlo zmanjšal, in sicer predvsem zaradi izboljšanja salda primarnih dohodkov, vendar so še vedno prisotni znaten primanjkljaj in s tem</w:t>
      </w:r>
      <w:r>
        <w:rPr>
          <w:rFonts w:ascii="Times New Roman" w:hAnsi="Times New Roman"/>
          <w:noProof/>
        </w:rPr>
        <w:t xml:space="preserve"> povezane velike potrebe po zunanjem financiranju. Znižanje vrednosti britanskega funta je prispevalo k neto stanju mednarodnih naložb, ki je rahlo negativno, in izboljšalo cenovno konkurenčnost v razmerah zmerne rasti stroškov dela na enoto. Vendar je bil</w:t>
      </w:r>
      <w:r>
        <w:rPr>
          <w:rFonts w:ascii="Times New Roman" w:hAnsi="Times New Roman"/>
          <w:noProof/>
        </w:rPr>
        <w:t xml:space="preserve"> neto trgovinski odziv na šibkejši britanski funt do zdaj pod pričakovanji. Po večletnem postopnem razdolževanju je delež dolga zasebnega sektorja v BDP dosegel najnižjo vrednost. Zlasti zadolženost gospodinjstev ostaja visoka in jo je treba še naprej pozo</w:t>
      </w:r>
      <w:r>
        <w:rPr>
          <w:rFonts w:ascii="Times New Roman" w:hAnsi="Times New Roman"/>
          <w:noProof/>
        </w:rPr>
        <w:t>rno spremljati. Realna rast cen stanovanjskih nepremičnin se je upočasnila, stroški stanovanjskih nepremičnin pa se stabilizirajo, čeprav so visoki. Javni dolg je visok in na splošno stabilen. Močno rast zaposlovanja je še naprej spremljala nizka in upadaj</w:t>
      </w:r>
      <w:r>
        <w:rPr>
          <w:rFonts w:ascii="Times New Roman" w:hAnsi="Times New Roman"/>
          <w:noProof/>
        </w:rPr>
        <w:t xml:space="preserve">oča brezposelnost, čeprav produktivnost dela ostaja šibka. </w:t>
      </w:r>
    </w:p>
    <w:p w:rsidR="00BB7D09" w:rsidRDefault="00A35831">
      <w:pPr>
        <w:spacing w:after="160" w:line="259" w:lineRule="auto"/>
        <w:jc w:val="both"/>
        <w:rPr>
          <w:rFonts w:ascii="Times New Roman" w:eastAsia="Calibri" w:hAnsi="Times New Roman" w:cs="Times New Roman"/>
          <w:i/>
          <w:iCs/>
          <w:noProof/>
        </w:rPr>
      </w:pPr>
      <w:r>
        <w:rPr>
          <w:rFonts w:ascii="Times New Roman" w:hAnsi="Times New Roman"/>
          <w:i/>
          <w:noProof/>
        </w:rPr>
        <w:t>Na splošno ekonomska razlaga poudarja vprašanja, povezana z zasebnim dolgom, trgom stanovanjskih nepremičnin in zunanjo stranjo gospodarstva. Ta vprašanja naj bi predstavljala kratkoročno omejena tveganja za stabilnost. Na splošno se Komisiji na tej stopnj</w:t>
      </w:r>
      <w:r>
        <w:rPr>
          <w:rFonts w:ascii="Times New Roman" w:hAnsi="Times New Roman"/>
          <w:i/>
          <w:noProof/>
        </w:rPr>
        <w:t xml:space="preserve">i ne zdi potrebno izvajati nadaljnje poglobljene analize v okviru postopka v zvezi z makroekonomskimi neravnotežji. </w:t>
      </w:r>
    </w:p>
    <w:p w:rsidR="00BB7D09" w:rsidRDefault="00BB7D09">
      <w:pPr>
        <w:spacing w:after="160" w:line="259" w:lineRule="auto"/>
        <w:rPr>
          <w:rFonts w:ascii="Times New Roman" w:eastAsia="Calibri" w:hAnsi="Times New Roman" w:cs="Times New Roman"/>
          <w:b/>
          <w:noProof/>
        </w:rPr>
      </w:pPr>
    </w:p>
    <w:p w:rsidR="00BB7D09" w:rsidRDefault="00BB7D09">
      <w:pPr>
        <w:spacing w:after="160" w:line="259" w:lineRule="auto"/>
        <w:rPr>
          <w:rFonts w:ascii="Times New Roman" w:eastAsia="Calibri" w:hAnsi="Times New Roman" w:cs="Times New Roman"/>
          <w:b/>
          <w:noProof/>
        </w:rPr>
      </w:pPr>
    </w:p>
    <w:p w:rsidR="00BB7D09" w:rsidRDefault="00BB7D09">
      <w:pPr>
        <w:jc w:val="both"/>
        <w:rPr>
          <w:rFonts w:ascii="Times New Roman" w:hAnsi="Times New Roman" w:cs="Times New Roman"/>
          <w:i/>
          <w:noProof/>
          <w:sz w:val="24"/>
          <w:szCs w:val="24"/>
        </w:rPr>
      </w:pPr>
    </w:p>
    <w:p w:rsidR="00BB7D09" w:rsidRDefault="00A35831">
      <w:pPr>
        <w:rPr>
          <w:rFonts w:ascii="Times New Roman" w:hAnsi="Times New Roman" w:cs="Times New Roman"/>
          <w:b/>
          <w:noProof/>
        </w:rPr>
      </w:pPr>
      <w:r>
        <w:rPr>
          <w:noProof/>
        </w:rPr>
        <w:br w:type="page"/>
      </w:r>
    </w:p>
    <w:p w:rsidR="00BB7D09" w:rsidRDefault="00BB7D09">
      <w:pPr>
        <w:spacing w:before="120" w:after="120" w:line="240" w:lineRule="auto"/>
        <w:jc w:val="both"/>
        <w:rPr>
          <w:rFonts w:ascii="Times New Roman" w:hAnsi="Times New Roman" w:cs="Times New Roman"/>
          <w:b/>
          <w:noProof/>
        </w:rPr>
        <w:sectPr w:rsidR="00BB7D09">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BB7D09" w:rsidRDefault="00A35831">
      <w:pPr>
        <w:spacing w:before="120" w:after="120" w:line="240" w:lineRule="auto"/>
        <w:jc w:val="both"/>
        <w:rPr>
          <w:rFonts w:ascii="Times New Roman" w:hAnsi="Times New Roman" w:cs="Times New Roman"/>
          <w:b/>
          <w:noProof/>
        </w:rPr>
      </w:pPr>
      <w:r>
        <w:rPr>
          <w:noProof/>
          <w:lang w:val="fr-BE" w:eastAsia="fr-BE" w:bidi="ar-SA"/>
        </w:rPr>
        <w:drawing>
          <wp:inline distT="0" distB="0" distL="0" distR="0">
            <wp:extent cx="9248775" cy="5305425"/>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307246"/>
                    </a:xfrm>
                    <a:prstGeom prst="rect">
                      <a:avLst/>
                    </a:prstGeom>
                    <a:noFill/>
                    <a:ln>
                      <a:noFill/>
                    </a:ln>
                  </pic:spPr>
                </pic:pic>
              </a:graphicData>
            </a:graphic>
          </wp:inline>
        </w:drawing>
      </w:r>
      <w:bookmarkStart w:id="1" w:name="_GoBack"/>
      <w:bookmarkEnd w:id="1"/>
      <w:r>
        <w:rPr>
          <w:noProof/>
          <w:lang w:val="fr-BE" w:eastAsia="fr-BE" w:bidi="ar-SA"/>
        </w:rPr>
        <w:drawing>
          <wp:inline distT="0" distB="0" distL="0" distR="0">
            <wp:extent cx="9247367" cy="521605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218641"/>
                    </a:xfrm>
                    <a:prstGeom prst="rect">
                      <a:avLst/>
                    </a:prstGeom>
                    <a:noFill/>
                    <a:ln>
                      <a:noFill/>
                    </a:ln>
                  </pic:spPr>
                </pic:pic>
              </a:graphicData>
            </a:graphic>
          </wp:inline>
        </w:drawing>
      </w:r>
    </w:p>
    <w:p w:rsidR="00BB7D09" w:rsidRDefault="00A35831">
      <w:pPr>
        <w:spacing w:before="120" w:after="120" w:line="240" w:lineRule="auto"/>
        <w:jc w:val="both"/>
        <w:rPr>
          <w:rFonts w:ascii="Times New Roman" w:hAnsi="Times New Roman" w:cs="Times New Roman"/>
          <w:b/>
          <w:noProof/>
        </w:rPr>
      </w:pPr>
      <w:r>
        <w:rPr>
          <w:noProof/>
          <w:lang w:val="fr-BE" w:eastAsia="fr-BE" w:bidi="ar-SA"/>
        </w:rPr>
        <w:drawing>
          <wp:inline distT="0" distB="0" distL="0" distR="0">
            <wp:extent cx="9247367" cy="496161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4964073"/>
                    </a:xfrm>
                    <a:prstGeom prst="rect">
                      <a:avLst/>
                    </a:prstGeom>
                    <a:noFill/>
                    <a:ln>
                      <a:noFill/>
                    </a:ln>
                  </pic:spPr>
                </pic:pic>
              </a:graphicData>
            </a:graphic>
          </wp:inline>
        </w:drawing>
      </w:r>
      <w:r>
        <w:rPr>
          <w:rFonts w:ascii="Times New Roman" w:hAnsi="Times New Roman"/>
          <w:b/>
          <w:noProof/>
        </w:rPr>
        <w:t xml:space="preserve"> </w:t>
      </w:r>
    </w:p>
    <w:sectPr w:rsidR="00BB7D09">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D09" w:rsidRDefault="00A35831">
      <w:pPr>
        <w:spacing w:after="0" w:line="240" w:lineRule="auto"/>
      </w:pPr>
      <w:r>
        <w:separator/>
      </w:r>
    </w:p>
  </w:endnote>
  <w:endnote w:type="continuationSeparator" w:id="0">
    <w:p w:rsidR="00BB7D09" w:rsidRDefault="00A35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A35831">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A35831">
    <w:r>
      <w:fldChar w:fldCharType="begin"/>
    </w:r>
    <w:r>
      <w:instrText xml:space="preserve">PAGE  </w:instrText>
    </w:r>
    <w:r>
      <w:fldChar w:fldCharType="separate"/>
    </w:r>
    <w:r>
      <w:rPr>
        <w:noProof/>
      </w:rPr>
      <w:t>22</w:t>
    </w:r>
    <w:r>
      <w:fldChar w:fldCharType="end"/>
    </w:r>
  </w:p>
  <w:p w:rsidR="00BB7D09" w:rsidRDefault="00BB7D0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BB7D09" w:rsidRDefault="00A35831">
        <w:pPr>
          <w:jc w:val="center"/>
        </w:pPr>
        <w:r>
          <w:fldChar w:fldCharType="begin"/>
        </w:r>
        <w:r>
          <w:instrText xml:space="preserve"> PAGE   \* MERGEFORMAT </w:instrText>
        </w:r>
        <w:r>
          <w:fldChar w:fldCharType="separate"/>
        </w:r>
        <w:r>
          <w:rPr>
            <w:noProof/>
          </w:rPr>
          <w:t>59</w:t>
        </w:r>
        <w:r>
          <w:rPr>
            <w:noProof/>
          </w:rPr>
          <w:fldChar w:fldCharType="end"/>
        </w:r>
      </w:p>
    </w:sdtContent>
  </w:sdt>
  <w:p w:rsidR="00BB7D09" w:rsidRDefault="00BB7D09">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A35831">
    <w:r>
      <w:fldChar w:fldCharType="begin"/>
    </w:r>
    <w:r>
      <w:instrText xml:space="preserve">PAGE  </w:instrText>
    </w:r>
    <w:r>
      <w:fldChar w:fldCharType="separate"/>
    </w:r>
    <w:r>
      <w:rPr>
        <w:noProof/>
      </w:rPr>
      <w:t>22</w:t>
    </w:r>
    <w:r>
      <w:fldChar w:fldCharType="end"/>
    </w:r>
  </w:p>
  <w:p w:rsidR="00BB7D09" w:rsidRDefault="00BB7D09"/>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BB7D09" w:rsidRDefault="00A35831">
        <w:pPr>
          <w:jc w:val="center"/>
        </w:pPr>
        <w:r>
          <w:fldChar w:fldCharType="begin"/>
        </w:r>
        <w:r>
          <w:instrText xml:space="preserve"> PAGE   \* MERGEFORMAT </w:instrText>
        </w:r>
        <w:r>
          <w:fldChar w:fldCharType="separate"/>
        </w:r>
        <w:r>
          <w:rPr>
            <w:noProof/>
          </w:rPr>
          <w:t>62</w:t>
        </w:r>
        <w:r>
          <w:rPr>
            <w:noProof/>
          </w:rPr>
          <w:fldChar w:fldCharType="end"/>
        </w:r>
      </w:p>
    </w:sdtContent>
  </w:sdt>
  <w:p w:rsidR="00BB7D09" w:rsidRDefault="00BB7D09">
    <w:pPr>
      <w:jc w:val="center"/>
      <w:rPr>
        <w:rFonts w:ascii="Arial" w:hAnsi="Arial" w:cs="Arial"/>
        <w:b/>
        <w:sz w:val="4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D09" w:rsidRDefault="00A35831">
      <w:pPr>
        <w:spacing w:after="0" w:line="240" w:lineRule="auto"/>
      </w:pPr>
      <w:r>
        <w:separator/>
      </w:r>
    </w:p>
  </w:footnote>
  <w:footnote w:type="continuationSeparator" w:id="0">
    <w:p w:rsidR="00BB7D09" w:rsidRDefault="00A35831">
      <w:pPr>
        <w:spacing w:after="0" w:line="240" w:lineRule="auto"/>
      </w:pPr>
      <w:r>
        <w:continuationSeparator/>
      </w:r>
    </w:p>
  </w:footnote>
  <w:footnote w:id="1">
    <w:p w:rsidR="00BB7D09" w:rsidRDefault="00A3583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Temu poročilu je priložena </w:t>
      </w:r>
      <w:r>
        <w:rPr>
          <w:rFonts w:ascii="Times New Roman" w:hAnsi="Times New Roman"/>
          <w:i/>
        </w:rPr>
        <w:t>statistična priloga</w:t>
      </w:r>
      <w:r>
        <w:rPr>
          <w:rFonts w:ascii="Times New Roman" w:hAnsi="Times New Roman"/>
        </w:rPr>
        <w:t xml:space="preserve"> z veliko količino statističnih podatkov, ki so bili uporabljeni pri pripravi poročila. </w:t>
      </w:r>
    </w:p>
  </w:footnote>
  <w:footnote w:id="2">
    <w:p w:rsidR="00BB7D09" w:rsidRDefault="00A3583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Glej člen 5 Uredbe (EU) št. 1176/2011.</w:t>
      </w:r>
    </w:p>
  </w:footnote>
  <w:footnote w:id="3">
    <w:p w:rsidR="00BB7D09" w:rsidRDefault="00A3583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 poročilu „o dokončanju evropske ekonomske in monetarne unije“ z dne </w:t>
      </w:r>
      <w:r>
        <w:rPr>
          <w:rFonts w:ascii="Times New Roman" w:hAnsi="Times New Roman"/>
        </w:rPr>
        <w:t xml:space="preserve">22. junija 2015, ki so ga pripravili Jean-Claude Juncker, Donald Tusk, Jeroen Dijsselbloem, Mario Draghi in Martin Schulz, je bilo predlagano, da se večja pozornost nameni neravnotežjem, ki vplivajo na celotno euroobmočje. Vloga soodvisnosti in sistemskih </w:t>
      </w:r>
      <w:r>
        <w:rPr>
          <w:rFonts w:ascii="Times New Roman" w:hAnsi="Times New Roman"/>
        </w:rPr>
        <w:t>posledic neravnotežij je priznana v Uredbi (EU) št. 1176/2011, ki opredeljuje neravnotežja s sklicevanjem na „makroekonomske posledice [, ki] negativno vplivajo ali bi lahko negativno vplivale na pravilno delovanje gospodarstva države članice ali ekonomske</w:t>
      </w:r>
      <w:r>
        <w:rPr>
          <w:rFonts w:ascii="Times New Roman" w:hAnsi="Times New Roman"/>
        </w:rPr>
        <w:t xml:space="preserve"> in monetarne unije ali na delovanje celotne Unije.“</w:t>
      </w:r>
    </w:p>
  </w:footnote>
  <w:footnote w:id="4">
    <w:p w:rsidR="00BB7D09" w:rsidRDefault="00A35831">
      <w:r>
        <w:rPr>
          <w:rStyle w:val="FootnoteReference"/>
        </w:rPr>
        <w:footnoteRef/>
      </w:r>
      <w:r>
        <w:t xml:space="preserve"> Glej npr. ECB, Economic Bulletin, številka 5/2018.</w:t>
      </w:r>
    </w:p>
  </w:footnote>
  <w:footnote w:id="5">
    <w:p w:rsidR="00BB7D09" w:rsidRDefault="00A35831">
      <w:r>
        <w:rPr>
          <w:rStyle w:val="FootnoteReference"/>
        </w:rPr>
        <w:footnoteRef/>
      </w:r>
      <w:r>
        <w:t xml:space="preserve"> Glej tudi Mednarodni denarni sklad, poročilo World Economic Outlook, oktober 2018.</w:t>
      </w:r>
    </w:p>
  </w:footnote>
  <w:footnote w:id="6">
    <w:p w:rsidR="00BB7D09" w:rsidRDefault="00A35831">
      <w:r>
        <w:rPr>
          <w:rStyle w:val="FootnoteReference"/>
        </w:rPr>
        <w:footnoteRef/>
      </w:r>
      <w:r>
        <w:t xml:space="preserve"> Glej okvir 3 za pregled nedavnih pomembnejših dogodkov na podro</w:t>
      </w:r>
      <w:r>
        <w:t>čju zaposlovanja in socialnih zadev v EU.</w:t>
      </w:r>
    </w:p>
  </w:footnote>
  <w:footnote w:id="7">
    <w:p w:rsidR="00BB7D09" w:rsidRDefault="00A35831">
      <w:r>
        <w:rPr>
          <w:rStyle w:val="FootnoteReference"/>
        </w:rPr>
        <w:footnoteRef/>
      </w:r>
      <w:r>
        <w:t xml:space="preserve"> Glej tudi Evropska komisija, Letni pregled rasti za leto 2019.</w:t>
      </w:r>
    </w:p>
  </w:footnote>
  <w:footnote w:id="8">
    <w:p w:rsidR="00BB7D09" w:rsidRDefault="00A3583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Člen 6 Uredbe (EU) št. 1176/2011.</w:t>
      </w:r>
    </w:p>
  </w:footnote>
  <w:footnote w:id="9">
    <w:p w:rsidR="00BB7D09" w:rsidRDefault="00A3583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Glej „Evropski semester 2018: Ocena napredka pri strukturnih reformah in preprečevanju in odpravljanju makroeko</w:t>
      </w:r>
      <w:r>
        <w:rPr>
          <w:rFonts w:ascii="Times New Roman" w:hAnsi="Times New Roman"/>
        </w:rPr>
        <w:t xml:space="preserve">nomskih neravnotežij ter rezultati poglobljenih pregledov v skladu z uredbo (EU) št. 1176/2011“ – COM(2018) 120 final/2 z dne 7. marca 2018. </w:t>
      </w:r>
    </w:p>
  </w:footnote>
  <w:footnote w:id="10">
    <w:p w:rsidR="00BB7D09" w:rsidRDefault="00A35831">
      <w:pPr>
        <w:jc w:val="both"/>
      </w:pPr>
      <w:r>
        <w:rPr>
          <w:rStyle w:val="FootnoteReference"/>
        </w:rPr>
        <w:footnoteRef/>
      </w:r>
      <w:r>
        <w:t xml:space="preserve"> Države članice, v katerih se izvaja program za makroekonomsko prilagoditev, povezan s finančno pomočjo, so izvze</w:t>
      </w:r>
      <w:r>
        <w:t>te iz nadzora v okviru postopka v zvezi z makroekonomskimi neravnotežji (člen 11 Uredbe (EU) št. 472/2013 Evropskega parlamenta in Sveta z dne 21. maja 2013 o okrepitvi gospodarskega in proračunskega nadzora v državah članicah euroobmočja, ki so jih prizad</w:t>
      </w:r>
      <w:r>
        <w:t>ele ali jim grozijo resne težave v zvezi z njihovo finančno stabilnostjo).</w:t>
      </w:r>
    </w:p>
  </w:footnote>
  <w:footnote w:id="11">
    <w:p w:rsidR="00BB7D09" w:rsidRDefault="00A35831">
      <w:pPr>
        <w:jc w:val="both"/>
        <w:rPr>
          <w:i/>
        </w:rPr>
      </w:pPr>
      <w:r>
        <w:rPr>
          <w:rStyle w:val="FootnoteReference"/>
        </w:rPr>
        <w:footnoteRef/>
      </w:r>
      <w:r>
        <w:t xml:space="preserve"> Novembra 2016 je Evropski odbor za sistemska tveganja (ESRB) izdal opozorila za posamezne države glede srednjeročnih ranljivosti v sektorju stanovanjskih nepremičnin osmim državam</w:t>
      </w:r>
      <w:r>
        <w:t xml:space="preserve"> članicam EU: Avstriji, Belgiji, Danski, Finski, Luksemburgu, Nizozemski, Švedski in Združenemu kraljestvu.</w:t>
      </w:r>
    </w:p>
  </w:footnote>
  <w:footnote w:id="12">
    <w:p w:rsidR="00BB7D09" w:rsidRDefault="00A35831">
      <w:pPr>
        <w:jc w:val="both"/>
      </w:pPr>
      <w:r>
        <w:rPr>
          <w:rStyle w:val="FootnoteReference"/>
        </w:rPr>
        <w:footnoteRef/>
      </w:r>
      <w:r>
        <w:t xml:space="preserve"> Več podrobnosti o statističnih opredelitvah novih kazalnikov je na voljo v delovnem dokumentu služb Komisije „Predvidena revizija izbranih pomožni</w:t>
      </w:r>
      <w:r>
        <w:t>h kazalnikov preglednice postopka v zvezi z makroekonomskim neravnotežjem“, Tehnična opomba; https://ec.europa.eu/info/business-economy-euro/economic-and-fiscal-policy-coordination/eu-economic-governance-monitoring-prevention-correction/macroeconomic-imbal</w:t>
      </w:r>
      <w:r>
        <w:t>ance-procedure/scoreboard_en.</w:t>
      </w:r>
    </w:p>
  </w:footnote>
  <w:footnote w:id="13">
    <w:p w:rsidR="00BB7D09" w:rsidRDefault="00A3583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Za pojasnila glede priprave preglednice kazalnikov v poročilu o mehanizmu opozarjanja in njihovo analizo glej Evropska komisija (2016) „</w:t>
      </w:r>
      <w:r>
        <w:rPr>
          <w:rFonts w:ascii="Times New Roman" w:hAnsi="Times New Roman"/>
          <w:i/>
        </w:rPr>
        <w:t>The Macroeconomic Imbalance Procedure. Rationale, Process, Application: A Compendium</w:t>
      </w:r>
      <w:r>
        <w:rPr>
          <w:rFonts w:ascii="Times New Roman" w:hAnsi="Times New Roman"/>
        </w:rPr>
        <w:t xml:space="preserve">“, </w:t>
      </w:r>
      <w:r>
        <w:rPr>
          <w:rFonts w:ascii="Times New Roman" w:hAnsi="Times New Roman"/>
        </w:rPr>
        <w:t>European Economy, Institutional Paper, št. 39.</w:t>
      </w:r>
    </w:p>
  </w:footnote>
  <w:footnote w:id="14">
    <w:p w:rsidR="00BB7D09" w:rsidRDefault="00A35831">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Podroben pregled kazalnikov skupaj z okvirnimi pragovi je na voljo v preglednici 1.1 v Prilogi; pomožni kazalniki so prikazani v preglednici 2.1. Kot je pojasnjeno v opombi h grafu 1, temelji tolmačenje razv</w:t>
      </w:r>
      <w:r>
        <w:rPr>
          <w:rFonts w:ascii="Times New Roman" w:hAnsi="Times New Roman"/>
        </w:rPr>
        <w:t>oja podatkov iz preglednice na podatkih, ki so na voljo v času vsakega poročila o mehanizmu opozarjanja. Presečni datum za zbiranje podatkov za poročilo o mehanizmu opozarjanja za leto 2019 je bil 24. oktober 2018.</w:t>
      </w:r>
    </w:p>
  </w:footnote>
  <w:footnote w:id="15">
    <w:p w:rsidR="00BB7D09" w:rsidRDefault="00A3583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Ciklično prilagojeni saldi tekočih raču</w:t>
      </w:r>
      <w:r>
        <w:rPr>
          <w:rFonts w:ascii="Times New Roman" w:hAnsi="Times New Roman"/>
        </w:rPr>
        <w:t>nov upoštevajo učinek cikla, tako da se prilagodijo za domačo proizvodno vrzel in proizvodno vrzel v trgovinskih partnericah, glej M. Salto in A. Turrini (2010), „Comparing alternative methodologies for real exchange rate assessment“, European Economy, Dis</w:t>
      </w:r>
      <w:r>
        <w:rPr>
          <w:rFonts w:ascii="Times New Roman" w:hAnsi="Times New Roman"/>
        </w:rPr>
        <w:t>cussion Paper 427/2010.</w:t>
      </w:r>
    </w:p>
  </w:footnote>
  <w:footnote w:id="16">
    <w:p w:rsidR="00BB7D09" w:rsidRDefault="00A3583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Tekoči računi v skladu s temelji (standardne ravni tekočega računa) so izpeljani iz regresij v reducirani obliki, v katerih so zajeti glavni dejavniki ravnotežja med varčevanjem in naložbami, vključno s temeljnimi dejavniki, dejav</w:t>
      </w:r>
      <w:r>
        <w:rPr>
          <w:rFonts w:ascii="Times New Roman" w:hAnsi="Times New Roman"/>
        </w:rPr>
        <w:t xml:space="preserve">niki politike in finančnimi pogoji na svetovni ravni. Metodologija je sorodna metodologiji „The External Balance Assessment (EBA) Methodology“, S. Phillips et al., 2013, IMF Working Paper, 13/272. Za opis metodologije za izračun tekočega računa na podlagi </w:t>
      </w:r>
      <w:r>
        <w:rPr>
          <w:rFonts w:ascii="Times New Roman" w:hAnsi="Times New Roman"/>
        </w:rPr>
        <w:t>temeljev, uporabljen v tem poročilu o mehanizmu opozarjanja, glej L. Coutinho et al. (2018), „Methodologies for the assessment of current account benchmarks“, European Economy, Discussion Paper 86, 2018.</w:t>
      </w:r>
    </w:p>
  </w:footnote>
  <w:footnote w:id="17">
    <w:p w:rsidR="00BB7D09" w:rsidRDefault="00A35831">
      <w:pPr>
        <w:jc w:val="both"/>
        <w:rPr>
          <w:rFonts w:cstheme="minorHAnsi"/>
        </w:rPr>
      </w:pPr>
      <w:r>
        <w:rPr>
          <w:rStyle w:val="FootnoteReference"/>
          <w:rFonts w:cstheme="minorHAnsi"/>
        </w:rPr>
        <w:footnoteRef/>
      </w:r>
      <w:r>
        <w:t xml:space="preserve"> Za metodologije v zvezi z refeferenčnimi vrednostm</w:t>
      </w:r>
      <w:r>
        <w:t xml:space="preserve">i za tekoče račune glej L. Coutinho et al. (2018); za previdnostne pragove neto stanja mednarodnih naložb za posamezne države glej opombo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w:t>
      </w:r>
    </w:p>
  </w:footnote>
  <w:footnote w:id="18">
    <w:p w:rsidR="00BB7D09" w:rsidRDefault="00A3583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Neto stanje mednarodnih naložb v skladu s temelji se pridobi kot seštevek standardnih ravni tekočega računa v danem obdobju (glej tudi opombo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w:t>
      </w:r>
      <w:r>
        <w:rPr>
          <w:rFonts w:ascii="Times New Roman" w:hAnsi="Times New Roman"/>
        </w:rPr>
        <w:t xml:space="preserve"> Previdnostni pragovi za neto stanje mednarodnih naložb se določijo z največjim možnim povečanjem moči znakov pri napovedovanju plačilnobilančne krize, pri čemer se upoštevajo informacije za posamezno državo, povzete s prihodki na prebivalca. Za metodologi</w:t>
      </w:r>
      <w:r>
        <w:rPr>
          <w:rFonts w:ascii="Times New Roman" w:hAnsi="Times New Roman"/>
        </w:rPr>
        <w:t xml:space="preserve">jo za izračun neto stanja mednarodnih naložb v skladu s temelji glej A. Turrini in S. Zeugner, „Benchmarks for Net International Investment Positions“, European Economy, Discussion Paper, v pripravi. </w:t>
      </w:r>
    </w:p>
  </w:footnote>
  <w:footnote w:id="19">
    <w:p w:rsidR="00BB7D09" w:rsidRDefault="00A35831">
      <w:pPr>
        <w:jc w:val="both"/>
      </w:pPr>
      <w:r>
        <w:rPr>
          <w:rStyle w:val="FootnoteReference"/>
        </w:rPr>
        <w:footnoteRef/>
      </w:r>
      <w:r>
        <w:t xml:space="preserve"> Kot je razvidno iz spremenljivke NENDI, tj. neto stan</w:t>
      </w:r>
      <w:r>
        <w:t xml:space="preserve">ja mednarodnih naložb, iz katerega so izključeni instrumenti brez tveganja neplačila. </w:t>
      </w:r>
      <w:r>
        <w:rPr>
          <w:rFonts w:ascii="Times New Roman" w:hAnsi="Times New Roman"/>
        </w:rPr>
        <w:t>Na drugi strani je pozitivno, da so bila izboljšanja neto stanja mednarodnih naložb v teh državah v letu 2017 večinoma posledica izboljšav NENDI.</w:t>
      </w:r>
    </w:p>
  </w:footnote>
  <w:footnote w:id="20">
    <w:p w:rsidR="00BB7D09" w:rsidRDefault="00A35831">
      <w:r>
        <w:rPr>
          <w:rStyle w:val="FootnoteReference"/>
        </w:rPr>
        <w:footnoteRef/>
      </w:r>
      <w:r>
        <w:t xml:space="preserve"> Pomen NENDI se v tej s</w:t>
      </w:r>
      <w:r>
        <w:t>kupini držav precej razlikuje, kar odraža tudi pomen njihovih finančnih središč, kot v Luksemburgu in na Malti, ali obveznosti za zunanji dolg bank in sedežev multinacionalk kot na Nizozemskem.</w:t>
      </w:r>
    </w:p>
  </w:footnote>
  <w:footnote w:id="21">
    <w:p w:rsidR="00BB7D09" w:rsidRDefault="00A35831">
      <w:pPr>
        <w:jc w:val="both"/>
      </w:pPr>
      <w:r>
        <w:rPr>
          <w:rStyle w:val="FootnoteReference"/>
        </w:rPr>
        <w:footnoteRef/>
      </w:r>
      <w:r>
        <w:t xml:space="preserve"> Glej npr. Evropska komisija (2018), „Labour markets and wage</w:t>
      </w:r>
      <w:r>
        <w:t xml:space="preserve"> developments in Europe“, Letni pregled 2018, ter Z. Darvas in I. Gonçalves Raposo (2018), „The ever-rising labour shortages in Europe“, Bruegel Blog Post, 25. januar 2018.</w:t>
      </w:r>
    </w:p>
  </w:footnote>
  <w:footnote w:id="22">
    <w:p w:rsidR="00BB7D09" w:rsidRDefault="00A35831">
      <w:pPr>
        <w:jc w:val="both"/>
      </w:pPr>
      <w:r>
        <w:rPr>
          <w:rStyle w:val="FootnoteReference"/>
        </w:rPr>
        <w:footnoteRef/>
      </w:r>
      <w:r>
        <w:t xml:space="preserve"> Medtem ko nižanje marž preprečuje, da bi stroškovna konkurenčnost vplivala na pog</w:t>
      </w:r>
      <w:r>
        <w:t>oje menjave in s tem omejuje vpliv na trgovinske tokove v panogah, za katere sta značilna diferenciacija proizvodov in prilagajanje cen nacionalnim trgom, bi trajno nižja dobičkonosnost sčasoma pomenila tudi krčenje menjalnega sektorja.</w:t>
      </w:r>
    </w:p>
  </w:footnote>
  <w:footnote w:id="23">
    <w:p w:rsidR="00BB7D09" w:rsidRDefault="00A35831">
      <w:pPr>
        <w:jc w:val="both"/>
      </w:pPr>
      <w:r>
        <w:rPr>
          <w:rStyle w:val="FootnoteReference"/>
        </w:rPr>
        <w:footnoteRef/>
      </w:r>
      <w:r>
        <w:t xml:space="preserve"> Glej jesensko nap</w:t>
      </w:r>
      <w:r>
        <w:t>oved Evropske komisije iz leta 2018 in MDS (2018), World Economic Outlook, oktober 2018. Glej tudi preglednico 2.1 v Prilogi za izvozne rezultate glede na razvita gospodarstva.</w:t>
      </w:r>
    </w:p>
  </w:footnote>
  <w:footnote w:id="24">
    <w:p w:rsidR="00BB7D09" w:rsidRDefault="00A35831">
      <w:pPr>
        <w:jc w:val="both"/>
      </w:pPr>
      <w:r>
        <w:rPr>
          <w:rStyle w:val="FootnoteReference"/>
        </w:rPr>
        <w:footnoteRef/>
      </w:r>
      <w:r>
        <w:t xml:space="preserve"> Podatki o saldu tekočega računa euroobmočja, ki temeljijo na plačilnobilančni</w:t>
      </w:r>
      <w:r>
        <w:t>h podatkih, so bili nedavno popravljeni nekoliko navzdol, in trenutno kažejo presežek, ki je nižji za okrog 0,3 oziroma 0,1 odstotne točke BDP za leto 2015 oziroma 2016 glede na podatke, ki so bili na voljo pred enim letom. Saldo tekočega računa euroobmočj</w:t>
      </w:r>
      <w:r>
        <w:t>a kot celote naproti preostalemu svetu je tako leta 2016 kot 2017 znašal 3,2 % BDP glede na podatke iz plačilne bilance in nacionalnih računov. Vendar znaša vsota tekočih računov posameznih držav članic 3,5 % oziroma 4 % BDP euroobmočja za leto 2016 ozirom</w:t>
      </w:r>
      <w:r>
        <w:t xml:space="preserve">a 2017. Odstopanja med vrednostjo za euroobmočje kot celoto in vsoto saldov tekočih računov posameznih držav članic so posledica prilagoditev za asimetrije sporočenih podatkov držav članic. </w:t>
      </w:r>
    </w:p>
  </w:footnote>
  <w:footnote w:id="25">
    <w:p w:rsidR="00BB7D09" w:rsidRDefault="00A35831">
      <w:pPr>
        <w:jc w:val="both"/>
      </w:pPr>
      <w:r>
        <w:rPr>
          <w:rStyle w:val="FootnoteReference"/>
        </w:rPr>
        <w:footnoteRef/>
      </w:r>
      <w:r>
        <w:t xml:space="preserve"> Za metodologijo za izračun saldov tekočih računov v skladu s te</w:t>
      </w:r>
      <w:r>
        <w:t xml:space="preserve">melji (standardna raven tekočega računa) glej opombo </w:t>
      </w:r>
      <w:r>
        <w:fldChar w:fldCharType="begin"/>
      </w:r>
      <w:r>
        <w:instrText xml:space="preserve"> NOTEREF _Ref526526513 \h  \* MERGEFORMAT </w:instrText>
      </w:r>
      <w:r>
        <w:fldChar w:fldCharType="separate"/>
      </w:r>
      <w:r>
        <w:t>16</w:t>
      </w:r>
      <w:r>
        <w:fldChar w:fldCharType="end"/>
      </w:r>
      <w:r>
        <w:t xml:space="preserve"> in sklice v njej. MDS (External Sector Report 2018) prav tako ocenjuje, da bi morala biti s</w:t>
      </w:r>
      <w:r>
        <w:t>tandardna raven salda tekočega računa euroobmočja približno 1,5 % BDP.</w:t>
      </w:r>
    </w:p>
  </w:footnote>
  <w:footnote w:id="26">
    <w:p w:rsidR="00BB7D09" w:rsidRDefault="00A35831">
      <w:pPr>
        <w:jc w:val="both"/>
      </w:pPr>
      <w:r>
        <w:rPr>
          <w:rStyle w:val="FootnoteReference"/>
        </w:rPr>
        <w:footnoteRef/>
      </w:r>
      <w:r>
        <w:t xml:space="preserve"> Napoved na podlagi podatkov o nacionalnih računih. </w:t>
      </w:r>
    </w:p>
  </w:footnote>
  <w:footnote w:id="27">
    <w:p w:rsidR="00BB7D09" w:rsidRDefault="00A35831">
      <w:pPr>
        <w:jc w:val="both"/>
      </w:pPr>
      <w:r>
        <w:rPr>
          <w:rStyle w:val="FootnoteReference"/>
        </w:rPr>
        <w:footnoteRef/>
      </w:r>
      <w:r>
        <w:t xml:space="preserve"> </w:t>
      </w:r>
      <w:r>
        <w:rPr>
          <w:rFonts w:ascii="Times New Roman" w:hAnsi="Times New Roman"/>
        </w:rPr>
        <w:t xml:space="preserve">Glej npr. ECB, Economic Bulletin, številka 05/2018, okvir 2. </w:t>
      </w:r>
    </w:p>
  </w:footnote>
  <w:footnote w:id="28">
    <w:p w:rsidR="00BB7D09" w:rsidRDefault="00A3583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Pri ocenjevanju obetov glede energetske bilance bi bilo treba upo</w:t>
      </w:r>
      <w:r>
        <w:rPr>
          <w:rFonts w:ascii="Times New Roman" w:hAnsi="Times New Roman"/>
        </w:rPr>
        <w:t>števati tudi postopno strukturno izboljšanje energetske bilance euroobmočja ob dani ravni cen nafte, ki je povezano z manjšim deležem energijsko intenzivnih dejavnosti in povečano energijsko učinkovitostjo proizvodnih procesov. Glej npr. IAE (2018), „Energ</w:t>
      </w:r>
      <w:r>
        <w:rPr>
          <w:rFonts w:ascii="Times New Roman" w:hAnsi="Times New Roman"/>
        </w:rPr>
        <w:t>y Efficiency 2017“, Mednarodna agencija za energijo.</w:t>
      </w:r>
    </w:p>
  </w:footnote>
  <w:footnote w:id="29">
    <w:p w:rsidR="00BB7D09" w:rsidRDefault="00A35831">
      <w:pPr>
        <w:jc w:val="both"/>
      </w:pPr>
      <w:r>
        <w:rPr>
          <w:rStyle w:val="FootnoteReference"/>
        </w:rPr>
        <w:footnoteRef/>
      </w:r>
      <w:r>
        <w:t xml:space="preserve"> Glej Evropska komisija, Letni pregled rasti za leto 2019, ter B. Pierluigi in D. Sondermann (2018), „Macroeconomic imbalances in the euro area:</w:t>
      </w:r>
      <w:r>
        <w:rPr>
          <w:rFonts w:ascii="Times New Roman" w:hAnsi="Times New Roman"/>
        </w:rPr>
        <w:t xml:space="preserve"> where do we stand?“ </w:t>
      </w:r>
      <w:r>
        <w:t>ECB Occasional Paper št. 211/2018.</w:t>
      </w:r>
    </w:p>
  </w:footnote>
  <w:footnote w:id="30">
    <w:p w:rsidR="00BB7D09" w:rsidRDefault="00A35831">
      <w:pPr>
        <w:jc w:val="both"/>
      </w:pPr>
      <w:r>
        <w:rPr>
          <w:rStyle w:val="FootnoteReference"/>
        </w:rPr>
        <w:footnoteRef/>
      </w:r>
      <w:r>
        <w:t xml:space="preserve"> </w:t>
      </w:r>
      <w:r>
        <w:t>Ti dejavniki so upoštevani v referenčnih merilih za posamezne države, ki jih je razvila Evropska komisija v sodelovanju z delovno skupino LIME Odbora za ekonomsko politiko (Evropska komisija, „Benchmarks for the assessment of private debt“ (referenčna meri</w:t>
      </w:r>
      <w:r>
        <w:t>la za oceno zasebnega dolga), Obvestilo za Odbor za ekonomsko politiko, ARES (2017) 4970814). Prvo merilo omogoča oceno zasebnega dolga glede na vrednosti, ki se lahko pojasnijo na podlagi gospodarskih temeljev. Drugo merilo je sestavljeno iz previdnostnih</w:t>
      </w:r>
      <w:r>
        <w:t xml:space="preserve"> pragov, ki temeljijo na največjem možnem povečanju moči znakov pri napovedovanju bančnih kriz in vključujejo informacije o kapitalizaciji bank, javnem dolgu in ravni gospodarske razvitosti za posamezne države. V večini držav članic EU deleži zasebnega dol</w:t>
      </w:r>
      <w:r>
        <w:t>ga v razmerju do BDP, ki presegajo prag iz preglednice stanja iz poročila o mehanizmu opozarjanja, presegajo tudi obe referenčni merili za posamezne države.</w:t>
      </w:r>
    </w:p>
  </w:footnote>
  <w:footnote w:id="31">
    <w:p w:rsidR="00BB7D09" w:rsidRDefault="00A35831">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w:t>
      </w:r>
      <w:r>
        <w:t xml:space="preserve">Izjemi sta Češka in Slovaška. V primeru prve je hitra rast obveznosti finančnega sektorja v letu </w:t>
      </w:r>
      <w:r>
        <w:t>2017 v veliki meri posledica finančnih transakcij pred iztekom zaveze glede deviznega tečaja in zato ne odraža domače posojilne dejavnosti. Na Slovaškem je povečanje mogoče pojasniti predvsem s povečanjem obveznosti centralne banke do subjektov zunaj euroo</w:t>
      </w:r>
      <w:r>
        <w:t>bmočja. To bi lahko bilo povezano s storitvami upravljanja rezerv, ki jih zagotavlja Narodna banka Slovaške in ki nimajo neposrednega učinka na domače gospodarstvo.</w:t>
      </w:r>
    </w:p>
  </w:footnote>
  <w:footnote w:id="32">
    <w:p w:rsidR="00BB7D09" w:rsidRDefault="00A35831">
      <w:pPr>
        <w:jc w:val="both"/>
      </w:pPr>
      <w:r>
        <w:rPr>
          <w:rStyle w:val="FootnoteReference"/>
        </w:rPr>
        <w:footnoteRef/>
      </w:r>
      <w:r>
        <w:t xml:space="preserve"> Slaba posojila so v nizu pomožnih kazalnikov iz preglednice opredeljena kot skupna bruto slaba posojila in predujmi kot odstotek skupnih bruto posojil in predujmov (bruto knjigovodska vrednost), za sektor poročanja „domače bančne skupine in samostojne ban</w:t>
      </w:r>
      <w:r>
        <w:t>ke, hčerinske družbe pod tujim nadzorom ter podružnice pod tujim nadzorom, vse institucije“. Vrednosti so navedene v preglednici 2.1.</w:t>
      </w:r>
    </w:p>
  </w:footnote>
  <w:footnote w:id="33">
    <w:p w:rsidR="00BB7D09" w:rsidRDefault="00A35831">
      <w:pPr>
        <w:jc w:val="both"/>
      </w:pPr>
      <w:r>
        <w:rPr>
          <w:rStyle w:val="FootnoteReference"/>
        </w:rPr>
        <w:footnoteRef/>
      </w:r>
      <w:r>
        <w:t xml:space="preserve"> Harmonizirani deleži slabih posojil so na voljo šele od leta 2014; graf 17 prikazuje delež bruto nedonosnih dolžniških i</w:t>
      </w:r>
      <w:r>
        <w:t>nstrumentov v skupnih bruto dolžniških instrumentih, ki je na voljo v daljših časovnih vrstah in se poleg posojil nanaša tudi na druge dolžniške instrumente, ki se posedujejo v bančnem sektorju. Slednji je običajno nekoliko nižji od deležev slabih posojil.</w:t>
      </w:r>
      <w:r>
        <w:t xml:space="preserve"> Največja razlika med obema deležema trenutno znaša 4 odstotne točke (za Grčijo), za večino držav članic pa znaša manj kot 1 odstotno točko.</w:t>
      </w:r>
    </w:p>
  </w:footnote>
  <w:footnote w:id="34">
    <w:p w:rsidR="00BB7D09" w:rsidRDefault="00A3583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Analiza vrednotenja cen temelji na povprečju treh kazalnikov: (i) vrzeli v cenovni dostopnosti (odklon razmerja m</w:t>
      </w:r>
      <w:r>
        <w:rPr>
          <w:rFonts w:ascii="Times New Roman" w:hAnsi="Times New Roman"/>
        </w:rPr>
        <w:t>ed cenami in dohodki glede na dolgoročno povprečje); (ii) vrzeli v dividendah (odklon razmerja med cenami in najemninami od dolgoročnega povprečja); ter (iii) ocen odklonov cen stanovanj od ravnotežnih vrednosti, ki temeljijo na temeljnih dejavnikih povpra</w:t>
      </w:r>
      <w:r>
        <w:rPr>
          <w:rFonts w:ascii="Times New Roman" w:hAnsi="Times New Roman"/>
        </w:rPr>
        <w:t>ševanja in ponudbe na trgu nepremičnin. Glej N. Philiponnet in A. Turrini (2017), „Assessing House Price Developments in the EU“, European Commission Discussion Paper 048, maj 2017. Alternativni kazalnik, ki temelji na razmerjih med ravnmi cen stanovanjski</w:t>
      </w:r>
      <w:r>
        <w:rPr>
          <w:rFonts w:ascii="Times New Roman" w:hAnsi="Times New Roman"/>
        </w:rPr>
        <w:t>h nepremičnin in razpoložljivim dohodkom gospodinjstev na prebivalca, kaže, da bi lahko bile cene precenjene na Hrvaškem, Cipru in v Estoniji, medtem ko so znaki precenjenosti manj očitni za Dansko, Češko in Latvijo (glej evropsko gospodarsko napoved Evrop</w:t>
      </w:r>
      <w:r>
        <w:rPr>
          <w:rFonts w:ascii="Times New Roman" w:hAnsi="Times New Roman"/>
        </w:rPr>
        <w:t>ske komisije iz zime 2016, European Economy, Institutional Paper, št. 20, 2016 (okvir 1.4)).</w:t>
      </w:r>
    </w:p>
  </w:footnote>
  <w:footnote w:id="35">
    <w:p w:rsidR="00BB7D09" w:rsidRDefault="00A35831">
      <w:pPr>
        <w:jc w:val="both"/>
      </w:pPr>
      <w:r>
        <w:rPr>
          <w:rStyle w:val="FootnoteReference"/>
        </w:rPr>
        <w:footnoteRef/>
      </w:r>
      <w:r>
        <w:t xml:space="preserve"> Države, o katerih se poroča, so tiste, pri katerih so stopnje rasti realnih cen stanovanjskih nepremičnin v prvi polovici leta 2018 nad ali pod letno stopnjo ras</w:t>
      </w:r>
      <w:r>
        <w:t>ti v letu 2017 za vsaj 2 odstotni točki.</w:t>
      </w:r>
    </w:p>
  </w:footnote>
  <w:footnote w:id="36">
    <w:p w:rsidR="00BB7D09" w:rsidRDefault="00A35831">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Kazalnik </w:t>
      </w:r>
      <w:r>
        <w:rPr>
          <w:rFonts w:ascii="Times New Roman" w:hAnsi="Times New Roman"/>
          <w:i/>
          <w:sz w:val="18"/>
        </w:rPr>
        <w:t>stopnje tveganja revščine ali socialne izključenosti</w:t>
      </w:r>
      <w:r>
        <w:rPr>
          <w:rFonts w:ascii="Times New Roman" w:hAnsi="Times New Roman"/>
          <w:sz w:val="18"/>
        </w:rPr>
        <w:t xml:space="preserve"> ustreza deležu oseb, ki so ranljive po najmanj enem od treh socialnih kazalnikov: (1) </w:t>
      </w:r>
      <w:r>
        <w:rPr>
          <w:rFonts w:ascii="Times New Roman" w:hAnsi="Times New Roman"/>
          <w:i/>
          <w:sz w:val="18"/>
        </w:rPr>
        <w:t>stopnja tveganja revščine</w:t>
      </w:r>
      <w:r>
        <w:rPr>
          <w:rFonts w:ascii="Times New Roman" w:hAnsi="Times New Roman"/>
          <w:sz w:val="18"/>
        </w:rPr>
        <w:t xml:space="preserve">, ki meri denarno revščino v primerjavi </w:t>
      </w:r>
      <w:r>
        <w:rPr>
          <w:rFonts w:ascii="Times New Roman" w:hAnsi="Times New Roman"/>
          <w:sz w:val="18"/>
        </w:rPr>
        <w:t xml:space="preserve">z nacionalno porazdelitvijo dohodka in se izračuna kot delež oseb z razpoložljivim dohodkom (prilagojenim glede na sestavo gospodinjstva), ki je nižji od 60 % nacionalne mediane; (2) </w:t>
      </w:r>
      <w:r>
        <w:rPr>
          <w:rFonts w:ascii="Times New Roman" w:hAnsi="Times New Roman"/>
          <w:i/>
          <w:sz w:val="18"/>
        </w:rPr>
        <w:t>resna materialna prikrajšanost</w:t>
      </w:r>
      <w:r>
        <w:rPr>
          <w:rFonts w:ascii="Times New Roman" w:hAnsi="Times New Roman"/>
          <w:sz w:val="18"/>
        </w:rPr>
        <w:t>, ki zajema kazalnike, ki se nanašajo na po</w:t>
      </w:r>
      <w:r>
        <w:rPr>
          <w:rFonts w:ascii="Times New Roman" w:hAnsi="Times New Roman"/>
          <w:sz w:val="18"/>
        </w:rPr>
        <w:t xml:space="preserve">manjkanje virov, in predstavlja delež oseb, ki so prikrajšane pri najmanj štirih od devetih elementov prikrajšanosti zaradi nezmožnosti, da bi si lahko privoščile nekatere določene vrste izdatkov; (3) </w:t>
      </w:r>
      <w:r>
        <w:rPr>
          <w:rFonts w:ascii="Times New Roman" w:hAnsi="Times New Roman"/>
          <w:i/>
          <w:sz w:val="18"/>
        </w:rPr>
        <w:t>osebe, ki živijo v gospodinjstvih z zelo nizko intenziv</w:t>
      </w:r>
      <w:r>
        <w:rPr>
          <w:rFonts w:ascii="Times New Roman" w:hAnsi="Times New Roman"/>
          <w:i/>
          <w:sz w:val="18"/>
        </w:rPr>
        <w:t>nostjo dela</w:t>
      </w:r>
      <w:r>
        <w:rPr>
          <w:rFonts w:ascii="Times New Roman" w:hAnsi="Times New Roman"/>
          <w:sz w:val="18"/>
        </w:rPr>
        <w:t>, so osebe, stare 0–59 let, ki živijo v gospodinjstvih, v katerih so bili odrasli (osebe v starosti 18–59 let) v preteklem letu zaposleni za manj kot 20 % skupnega delovnega potenciala. Referenčno obdobje za dohodke pri podatkih, na katerih teme</w:t>
      </w:r>
      <w:r>
        <w:rPr>
          <w:rFonts w:ascii="Times New Roman" w:hAnsi="Times New Roman"/>
          <w:sz w:val="18"/>
        </w:rPr>
        <w:t>ljijo ti kazalniki, je fiksno 12-mesečno obdobje, kot je prejšnje koledarsko ali davčno leto, na katerega se nanašajo podatki, za vse države, razen za Združeno kraljestvo, za katero je referenčno obdobje za dohodke tekoče leto, in Irsko, za katero je razis</w:t>
      </w:r>
      <w:r>
        <w:rPr>
          <w:rFonts w:ascii="Times New Roman" w:hAnsi="Times New Roman"/>
          <w:sz w:val="18"/>
        </w:rPr>
        <w:t xml:space="preserve">kava neprekinjena in se podatki o prihodkih zbirajo za zadnjih dvanajstih mesecev. V času priprave tega poročila so bili podatki za leto 2017 na voljo za vse države, razen za Irsko in Združeno kraljestvo. </w:t>
      </w:r>
    </w:p>
  </w:footnote>
  <w:footnote w:id="37">
    <w:p w:rsidR="00BB7D09" w:rsidRPr="00A35831" w:rsidRDefault="00A35831">
      <w:r>
        <w:rPr>
          <w:rStyle w:val="FootnoteReference"/>
        </w:rPr>
        <w:footnoteRef/>
      </w:r>
      <w:r>
        <w:t xml:space="preserve"> Pogodbena proizvodnja je proces, pri katerem rez</w:t>
      </w:r>
      <w:r>
        <w:t>idenčne multinacionalne družbe izdajajo pogodbe tujim podjetjem za proizvodnjo blaga v njihovem imenu. Ker je to blago last rezidenčnih družb, se njegova prodaja evidentira kot izvoz rezidenčne države, čeprav ne vstopi v domače gospodarstvo.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jc w:val="center"/>
    </w:pPr>
  </w:p>
  <w:p w:rsidR="00BB7D09" w:rsidRDefault="00BB7D0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pPr>
      <w:jc w:val="center"/>
    </w:pPr>
  </w:p>
  <w:p w:rsidR="00BB7D09" w:rsidRDefault="00BB7D09"/>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D09" w:rsidRDefault="00BB7D0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55FD282-788D-4538-ADFE-96E01186CE5B"/>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uselj, "/>
    <w:docVar w:name="LW_EMISSION_SUFFIX" w:val=" "/>
    <w:docVar w:name="LW_ID_DOCTYPE_NONLW" w:val="CP-003"/>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VROPSKEMU PARLAMENTU, SVETU, EVROPSKI CENTRALNI BANKI IN EVROPSKEMU EKONOMSKO-SOCIALNEMU ODBORU_x000d__x000d__x000d__x000b__x000d__x000d__x000d__x000b_Poro\u269?ilo o mehanizmu opozarjanja za leto 2019_x000d__x000d__x000d__x000d__x000b__x000d__x000d__x000d__x000d__x000b_&lt;FMT:Font=Calibri CE&gt;(pripravljeno v skladu s \u269?lenoma 3 in 4 Uredbe (EU) \u353?t. 1176/2011 o prepre\u269?evanju in odpravljanju makroekonomskih neravnote\u382?ij)&lt;/FMT&gt;"/>
    <w:docVar w:name="LW_TYPE.DOC.CP" w:val="PORO\u268?ILO KOMISIJE"/>
  </w:docVars>
  <w:rsids>
    <w:rsidRoot w:val="00BB7D09"/>
    <w:rsid w:val="00A35831"/>
    <w:rsid w:val="00BB7D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706F682"/>
  <w15:docId w15:val="{DF120330-BF66-4601-865D-5524E3F5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sl-SI"/>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sl-SI"/>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 w:id="176228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FC75-6E7C-4E91-8BAD-8607FFE2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64</Pages>
  <Words>20136</Words>
  <Characters>116190</Characters>
  <Application>Microsoft Office Word</Application>
  <DocSecurity>0</DocSecurity>
  <Lines>1636</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HEILEMANN Stefanie (SG)</cp:lastModifiedBy>
  <cp:revision>40</cp:revision>
  <cp:lastPrinted>2018-11-16T11:26:00Z</cp:lastPrinted>
  <dcterms:created xsi:type="dcterms:W3CDTF">2018-11-20T09:55:00Z</dcterms:created>
  <dcterms:modified xsi:type="dcterms:W3CDTF">2018-11-26T11:25:00Z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