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FBACB619-47FE-4640-81CC-55EC57DF8BBA" style="width:450.75pt;height:447.7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24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lastRenderedPageBreak/>
        <w:t>1. MELLÉKLET</w:t>
      </w:r>
    </w:p>
    <w:p>
      <w:pPr>
        <w:spacing w:after="240" w:line="240" w:lineRule="auto"/>
        <w:jc w:val="center"/>
        <w:rPr>
          <w:rFonts w:ascii="Times New Roman Bold" w:hAnsi="Times New Roman Bold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 Bold" w:hAnsi="Times New Roman Bold"/>
          <w:b/>
          <w:noProof/>
          <w:color w:val="000000" w:themeColor="text1"/>
          <w:sz w:val="24"/>
        </w:rPr>
        <w:t>Az egységes piaci stratégia, a digitális egységes piaci stratégia, valamint a tőkepiaci unió/bankunió jelenlegi jogalkotási helyzete</w:t>
      </w:r>
      <w:r>
        <w:rPr>
          <w:rStyle w:val="FootnoteReference"/>
          <w:rFonts w:ascii="Times New Roman Bold" w:hAnsi="Times New Roman Bold"/>
          <w:b/>
          <w:noProof/>
          <w:color w:val="000000" w:themeColor="text1"/>
          <w:sz w:val="24"/>
        </w:rPr>
        <w:footnoteReference w:id="2"/>
      </w:r>
    </w:p>
    <w:tbl>
      <w:tblPr>
        <w:tblStyle w:val="TableGrid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867"/>
        <w:gridCol w:w="1851"/>
        <w:gridCol w:w="2220"/>
      </w:tblGrid>
      <w:tr>
        <w:trPr>
          <w:trHeight w:hRule="exact" w:val="1464"/>
          <w:jc w:val="center"/>
        </w:trPr>
        <w:tc>
          <w:tcPr>
            <w:tcW w:w="566" w:type="dxa"/>
            <w:tcBorders>
              <w:right w:val="nil"/>
            </w:tcBorders>
            <w:vAlign w:val="center"/>
          </w:tcPr>
          <w:p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66"/>
                <w:sz w:val="28"/>
              </w:rPr>
              <w:t>SZAKPOLITIKA MEGNEVEZÉSE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object w:dxaOrig="3225" w:dyaOrig="1920">
                <v:shape id="_x0000_i1026" type="#_x0000_t75" style="width:1in;height:42.75pt" o:ole="">
                  <v:imagedata r:id="rId19" o:title=""/>
                </v:shape>
                <o:OLEObject Type="Embed" ProgID="PBrush" ShapeID="_x0000_i1026" DrawAspect="Content" ObjectID="_1604826218" r:id="rId20"/>
              </w:object>
            </w:r>
          </w:p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EURÓPAI </w:t>
            </w:r>
          </w:p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PARLAMENT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object w:dxaOrig="2805" w:dyaOrig="2490">
                <v:shape id="_x0000_i1027" type="#_x0000_t75" style="width:50.25pt;height:42.75pt" o:ole="">
                  <v:imagedata r:id="rId21" o:title=""/>
                </v:shape>
                <o:OLEObject Type="Embed" ProgID="PBrush" ShapeID="_x0000_i1027" DrawAspect="Content" ObjectID="_1604826219" r:id="rId22"/>
              </w:objec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AZ EURÓPAI UNIÓ TANÁCSA</w:t>
            </w:r>
          </w:p>
        </w:tc>
      </w:tr>
      <w:tr>
        <w:trPr>
          <w:trHeight w:hRule="exact" w:val="560"/>
          <w:jc w:val="center"/>
        </w:trPr>
        <w:tc>
          <w:tcPr>
            <w:tcW w:w="8504" w:type="dxa"/>
            <w:gridSpan w:val="4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noProof/>
                <w:color w:val="00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66"/>
                <w:sz w:val="28"/>
              </w:rPr>
              <w:t>EGYSÉGES PIACI STRATÉGIA</w:t>
            </w:r>
          </w:p>
        </w:tc>
      </w:tr>
      <w:tr>
        <w:trPr>
          <w:trHeight w:hRule="exact" w:val="56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Egységes digitális ügyfélkapu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Bejelentési eljárás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Egységes piaci információs eszköz (SMIT)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Árucsomag (kölcsönös elismerés)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Árucsomag (megfelelés és jogérvényesítés)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9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Kiegészítő oltalmi tanúsítvány (SPC) - Gyártási mentesség</w:t>
            </w:r>
          </w:p>
        </w:tc>
        <w:tc>
          <w:tcPr>
            <w:tcW w:w="185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0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e-kártya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határokon átnyúló csomagkézbesítési szolgáltatásokról szóló rendelet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46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Arányossági vizsgálat a szabályozott szakmákra vonatkozó új szabályozások elfogadását megelőzően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5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Társasági jog csomag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601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Egészségügyi technológiaértékelés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601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Új megállapodás a fogyasztói érdekekért csomag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0"/>
          <w:jc w:val="center"/>
        </w:trPr>
        <w:tc>
          <w:tcPr>
            <w:tcW w:w="8504" w:type="dxa"/>
            <w:gridSpan w:val="4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66"/>
                <w:sz w:val="28"/>
              </w:rPr>
              <w:t>DIGITÁLIS EGYSÉGES PIAC</w:t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Internetkapcsolat a helyi közösségékben (WiFi4EU)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online tartalomszolgáltatás határokon átnyúló hordozhatósága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Barangolás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Fogyasztóvédelmi együttműködés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elektronikus kereskedelem hozzáadottérték-adója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Uniós intézmények és testületek általi adatvédelem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Elektronikus Hírközlési Kódex és a Szabályozók Európai Testülete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Audiovizuális médiaszolgáltatások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9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Szerzői jogi reform a látássérült személyek érdekében (a marrákesi szerződés végrehajtása)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9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Hozzáférhető formátumú példányok a látássérült személyek számára (a marrákesi szerződés végrehajtása)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470-790 MHz frekvenciasáv használata az Unióban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indokolatlan területi alapú tartalomkorlátozás kezelése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nem személyes adatok szabad áramlása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Digitális tartalomszolgáltatási szerződések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Internetes és egyéb távértékesítési szerződések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26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online közvetítési szolgáltatások üzleti felhasználóival szembeni tisztességesség (platformok és üzleti felhasználók közötti kapcsolatok)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Online adatvédelem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Szerzői jog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Műsorszórásról szóló rendelet (szerzői jog)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Kiberbiztonsági jogszabály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közszféra információinak (PSI) további felhasználása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.eu legfelső szintű doménnév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Kiberbiztonsági Kompetenciaközpont és hálózat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Nagy teljesítményű számítástechnika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elektronikus kiadványok hozzáadottérték-adója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0"/>
          <w:jc w:val="center"/>
        </w:trPr>
        <w:tc>
          <w:tcPr>
            <w:tcW w:w="8504" w:type="dxa"/>
            <w:gridSpan w:val="4"/>
            <w:shd w:val="clear" w:color="auto" w:fill="D9D9D9" w:themeFill="background1" w:themeFillShade="D9"/>
            <w:vAlign w:val="center"/>
          </w:tcPr>
          <w:p>
            <w:pPr>
              <w:keepNext/>
              <w:rPr>
                <w:rFonts w:ascii="Times New Roman" w:hAnsi="Times New Roman" w:cs="Times New Roman"/>
                <w:b/>
                <w:noProof/>
                <w:color w:val="00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66"/>
                <w:sz w:val="28"/>
              </w:rPr>
              <w:t>TŐKEPIACI UNIÓ / BANKUNIÓ</w:t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Egyszerű, átlátható és egységesített értékpapírosítás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Kibocsátási tájékoztató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Európai kockázatitőke-alap (EuVECA)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Megelőző szerkezetátalakítási, második esélyt nyújtó és hatékonysági eljárások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Páneurópai magánnyugdíjtermék (PEPP)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európai felügyeleti hatóságok felülvizsgálata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Uniós közösségi finanszírozási keret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Európai fedezett kötvények kerete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56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befektetési források határokon átnyúló elosztásának elősegítése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követelések engedményezésének harmadik felekre gyakorolt hatásai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kkv-tőkefinanszírozási piac előmozdítása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7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befektetési vállalkozásokra vonatkozó arányosabb és hatékonyabb szabályok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7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Európai piaci infrastruktúra-rendelet (Felügyelet)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Európai piaci infrastruktúra-rendelet (célravezető szabályozás)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központi szerződő felek helyreállítása és szanálása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3399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Fenntartható finanszírozás: Taxonómia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32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Fenntartható finanszírozás: Tájékoztatási kötelezettség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Fenntartható finanszírozás: Karbonszegénységi referenciamutatók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fedezetlen, hitelviszonyt megtestesítő instrumentumoknak a kielégítési sorrendben elfoglalt helye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Európai betétbiztosítási rendszer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tőkekövetelmények reformja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veszteségelnyelő képesség és feltőkésítés (rendelet és irányelv)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hitelintézetek és befektetési vállalkozások felügyelete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8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nemteljesítő hitelek másodlagos piacaink továbbfejlesztése, beleértve a hatékonyabb értékvisszaszerzést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nemteljesítő kitettségre vonatkozó minimális veszteségfedezet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0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Az uniós államkötvény-fedezetű értékpapírok kidolgozását elősegítő keret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61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Közös védőháló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62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Európai Stratégiai Beruházási Alap 2.0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998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gazdasági és monetáris unió elmélyítése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814"/>
          <w:jc w:val="center"/>
        </w:trPr>
        <w:tc>
          <w:tcPr>
            <w:tcW w:w="566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3399"/>
              </w:rPr>
            </w:pPr>
          </w:p>
        </w:tc>
        <w:tc>
          <w:tcPr>
            <w:tcW w:w="3867" w:type="dxa"/>
            <w:shd w:val="clear" w:color="auto" w:fill="DBE5F1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color w:val="000066"/>
              </w:rPr>
            </w:pPr>
            <w:r>
              <w:rPr>
                <w:rFonts w:ascii="Times New Roman" w:hAnsi="Times New Roman"/>
                <w:b/>
                <w:noProof/>
                <w:color w:val="000066"/>
              </w:rPr>
              <w:t>A készpénz-helyettesítő fizetési eszközökkel összefüggő csalás és hamisítás elleni küzdelem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99"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200025" cy="209550"/>
                  <wp:effectExtent l="0" t="0" r="952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noProof/>
          <w:color w:val="000000" w:themeColor="text1"/>
          <w:sz w:val="20"/>
          <w:szCs w:val="20"/>
        </w:rPr>
      </w:pPr>
    </w:p>
    <w:p>
      <w:pPr>
        <w:rPr>
          <w:b/>
          <w:noProof/>
          <w:color w:val="003399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n-GB" w:eastAsia="en-GB" w:bidi="ar-SA"/>
        </w:rPr>
        <w:drawing>
          <wp:inline distT="0" distB="0" distL="0" distR="0">
            <wp:extent cx="20955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0"/>
        </w:rPr>
        <w:t xml:space="preserve"> </w:t>
      </w:r>
      <w:r>
        <w:rPr>
          <w:b/>
          <w:noProof/>
          <w:color w:val="003399"/>
          <w:sz w:val="20"/>
        </w:rPr>
        <w:t>AZ ÖSSZES UNIÓS INTÉZMÉNY HATÁROZOTT POLITIKAI ELKÖTELEZETTSÉGE ESETÉN LEHETSÉGES A MEGÁLLAPODÁS</w:t>
      </w:r>
    </w:p>
    <w:p>
      <w:pPr>
        <w:rPr>
          <w:b/>
          <w:noProof/>
          <w:color w:val="003399"/>
          <w:sz w:val="20"/>
          <w:szCs w:val="20"/>
        </w:rPr>
      </w:pPr>
      <w:r>
        <w:rPr>
          <w:b/>
          <w:noProof/>
          <w:color w:val="003399"/>
          <w:sz w:val="20"/>
          <w:szCs w:val="20"/>
          <w:lang w:val="en-GB" w:eastAsia="en-GB" w:bidi="ar-SA"/>
        </w:rPr>
        <w:drawing>
          <wp:inline distT="0" distB="0" distL="0" distR="0">
            <wp:extent cx="2000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3399"/>
          <w:sz w:val="20"/>
        </w:rPr>
        <w:t>GYORS MEGÁLLAPODÁS LEHETSÉGES A SZOKÁSOS ELJÁRÁSOKAT KÖVETVE</w:t>
      </w:r>
    </w:p>
    <w:p>
      <w:pPr>
        <w:rPr>
          <w:b/>
          <w:noProof/>
          <w:color w:val="003399"/>
          <w:sz w:val="20"/>
          <w:szCs w:val="20"/>
        </w:rPr>
      </w:pPr>
      <w:r>
        <w:rPr>
          <w:b/>
          <w:noProof/>
          <w:color w:val="003399"/>
          <w:sz w:val="20"/>
          <w:szCs w:val="20"/>
          <w:lang w:val="en-GB" w:eastAsia="en-GB" w:bidi="ar-SA"/>
        </w:rPr>
        <w:drawing>
          <wp:inline distT="0" distB="0" distL="0" distR="0">
            <wp:extent cx="20002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3399"/>
          <w:sz w:val="20"/>
        </w:rPr>
        <w:t xml:space="preserve"> AZ ELŐTERJESZTÉS MEGTÖRTÉNT, ÉS MEGEGYEZÉS SZÜLETETT</w:t>
      </w:r>
    </w:p>
    <w:p>
      <w:pPr>
        <w:rPr>
          <w:b/>
          <w:noProof/>
          <w:color w:val="003399"/>
          <w:sz w:val="20"/>
          <w:szCs w:val="20"/>
        </w:rPr>
      </w:pPr>
      <w:r>
        <w:rPr>
          <w:noProof/>
        </w:rPr>
        <w:br w:type="page"/>
      </w:r>
    </w:p>
    <w:p>
      <w:pPr>
        <w:spacing w:after="24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2. MELLÉKLET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Példák a javasolt és már elfogadott kezdeményezéseknek az egységes piacot érintő előnyeire</w:t>
      </w:r>
    </w:p>
    <w:tbl>
      <w:tblPr>
        <w:tblStyle w:val="TableGrid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755"/>
      </w:tblGrid>
      <w:tr>
        <w:trPr>
          <w:jc w:val="center"/>
        </w:trPr>
        <w:tc>
          <w:tcPr>
            <w:tcW w:w="8755" w:type="dxa"/>
            <w:shd w:val="clear" w:color="auto" w:fill="C6D9F1" w:themeFill="text2" w:themeFillTint="33"/>
          </w:tcPr>
          <w:p>
            <w:pPr>
              <w:spacing w:after="12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A már elfogadott kezdeményezések előnyei:</w:t>
            </w:r>
          </w:p>
          <w:p>
            <w:pPr>
              <w:pStyle w:val="ListBullet"/>
              <w:numPr>
                <w:ilvl w:val="0"/>
                <w:numId w:val="14"/>
              </w:numPr>
              <w:spacing w:after="120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Az Európai Elektronikus Hírközlési Kódex létrehozásáról szóló irányelv</w:t>
            </w:r>
            <w:r>
              <w:rPr>
                <w:noProof/>
              </w:rPr>
              <w:t xml:space="preserve">, amelyről 2018. június 6-án született megállapodás a társjogalkotók között, 2025-ben összesen 1,45 %-kal járulhat hozzá a gazdasági növekedéshez és 0,18 %-kal a foglalkoztatáshoz, a 2025-ig kifejtett összesített hatása pedig 910 milliárd eurós értékű gazdasági tevékenységben és 1,304 millió létrejövő további munkahelyben mutatkozhat meg. Becslések szerint 155 milliárd eurót tesz ki azoknak a beruházásoknak a teljes hiánya, amelyekre ahhoz lenne szükség, hogy az Unió elérje a 2025-re vonatkozó összekapcsoltsági célkitűzéseit, többek között az 5G folyosók megvalósítását. A Kódex hozzájárul e hiány csökkentéséhez azáltal, hogy stabil szabályozási keretet hoz létre, amely minden területen ösztönzi a magánszereplők befektetéseit. Egyes vidéki és távoli területeken, ahol hiányoznak a befektetések piaci ösztönzői, a széles sávú rendszerbe irányuló beruházások számára biztosított köztámogatás kiegészítő szerepet tölthet be. A Bizottság az új többéves pénzügyi keretre vonatkozó javasat keretében tett javaslatot erre a támogatásra, amely többek között az európai strukturális és beruházási alapok keretében kerül folyósításra. Az 5G sikeres kiépítéséhez a tagállamok és az érdekelt felek összehangolt fellépése szükséges, az 5G cselekvési tervnek megfelelően. Mindenekelőtt Unió-szerte következetes </w:t>
            </w:r>
            <w:r>
              <w:rPr>
                <w:i/>
                <w:noProof/>
              </w:rPr>
              <w:t>spektrummegosztási modellre</w:t>
            </w:r>
            <w:r>
              <w:rPr>
                <w:noProof/>
              </w:rPr>
              <w:t xml:space="preserve"> van szükség az autópályák mentén, a szállításban, a közszolgáltatásokban és az egészségügyi ellátásban jelentkező igényekre való reagáláshoz. Az 5G-nek az egész Unióban történő sikeres, gyors és összehangolt kiépítése rendkívül jelentős gazdasági hasznokkal jár, amelyek becslések szerint évente 146 milliárd eurót tesznek ki, és 2,39 millió munkahelyet hoznak létre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.</w:t>
            </w:r>
          </w:p>
          <w:p>
            <w:pPr>
              <w:pStyle w:val="ListBullet"/>
              <w:numPr>
                <w:ilvl w:val="0"/>
                <w:numId w:val="14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A társjogalkotók által 2018. október 2-án aláírt, </w:t>
            </w:r>
            <w:r>
              <w:rPr>
                <w:b/>
                <w:i/>
                <w:noProof/>
              </w:rPr>
              <w:t>egységes digitális ügyfélkapu létrehozásáról szóló rendelet nyomán határokon átnyúló online elektronikus kormányzati szolgáltatások</w:t>
            </w:r>
            <w:r>
              <w:rPr>
                <w:noProof/>
              </w:rPr>
              <w:t xml:space="preserve"> jönnek létre abból a célból, hogy hozzáférést biztosítsanak az információkhoz, eljárásokhoz, valamint a segítségnyújtáshoz és a problémamegoldó szolgáltatásokhoz. Komoly akadályok állnak azok előtt a polgárok és vállalkozások előtt, akik/amelyek érdeklődnek a más uniós országba való költözés, ottani termékértékesítés és szolgáltatásnyújtás iránt. Az egységes piac előnyeit kihasználni kívánó személyek számára döntő fontosságú, de továbbra is gyakran bonyolult, időigényes és drága – ha egyáltalán lehetséges –, hogy az interneten releváns, pontos és megbízható információkhoz jussanak, valamint hogy képesek legyenek online elérni és lefolytatni a közigazgatási eljárásokat. </w:t>
            </w:r>
            <w:bookmarkStart w:id="2" w:name="_Hlk492644435"/>
            <w:r>
              <w:rPr>
                <w:noProof/>
              </w:rPr>
              <w:t>A rendelet – jogszabályi szinten első alkalommal – érvényesíti a határokon túli egyszeri adatszolgáltatás elvét, így a polgárok nem kötelezhetők azon adatok ismételt benyújtására, amelyeket már megadtak a nemzeti hatóságoknak. A polgároknak, mielőtt külföldre indulnának, a jelenlegi 1,5 millió óránál 60 %-kal kevesebb időt kell eltölteniük hét lényeges témakörre vonatkozó online keresésessel. A vállalkozások 11 és 55 milliárd euró közötti éves megtakarításhoz jutnak csupán kilenc üzleti témakörre való keresés tekintetében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 xml:space="preserve">. </w:t>
            </w:r>
            <w:bookmarkEnd w:id="2"/>
          </w:p>
          <w:p>
            <w:pPr>
              <w:pStyle w:val="ListBullet"/>
              <w:numPr>
                <w:ilvl w:val="0"/>
                <w:numId w:val="14"/>
              </w:numPr>
              <w:spacing w:after="120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A határokon átnyúló fogyasztói elektronikus kereskedelemre vonatkozó hozzáadottérték-adó (héa) korszerűsítése</w:t>
            </w:r>
            <w:r>
              <w:rPr>
                <w:noProof/>
              </w:rPr>
              <w:t xml:space="preserve"> – ami a 2017. december 5-i (EU) 2017/2455 tanácsi irányelv révén valósul meg – egyszerűsíti a határokon átnyúló elektronikus kereskedelemmel kapcsolatos, bonyolult hozzáadottértékadó-kötelezettségeket, és egyenlő versenyfeltételeket teremt az uniós vállalkozások, valamint a harmadik országbeli vállalkozások között, amelyek gyakran szabálytalanul értékesítettek hozzáadottértékadó-mentesen. A javaslat 2021-től várhatóan évi 2,3 milliárd euróval csökkenti a vállalkozásoknak a hozzáadottérték-adóra vonatkozó kötelezettségek teljesítéséből adódó költségeit, ugyanakkor pedig 7 milliárd euróval növeli a tagállamok hozzáadottérték-adó bevételeit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755"/>
      </w:tblGrid>
      <w:tr>
        <w:trPr>
          <w:jc w:val="center"/>
        </w:trPr>
        <w:tc>
          <w:tcPr>
            <w:tcW w:w="8755" w:type="dxa"/>
            <w:shd w:val="clear" w:color="auto" w:fill="C6D9F1" w:themeFill="text2" w:themeFillTint="33"/>
          </w:tcPr>
          <w:p>
            <w:pPr>
              <w:rPr>
                <w:rFonts w:ascii="Times New Roman" w:hAnsi="Times New Roman" w:cs="Times New Roman"/>
                <w:b/>
                <w:i/>
                <w:noProof/>
                <w:sz w:val="24"/>
              </w:rPr>
            </w:pPr>
            <w:r>
              <w:rPr>
                <w:noProof/>
              </w:rPr>
              <w:br w:type="page"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Példák a jelenleg a társjogalkotók előtt függőben lévő kezdeményezések előnyeire:</w:t>
            </w:r>
          </w:p>
          <w:p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noProof/>
                <w:szCs w:val="22"/>
              </w:rPr>
            </w:pPr>
          </w:p>
          <w:p>
            <w:pPr>
              <w:pStyle w:val="ListBullet"/>
              <w:numPr>
                <w:ilvl w:val="0"/>
                <w:numId w:val="14"/>
              </w:numPr>
              <w:spacing w:after="0"/>
              <w:rPr>
                <w:noProof/>
                <w:szCs w:val="22"/>
              </w:rPr>
            </w:pPr>
            <w:r>
              <w:rPr>
                <w:b/>
                <w:i/>
                <w:noProof/>
              </w:rPr>
              <w:t>A digitális egységes piaci stratégia keretében tett, adatokra vonatkozó javaslatok (a nem személyes adatok szabad áramlása és a közszféra információi)</w:t>
            </w:r>
            <w:r>
              <w:rPr>
                <w:noProof/>
              </w:rPr>
              <w:t xml:space="preserve"> hozzá fognak járulni ahhoz, hogy az európai adatgazdaság 2020-ig 700 milliárd euróra növekedjen, ami az uniós gazdaság 4 %-ának felel meg (szemben a 2016-os 2 %-kal). Jóllehet a lehetőségek egy részét már megvalósították a nem személyes adatok szabad áramlásáról szóló rendelet elfogadása révén, a közszektor információinak fokozott rendelkezésre állását előmozdító aktualizált szabályok elfogadása 2028-ig 145 milliárd euróról 215 milliárd euróra növelheti az ilyen információk további felhasználásának értéket, és ez további 200 000, adatokkal kapcsolatos munkahely létrejöttében mutatkozhat meg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 xml:space="preserve">. </w:t>
            </w:r>
          </w:p>
          <w:p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noProof/>
                <w:szCs w:val="22"/>
              </w:rPr>
            </w:pPr>
          </w:p>
          <w:p>
            <w:pPr>
              <w:pStyle w:val="Default"/>
              <w:numPr>
                <w:ilvl w:val="0"/>
                <w:numId w:val="14"/>
              </w:numPr>
              <w:jc w:val="both"/>
              <w:rPr>
                <w:noProof/>
                <w:szCs w:val="22"/>
              </w:rPr>
            </w:pPr>
            <w:r>
              <w:rPr>
                <w:noProof/>
              </w:rPr>
              <w:t xml:space="preserve">Az Európai Bizottság által előterjesztett, </w:t>
            </w:r>
            <w:r>
              <w:rPr>
                <w:b/>
                <w:i/>
                <w:noProof/>
              </w:rPr>
              <w:t>a közös konszolidált társaságiadó-alapra (KKTA)</w:t>
            </w:r>
            <w:r>
              <w:rPr>
                <w:noProof/>
              </w:rPr>
              <w:t xml:space="preserve"> vonatkozó javaslat célja az egységes piacon belüli méltányos adózás és az egyenlő versenyfeltételek fokozása. </w:t>
            </w:r>
            <w:r>
              <w:rPr>
                <w:b/>
                <w:i/>
                <w:noProof/>
              </w:rPr>
              <w:t>A közös konszolidált társaságiadó-alap teljes körű alkalmazását követően akár 3,4 %-kal növelheti az Unión belüli összes befektetést a K+F befektetések és a sajáttőke-bevonás ösztönzés révén.</w:t>
            </w:r>
            <w:r>
              <w:rPr>
                <w:noProof/>
              </w:rPr>
              <w:t>A vállalkozásoktól mostantól egységes szabályokat alkalmazhatnak és együttműködhetnek a belföldi adóhatósággal az összes uniós tevékenységükre vonatkozó adóbevallás elkészítése érdekében. A közös konszolidált társaságiadó-alap révén előreláthatóan 8 %-kal csökkenni fog az éves megfelelési tevékenységekre fordított idő, a leányvállalatok létrehozására fordított idő pedig akár 67 %-kal is csökkenhet, ami megkönnyíti a vállalatok, köztük a kis- és középvállalkozások külföldi letelepedését. Ösztönzést kapnak a növekedésbarát tevékenységek, így a kutatás-fejlesztési befektetések és a sajáttőke-bevonás, ami elősegíti a növekedés, a munkahelyteremtés és a beruházások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 xml:space="preserve"> általánosabb céljait. </w:t>
            </w:r>
          </w:p>
          <w:p>
            <w:pPr>
              <w:pStyle w:val="Default"/>
              <w:ind w:left="360"/>
              <w:rPr>
                <w:noProof/>
                <w:szCs w:val="22"/>
              </w:rPr>
            </w:pPr>
          </w:p>
          <w:p>
            <w:pPr>
              <w:pStyle w:val="Default"/>
              <w:numPr>
                <w:ilvl w:val="0"/>
                <w:numId w:val="14"/>
              </w:numPr>
              <w:jc w:val="both"/>
              <w:rPr>
                <w:noProof/>
                <w:szCs w:val="22"/>
              </w:rPr>
            </w:pPr>
            <w:r>
              <w:rPr>
                <w:noProof/>
              </w:rPr>
              <w:t xml:space="preserve">A 3. mobilitási csomag keretében a Bizottsága szállítási és logisztikai bürokrácia csökkentését javasolta </w:t>
            </w:r>
            <w:r>
              <w:rPr>
                <w:b/>
                <w:i/>
                <w:noProof/>
              </w:rPr>
              <w:t>az elektronikus áruszállítási információs rendszerről szóló rendeletre</w:t>
            </w:r>
            <w:r>
              <w:rPr>
                <w:noProof/>
              </w:rPr>
              <w:t xml:space="preserve"> irányuló javaslatában.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E javaslat célja annak garantálása, hogy a hatóságok elfogadják a rakományt kísérő, elektronikusan benyújtott okmányokat, ha azok biztonságos és tanúsítvánnyal rendelkező digitális platformokon állnak rendelkezésre. E javaslat 2040-ig 20–27 milliárd euró megtakarítást eredményezhet a szállítási ágazat számára, ami 75–102 millió munkaórával egyenértékű. E megtakarítások 60 %-ához a közúti fuvarozók juthatnak hozzá, amelyek az esetek 99 %-ában kis- és középvállalkozások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 xml:space="preserve">. </w:t>
            </w:r>
          </w:p>
          <w:p>
            <w:pPr>
              <w:pStyle w:val="Default"/>
              <w:jc w:val="both"/>
              <w:rPr>
                <w:noProof/>
                <w:szCs w:val="22"/>
              </w:rPr>
            </w:pPr>
          </w:p>
          <w:p>
            <w:pPr>
              <w:pStyle w:val="Default"/>
              <w:numPr>
                <w:ilvl w:val="0"/>
                <w:numId w:val="14"/>
              </w:numPr>
              <w:jc w:val="both"/>
              <w:rPr>
                <w:noProof/>
                <w:szCs w:val="22"/>
              </w:rPr>
            </w:pPr>
            <w:r>
              <w:rPr>
                <w:noProof/>
              </w:rPr>
              <w:t xml:space="preserve">A Bizottság az egyszer használatos műanyagokra irányuló, új uniós szintű szabályokat javasolt </w:t>
            </w:r>
            <w:r>
              <w:rPr>
                <w:b/>
                <w:i/>
                <w:noProof/>
              </w:rPr>
              <w:t>az egyes műanyagtermékek környezetre gyakorolt hatásának csökkentéséről szóló irányelv</w:t>
            </w:r>
            <w:r>
              <w:rPr>
                <w:noProof/>
              </w:rPr>
              <w:t xml:space="preserve"> révén.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Elfogadása esetén ez az irányelv 2030-ra 3,4 millió tonna CO₂-egyenértéknyi megtakarítás érne el, és megakadályozná (23 milliárd eurónak megfelelő értékű) környezeti kár bekövetkezését. A fogyasztók mintegy 6,5 milliárd eurót takarítanának meg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.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3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361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Az Európai Parlament és a Tanács által jelenleg tárgyalt, az egységes piaccal kapcsolatos jogalkotási kezdeményezések átfogó jegyzéke a Bizottság 2019. évi munkaprogramjának (COM(2018) 800) mellékletét képezi.</w:t>
      </w:r>
    </w:p>
  </w:footnote>
  <w:footnote w:id="3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hatásvizsgálata, SWD(2016) 303.</w:t>
      </w:r>
    </w:p>
  </w:footnote>
  <w:footnote w:id="4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hatásvizsgálata, SWD(2017) 213.</w:t>
      </w:r>
    </w:p>
  </w:footnote>
  <w:footnote w:id="5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hatásvizsgálata, SWD(2016) 379.</w:t>
      </w:r>
    </w:p>
  </w:footnote>
  <w:footnote w:id="6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hatásvizsgálatai, SWD(2017) 304 és SWD(2018) 127.</w:t>
      </w:r>
    </w:p>
  </w:footnote>
  <w:footnote w:id="7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hatásvizsgálata, SWD(2016) 341.</w:t>
      </w:r>
    </w:p>
  </w:footnote>
  <w:footnote w:id="8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hatásvizsgálata, SWD(2018) 183.</w:t>
      </w:r>
    </w:p>
  </w:footnote>
  <w:footnote w:id="9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A Bizottság hatásvizsgálata, SWD(2018) 254.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09C"/>
    <w:multiLevelType w:val="hybridMultilevel"/>
    <w:tmpl w:val="849CB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10DAA"/>
    <w:multiLevelType w:val="hybridMultilevel"/>
    <w:tmpl w:val="4B02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6CDC"/>
    <w:multiLevelType w:val="hybridMultilevel"/>
    <w:tmpl w:val="6B54ED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54F"/>
    <w:multiLevelType w:val="hybridMultilevel"/>
    <w:tmpl w:val="3E9083A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D9019B"/>
    <w:multiLevelType w:val="hybridMultilevel"/>
    <w:tmpl w:val="AA90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BF9"/>
    <w:multiLevelType w:val="hybridMultilevel"/>
    <w:tmpl w:val="7430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3AB"/>
    <w:multiLevelType w:val="hybridMultilevel"/>
    <w:tmpl w:val="598E0362"/>
    <w:lvl w:ilvl="0" w:tplc="8C6A2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55C41AE3"/>
    <w:multiLevelType w:val="hybridMultilevel"/>
    <w:tmpl w:val="65748962"/>
    <w:lvl w:ilvl="0" w:tplc="8C6A2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22EC7"/>
    <w:multiLevelType w:val="hybridMultilevel"/>
    <w:tmpl w:val="EA42694C"/>
    <w:lvl w:ilvl="0" w:tplc="B8C87C32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295C"/>
    <w:multiLevelType w:val="hybridMultilevel"/>
    <w:tmpl w:val="8B70D6F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BACB619-47FE-4640-81CC-55EC57DF8BBA"/>
    <w:docVar w:name="LW_COVERPAGE_TYPE" w:val="1"/>
    <w:docVar w:name="LW_CROSSREFERENCE" w:val="&lt;UNUSED&gt;"/>
    <w:docVar w:name="LW_DocType" w:val="NORMAL"/>
    <w:docVar w:name="LW_EMISSION" w:val="2018.11.22."/>
    <w:docVar w:name="LW_EMISSION_ISODATE" w:val="2018-11-22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gységes piac a változó világban_x000b__x000b_Páratlan eszköz, amelyhez megújított politikai elkötelezettség szükséges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7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EK_x000b_"/>
    <w:docVar w:name="LW_TYPEACTEPRINCIPAL.CP" w:val="A BIZOTTSÁG KÖZLEMÉNYE AZ EURÓPAI PARLAMENTNEK, AZ EURÓPAI TANÁCSNAK, A TANÁCSNAK, AZ EURÓPAI GAZDASÁGI ÉS SZOCIÁLIS BIZOTTSÁGNAK ÉS A RÉGIÓK BIZOTTSÁGÁNAK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A9">
    <w:name w:val="A9"/>
    <w:uiPriority w:val="99"/>
    <w:rPr>
      <w:color w:val="000000"/>
      <w:sz w:val="16"/>
    </w:rPr>
  </w:style>
  <w:style w:type="paragraph" w:customStyle="1" w:styleId="Pa5">
    <w:name w:val="Pa5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EC Square Sans Pro Medium" w:hAnsi="EC Square Sans Pro Medium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semiHidden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A9">
    <w:name w:val="A9"/>
    <w:uiPriority w:val="99"/>
    <w:rPr>
      <w:color w:val="000000"/>
      <w:sz w:val="16"/>
    </w:rPr>
  </w:style>
  <w:style w:type="paragraph" w:customStyle="1" w:styleId="Pa5">
    <w:name w:val="Pa5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EC Square Sans Pro Medium" w:hAnsi="EC Square Sans Pro Medium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semiHidden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4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2.bin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A4E91E4F8467C41BA287E477D1B3A95" ma:contentTypeVersion="1" ma:contentTypeDescription="Create a new document in this library." ma:contentTypeScope="" ma:versionID="a96336c07120f4b798f79f67d92262c7">
  <xsd:schema xmlns:xsd="http://www.w3.org/2001/XMLSchema" xmlns:xs="http://www.w3.org/2001/XMLSchema" xmlns:p="http://schemas.microsoft.com/office/2006/metadata/properties" xmlns:ns3="6bd4a52e-2f99-4b15-8d06-554c40a38984" targetNamespace="http://schemas.microsoft.com/office/2006/metadata/properties" ma:root="true" ma:fieldsID="94ef65a6eda96269cea6906b956cad20" ns3:_="">
    <xsd:import namespace="6bd4a52e-2f99-4b15-8d06-554c40a3898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4a52e-2f99-4b15-8d06-554c40a3898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bd4a52e-2f99-4b15-8d06-554c40a38984">EN</EC_Collab_DocumentLanguage>
    <EC_Collab_Status xmlns="6bd4a52e-2f99-4b15-8d06-554c40a38984">Not Started</EC_Collab_Status>
    <EC_Collab_Reference xmlns="6bd4a52e-2f99-4b15-8d06-554c40a389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8BF7-98BB-42CA-B83E-0ECE1EFA8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74B81-DEC5-411E-A474-26C935C6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4a52e-2f99-4b15-8d06-554c40a38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ACDA0-AC75-4C88-AE5E-6FB6EEE8B388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bd4a52e-2f99-4b15-8d06-554c40a38984"/>
  </ds:schemaRefs>
</ds:datastoreItem>
</file>

<file path=customXml/itemProps4.xml><?xml version="1.0" encoding="utf-8"?>
<ds:datastoreItem xmlns:ds="http://schemas.openxmlformats.org/officeDocument/2006/customXml" ds:itemID="{1824801B-18AF-48C3-AF79-7903DABF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1366</Words>
  <Characters>10097</Characters>
  <Application>Microsoft Office Word</Application>
  <DocSecurity>0</DocSecurity>
  <Lines>458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SMC-12/11/2018 17:30h</vt:lpstr>
    </vt:vector>
  </TitlesOfParts>
  <Company>European Commission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SMC-12/11/2018 17:30h</dc:title>
  <dc:creator>kaimenakis</dc:creator>
  <cp:lastModifiedBy>WES PDFC Administrator</cp:lastModifiedBy>
  <cp:revision>12</cp:revision>
  <cp:lastPrinted>2018-11-09T12:48:00Z</cp:lastPrinted>
  <dcterms:created xsi:type="dcterms:W3CDTF">2018-11-19T18:40:00Z</dcterms:created>
  <dcterms:modified xsi:type="dcterms:W3CDTF">2018-11-27T11:17:00Z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0x010100258AA79CEB83498886A3A08681123250002A4E91E4F8467C41BA287E477D1B3A95</vt:lpwstr>
  </property>
  <property fmtid="{D5CDD505-2E9C-101B-9397-08002B2CF9AE}" pid="3" name="Level of sensitivity">
    <vt:lpwstr>Standard treatment</vt:lpwstr>
  </property>
  <property fmtid="{D5CDD505-2E9C-101B-9397-08002B2CF9AE}" pid="4" name="First annex">
    <vt:lpwstr>1</vt:lpwstr>
  </property>
  <property fmtid="{D5CDD505-2E9C-101B-9397-08002B2CF9AE}" pid="5" name="Last annex">
    <vt:lpwstr>2</vt:lpwstr>
  </property>
  <property fmtid="{D5CDD505-2E9C-101B-9397-08002B2CF9AE}" pid="6" name="Unique annex">
    <vt:lpwstr>0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DocStatus">
    <vt:lpwstr>Green</vt:lpwstr>
  </property>
  <property fmtid="{D5CDD505-2E9C-101B-9397-08002B2CF9AE}" pid="10" name="Created using">
    <vt:lpwstr>LW 6.0.1, Build 20180503</vt:lpwstr>
  </property>
  <property fmtid="{D5CDD505-2E9C-101B-9397-08002B2CF9AE}" pid="11" name="Last edited using">
    <vt:lpwstr>LW 6.0.1, Build 20180503</vt:lpwstr>
  </property>
</Properties>
</file>