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634F86EF-5FB0-4B75-A64A-B75E5525A11A" style="width:450.75pt;height:447.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after="240" w:line="240" w:lineRule="auto"/>
        <w:jc w:val="center"/>
        <w:rPr>
          <w:rFonts w:ascii="Times New Roman" w:hAnsi="Times New Roman" w:cs="Times New Roman"/>
          <w:b/>
          <w:noProof/>
          <w:color w:val="000000" w:themeColor="text1"/>
          <w:sz w:val="24"/>
          <w:szCs w:val="24"/>
          <w:u w:val="single"/>
        </w:rPr>
      </w:pPr>
      <w:bookmarkStart w:id="1" w:name="_GoBack"/>
      <w:bookmarkEnd w:id="1"/>
      <w:r>
        <w:rPr>
          <w:rFonts w:ascii="Times New Roman" w:hAnsi="Times New Roman"/>
          <w:b/>
          <w:noProof/>
          <w:color w:val="000000" w:themeColor="text1"/>
          <w:sz w:val="24"/>
          <w:u w:val="single"/>
        </w:rPr>
        <w:lastRenderedPageBreak/>
        <w:t>BILAGA 1</w:t>
      </w:r>
    </w:p>
    <w:p>
      <w:pPr>
        <w:spacing w:after="240" w:line="240" w:lineRule="auto"/>
        <w:jc w:val="center"/>
        <w:rPr>
          <w:rFonts w:ascii="Times New Roman Bold" w:hAnsi="Times New Roman Bold" w:cs="Times New Roman"/>
          <w:b/>
          <w:noProof/>
          <w:color w:val="000000" w:themeColor="text1"/>
          <w:sz w:val="24"/>
          <w:szCs w:val="24"/>
        </w:rPr>
      </w:pPr>
      <w:r>
        <w:rPr>
          <w:rFonts w:ascii="Times New Roman Bold" w:hAnsi="Times New Roman Bold"/>
          <w:b/>
          <w:noProof/>
          <w:color w:val="000000" w:themeColor="text1"/>
          <w:sz w:val="24"/>
        </w:rPr>
        <w:t>Lagförslag inom ramen för strategin för den inre marknaden, den digitala inre marknaden och kapitalmarknadsunionen/bankunionen</w:t>
      </w:r>
      <w:r>
        <w:rPr>
          <w:rStyle w:val="FootnoteReference"/>
          <w:rFonts w:ascii="Times New Roman Bold" w:hAnsi="Times New Roman Bold"/>
          <w:b/>
          <w:noProof/>
          <w:color w:val="000000" w:themeColor="text1"/>
          <w:sz w:val="24"/>
        </w:rPr>
        <w:footnoteReference w:id="2"/>
      </w:r>
    </w:p>
    <w:tbl>
      <w:tblPr>
        <w:tblStyle w:val="TableGrid"/>
        <w:tblW w:w="8504" w:type="dxa"/>
        <w:jc w:val="center"/>
        <w:tblLayout w:type="fixed"/>
        <w:tblLook w:val="04A0" w:firstRow="1" w:lastRow="0" w:firstColumn="1" w:lastColumn="0" w:noHBand="0" w:noVBand="1"/>
      </w:tblPr>
      <w:tblGrid>
        <w:gridCol w:w="566"/>
        <w:gridCol w:w="3867"/>
        <w:gridCol w:w="1851"/>
        <w:gridCol w:w="2220"/>
      </w:tblGrid>
      <w:tr>
        <w:trPr>
          <w:trHeight w:hRule="exact" w:val="1464"/>
          <w:jc w:val="center"/>
        </w:trPr>
        <w:tc>
          <w:tcPr>
            <w:tcW w:w="566" w:type="dxa"/>
            <w:tcBorders>
              <w:right w:val="nil"/>
            </w:tcBorders>
            <w:vAlign w:val="center"/>
          </w:tcPr>
          <w:p>
            <w:pPr>
              <w:ind w:left="360"/>
              <w:jc w:val="center"/>
              <w:rPr>
                <w:rFonts w:ascii="Times New Roman" w:hAnsi="Times New Roman" w:cs="Times New Roman"/>
                <w:b/>
                <w:noProof/>
                <w:color w:val="003399"/>
              </w:rPr>
            </w:pPr>
          </w:p>
        </w:tc>
        <w:tc>
          <w:tcPr>
            <w:tcW w:w="3867" w:type="dxa"/>
            <w:tcBorders>
              <w:left w:val="nil"/>
            </w:tcBorders>
            <w:vAlign w:val="center"/>
          </w:tcPr>
          <w:p>
            <w:pPr>
              <w:jc w:val="center"/>
              <w:rPr>
                <w:rFonts w:ascii="Times New Roman" w:hAnsi="Times New Roman" w:cs="Times New Roman"/>
                <w:b/>
                <w:noProof/>
                <w:color w:val="000066"/>
                <w:sz w:val="28"/>
                <w:szCs w:val="28"/>
              </w:rPr>
            </w:pPr>
            <w:r>
              <w:rPr>
                <w:rFonts w:ascii="Times New Roman" w:hAnsi="Times New Roman"/>
                <w:b/>
                <w:noProof/>
                <w:color w:val="000066"/>
                <w:sz w:val="28"/>
              </w:rPr>
              <w:t>POLITIKOMRÅDE</w:t>
            </w:r>
          </w:p>
        </w:tc>
        <w:tc>
          <w:tcPr>
            <w:tcW w:w="1851" w:type="dxa"/>
            <w:vAlign w:val="center"/>
          </w:tcPr>
          <w:p>
            <w:pPr>
              <w:tabs>
                <w:tab w:val="left" w:pos="720"/>
              </w:tabs>
              <w:jc w:val="center"/>
              <w:rPr>
                <w:rFonts w:ascii="Times New Roman" w:hAnsi="Times New Roman" w:cs="Times New Roman"/>
                <w:noProof/>
              </w:rPr>
            </w:pPr>
            <w:r>
              <w:rPr>
                <w:rFonts w:ascii="Times New Roman" w:hAnsi="Times New Roman" w:cs="Times New Roman"/>
                <w:noProof/>
              </w:rPr>
              <w:object w:dxaOrig="3225" w:dyaOrig="1920">
                <v:shape id="_x0000_i1026" type="#_x0000_t75" style="width:1in;height:42.75pt" o:ole="">
                  <v:imagedata r:id="rId19" o:title=""/>
                </v:shape>
                <o:OLEObject Type="Embed" ProgID="PBrush" ShapeID="_x0000_i1026" DrawAspect="Content" ObjectID="_1604826110" r:id="rId20"/>
              </w:object>
            </w:r>
          </w:p>
          <w:p>
            <w:pPr>
              <w:tabs>
                <w:tab w:val="left" w:pos="720"/>
              </w:tabs>
              <w:jc w:val="center"/>
              <w:rPr>
                <w:rFonts w:ascii="Times New Roman" w:hAnsi="Times New Roman" w:cs="Times New Roman"/>
                <w:noProof/>
                <w:sz w:val="20"/>
                <w:szCs w:val="20"/>
              </w:rPr>
            </w:pPr>
            <w:r>
              <w:rPr>
                <w:rFonts w:ascii="Times New Roman" w:hAnsi="Times New Roman"/>
                <w:noProof/>
                <w:sz w:val="20"/>
              </w:rPr>
              <w:t xml:space="preserve">EUROPA </w:t>
            </w:r>
          </w:p>
          <w:p>
            <w:pPr>
              <w:tabs>
                <w:tab w:val="left" w:pos="720"/>
              </w:tabs>
              <w:jc w:val="center"/>
              <w:rPr>
                <w:rFonts w:ascii="Times New Roman" w:hAnsi="Times New Roman" w:cs="Times New Roman"/>
                <w:b/>
                <w:noProof/>
                <w:color w:val="000000" w:themeColor="text1"/>
                <w:sz w:val="20"/>
                <w:szCs w:val="20"/>
              </w:rPr>
            </w:pPr>
            <w:r>
              <w:rPr>
                <w:rFonts w:ascii="Times New Roman" w:hAnsi="Times New Roman"/>
                <w:noProof/>
                <w:sz w:val="20"/>
              </w:rPr>
              <w:t>PARLAMENTET</w:t>
            </w:r>
          </w:p>
        </w:tc>
        <w:tc>
          <w:tcPr>
            <w:tcW w:w="2220" w:type="dxa"/>
            <w:vAlign w:val="center"/>
          </w:tcPr>
          <w:p>
            <w:pPr>
              <w:jc w:val="center"/>
              <w:rPr>
                <w:rFonts w:ascii="Times New Roman" w:hAnsi="Times New Roman" w:cs="Times New Roman"/>
                <w:noProof/>
              </w:rPr>
            </w:pPr>
            <w:r>
              <w:rPr>
                <w:rFonts w:ascii="Times New Roman" w:hAnsi="Times New Roman" w:cs="Times New Roman"/>
                <w:noProof/>
              </w:rPr>
              <w:object w:dxaOrig="2805" w:dyaOrig="2490">
                <v:shape id="_x0000_i1027" type="#_x0000_t75" style="width:50.25pt;height:42.75pt" o:ole="">
                  <v:imagedata r:id="rId21" o:title=""/>
                </v:shape>
                <o:OLEObject Type="Embed" ProgID="PBrush" ShapeID="_x0000_i1027" DrawAspect="Content" ObjectID="_1604826111" r:id="rId22"/>
              </w:object>
            </w:r>
          </w:p>
          <w:p>
            <w:pPr>
              <w:jc w:val="center"/>
              <w:rPr>
                <w:rFonts w:ascii="Times New Roman" w:hAnsi="Times New Roman" w:cs="Times New Roman"/>
                <w:noProof/>
                <w:color w:val="000000" w:themeColor="text1"/>
                <w:sz w:val="20"/>
                <w:szCs w:val="20"/>
              </w:rPr>
            </w:pPr>
            <w:r>
              <w:rPr>
                <w:rFonts w:ascii="Times New Roman" w:hAnsi="Times New Roman"/>
                <w:noProof/>
                <w:sz w:val="20"/>
              </w:rPr>
              <w:t xml:space="preserve">EUROPEISKA UNIONENS RÅD </w:t>
            </w:r>
          </w:p>
        </w:tc>
      </w:tr>
      <w:tr>
        <w:trPr>
          <w:trHeight w:hRule="exact" w:val="560"/>
          <w:jc w:val="center"/>
        </w:trPr>
        <w:tc>
          <w:tcPr>
            <w:tcW w:w="8504" w:type="dxa"/>
            <w:gridSpan w:val="4"/>
            <w:shd w:val="clear" w:color="auto" w:fill="D9D9D9" w:themeFill="background1" w:themeFillShade="D9"/>
            <w:vAlign w:val="center"/>
          </w:tcPr>
          <w:p>
            <w:pPr>
              <w:rPr>
                <w:rFonts w:ascii="Times New Roman" w:hAnsi="Times New Roman" w:cs="Times New Roman"/>
                <w:noProof/>
                <w:color w:val="000066"/>
                <w:sz w:val="28"/>
                <w:szCs w:val="28"/>
              </w:rPr>
            </w:pPr>
            <w:r>
              <w:rPr>
                <w:rFonts w:ascii="Times New Roman" w:hAnsi="Times New Roman"/>
                <w:b/>
                <w:noProof/>
                <w:color w:val="000066"/>
                <w:sz w:val="28"/>
              </w:rPr>
              <w:t>STRATEGIN FÖR DEN INRE MARKNADEN</w:t>
            </w:r>
          </w:p>
        </w:tc>
      </w:tr>
      <w:tr>
        <w:trPr>
          <w:trHeight w:hRule="exact" w:val="56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Gemensam digital ingång</w:t>
            </w:r>
          </w:p>
        </w:tc>
        <w:tc>
          <w:tcPr>
            <w:tcW w:w="1851" w:type="dxa"/>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Anmälningsförfarande</w:t>
            </w:r>
          </w:p>
        </w:tc>
        <w:tc>
          <w:tcPr>
            <w:tcW w:w="1851" w:type="dxa"/>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Informationsverktyget för den inre marknaden</w:t>
            </w:r>
          </w:p>
        </w:tc>
        <w:tc>
          <w:tcPr>
            <w:tcW w:w="1851" w:type="dxa"/>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Varupaketet (ömsesidigt erkännande)</w:t>
            </w:r>
          </w:p>
        </w:tc>
        <w:tc>
          <w:tcPr>
            <w:tcW w:w="1851" w:type="dxa"/>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Varupaketet (överensstämmelse och genomdrivande)</w:t>
            </w:r>
          </w:p>
        </w:tc>
        <w:tc>
          <w:tcPr>
            <w:tcW w:w="1851" w:type="dxa"/>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9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Tilläggsskydd – undantag för tillverkning</w:t>
            </w:r>
          </w:p>
        </w:tc>
        <w:tc>
          <w:tcPr>
            <w:tcW w:w="1851" w:type="dxa"/>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0"/>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e-tjänstekort</w:t>
            </w:r>
          </w:p>
        </w:tc>
        <w:tc>
          <w:tcPr>
            <w:tcW w:w="1851" w:type="dxa"/>
            <w:tcBorders>
              <w:bottom w:val="single" w:sz="4" w:space="0" w:color="auto"/>
            </w:tcBorders>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Förordning om gränsöverskridande paketleveranser</w:t>
            </w:r>
          </w:p>
        </w:tc>
        <w:tc>
          <w:tcPr>
            <w:tcW w:w="1851" w:type="dxa"/>
            <w:tcBorders>
              <w:bottom w:val="single" w:sz="4" w:space="0" w:color="auto"/>
            </w:tcBorders>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846"/>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Proportionalitetsprövning före antagandet av ny reglering av yrken</w:t>
            </w:r>
          </w:p>
        </w:tc>
        <w:tc>
          <w:tcPr>
            <w:tcW w:w="1851" w:type="dxa"/>
            <w:tcBorders>
              <w:bottom w:val="single" w:sz="4" w:space="0" w:color="auto"/>
            </w:tcBorders>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5"/>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Bolagsrättspaketet</w:t>
            </w:r>
          </w:p>
        </w:tc>
        <w:tc>
          <w:tcPr>
            <w:tcW w:w="1851" w:type="dxa"/>
            <w:tcBorders>
              <w:bottom w:val="single" w:sz="4" w:space="0" w:color="auto"/>
            </w:tcBorders>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601"/>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Utvärderingar av medicinska metoder</w:t>
            </w:r>
          </w:p>
        </w:tc>
        <w:tc>
          <w:tcPr>
            <w:tcW w:w="1851" w:type="dxa"/>
            <w:tcBorders>
              <w:bottom w:val="single" w:sz="4" w:space="0" w:color="auto"/>
            </w:tcBorders>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601"/>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Paketet om ny giv för konsumenterna</w:t>
            </w:r>
          </w:p>
        </w:tc>
        <w:tc>
          <w:tcPr>
            <w:tcW w:w="1851" w:type="dxa"/>
            <w:tcBorders>
              <w:bottom w:val="single" w:sz="4" w:space="0" w:color="auto"/>
            </w:tcBorders>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b/>
                <w:noProof/>
                <w:color w:val="000000" w:themeColor="text1"/>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0"/>
          <w:jc w:val="center"/>
        </w:trPr>
        <w:tc>
          <w:tcPr>
            <w:tcW w:w="8504" w:type="dxa"/>
            <w:gridSpan w:val="4"/>
            <w:shd w:val="clear" w:color="auto" w:fill="D9D9D9" w:themeFill="background1" w:themeFillShade="D9"/>
            <w:vAlign w:val="center"/>
          </w:tcPr>
          <w:p>
            <w:pPr>
              <w:rPr>
                <w:rFonts w:ascii="Times New Roman" w:hAnsi="Times New Roman" w:cs="Times New Roman"/>
                <w:b/>
                <w:noProof/>
                <w:color w:val="000066"/>
                <w:sz w:val="28"/>
                <w:szCs w:val="28"/>
              </w:rPr>
            </w:pPr>
            <w:r>
              <w:rPr>
                <w:rFonts w:ascii="Times New Roman" w:hAnsi="Times New Roman"/>
                <w:b/>
                <w:noProof/>
                <w:color w:val="000066"/>
                <w:sz w:val="28"/>
              </w:rPr>
              <w:t>DIGITALA INRE MARKNADEN</w:t>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 xml:space="preserve"> Internetkonnektivitet i lokala samhällen (WiFi4EU)</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Gränsöverskridande portabilitet för onlineinnehåll</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Roaming</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Konsumentskyddssamarbete</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Mervärdesskatt på e-handel</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Dataskydd för EU:s institutioner och organ</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Kodexen och organet för europeiska regleringsmyndigheter för elektronisk kommunikation</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Audiovisuella medietjänster</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9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Upphovsrättsreform till förmån för synskadade (genomförande av Marrakechfördraget)</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9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Exemplar i format tillgängliga för synskadade (genomförande av Marrakechfördraget)</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Användningen av frekvensbandet 470–790 MHz i EU</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Motarbetande av oberättigad geografisk blockering</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Det fria flödet av icke-personuppgifter</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Avtal om tillhandahållande av digitalt innehåll</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Avtal om försäljning av varor på nätet och annan distansförsäljning av varor</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826"/>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Rättvisa villkor för företagsanvändare av onlinebaserade förmedlingstjänster (förbindelser mellan plattformar och företag)</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e-integritet</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Upphovsrätt</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Sändningsreglering (upphovsrätt)</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Cybersäkerhetsakten</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Vidareutnyttjande av information från den offentliga sektorn</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Toppdomänen .eu</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Nätverk och kompetenscentrum för cybersäkerhet</w:t>
            </w:r>
          </w:p>
        </w:tc>
        <w:tc>
          <w:tcPr>
            <w:tcW w:w="1851"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Högpresterande datorsystem</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Mervärdesskatt på e-publikationer</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0"/>
          <w:jc w:val="center"/>
        </w:trPr>
        <w:tc>
          <w:tcPr>
            <w:tcW w:w="8504" w:type="dxa"/>
            <w:gridSpan w:val="4"/>
            <w:shd w:val="clear" w:color="auto" w:fill="D9D9D9" w:themeFill="background1" w:themeFillShade="D9"/>
            <w:vAlign w:val="center"/>
          </w:tcPr>
          <w:p>
            <w:pPr>
              <w:keepNext/>
              <w:rPr>
                <w:rFonts w:ascii="Times New Roman" w:hAnsi="Times New Roman" w:cs="Times New Roman"/>
                <w:b/>
                <w:noProof/>
                <w:color w:val="000066"/>
                <w:sz w:val="28"/>
                <w:szCs w:val="28"/>
              </w:rPr>
            </w:pPr>
            <w:r>
              <w:rPr>
                <w:rFonts w:ascii="Times New Roman" w:hAnsi="Times New Roman"/>
                <w:b/>
                <w:noProof/>
                <w:color w:val="000066"/>
                <w:sz w:val="28"/>
              </w:rPr>
              <w:t>Kapitalmarknadsunionen/bankunionen</w:t>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Enkel, transparent och standardiserad värdepapperisering</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Prospekt</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Europeiska riskkapitalfonder</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Förebyggande omstrukturering, en andra chans och effektivare förfaranden</w:t>
            </w:r>
          </w:p>
        </w:tc>
        <w:tc>
          <w:tcPr>
            <w:tcW w:w="1851" w:type="dxa"/>
            <w:vAlign w:val="center"/>
          </w:tcPr>
          <w:p>
            <w:pPr>
              <w:jc w:val="cente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Europeisk privat pensionsprodukt (PEPP)</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Översyn av de europeiska tillsynsmyndigheterna</w:t>
            </w:r>
          </w:p>
        </w:tc>
        <w:tc>
          <w:tcPr>
            <w:tcW w:w="1851"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tabs>
                <w:tab w:val="left" w:pos="744"/>
              </w:tabs>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Ram för gräsrotsfinansiering</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Ram för säkerställda obligationer</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856"/>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Enklare distribution av investeringsfonder över gränserna</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Rättsverkan gentemot tredje man av överlåtelse av fordringar</w:t>
            </w:r>
          </w:p>
        </w:tc>
        <w:tc>
          <w:tcPr>
            <w:tcW w:w="1851"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Främjande av tillväxtmarknader för små och medelstora företag</w:t>
            </w:r>
          </w:p>
        </w:tc>
        <w:tc>
          <w:tcPr>
            <w:tcW w:w="1851"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7"/>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Mer välavvägda och effektiva regler för värdepappersföretag</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7"/>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Förordningen om Europas marknadsinfrastrukturer (tillsyn)</w:t>
            </w:r>
          </w:p>
        </w:tc>
        <w:tc>
          <w:tcPr>
            <w:tcW w:w="1851" w:type="dxa"/>
            <w:vAlign w:val="center"/>
          </w:tcPr>
          <w:p>
            <w:pPr>
              <w:jc w:val="cente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Förordningen om Europas marknadsinfrastrukturer (Refit)</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Återhämtning och resolution av centrala motparter</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Hållbar finansiering: Taxonomi</w:t>
            </w:r>
          </w:p>
        </w:tc>
        <w:tc>
          <w:tcPr>
            <w:tcW w:w="1851"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832"/>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Hållbar finansiering: Utlämnande av uppgifter</w:t>
            </w:r>
          </w:p>
        </w:tc>
        <w:tc>
          <w:tcPr>
            <w:tcW w:w="1851" w:type="dxa"/>
            <w:vAlign w:val="center"/>
          </w:tcPr>
          <w:p>
            <w:pPr>
              <w:jc w:val="center"/>
              <w:rPr>
                <w:rFonts w:ascii="Times New Roman" w:hAnsi="Times New Roman" w:cs="Times New Roman"/>
                <w:noProof/>
              </w:rPr>
            </w:pPr>
            <w:r>
              <w:rPr>
                <w:b/>
                <w:noProof/>
                <w:color w:val="003399"/>
                <w:sz w:val="20"/>
                <w:szCs w:val="20"/>
                <w:lang w:val="en-GB" w:eastAsia="en-GB" w:bidi="ar-SA"/>
              </w:rPr>
              <w:drawing>
                <wp:inline distT="0" distB="0" distL="0" distR="0">
                  <wp:extent cx="200025" cy="20955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rPr>
            </w:pPr>
            <w:r>
              <w:rPr>
                <w:b/>
                <w:noProof/>
                <w:color w:val="000000" w:themeColor="text1"/>
                <w:sz w:val="20"/>
                <w:szCs w:val="20"/>
                <w:lang w:val="en-GB" w:eastAsia="en-GB" w:bidi="ar-SA"/>
              </w:rPr>
              <w:drawing>
                <wp:inline distT="0" distB="0" distL="0" distR="0">
                  <wp:extent cx="209550" cy="2095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Hållbar finansiering: Referensvärden för låga koldioxidutsläpp</w:t>
            </w:r>
          </w:p>
        </w:tc>
        <w:tc>
          <w:tcPr>
            <w:tcW w:w="1851" w:type="dxa"/>
            <w:vAlign w:val="center"/>
          </w:tcPr>
          <w:p>
            <w:pPr>
              <w:jc w:val="center"/>
              <w:rPr>
                <w:rFonts w:ascii="Times New Roman" w:hAnsi="Times New Roman" w:cs="Times New Roman"/>
                <w:noProof/>
              </w:rPr>
            </w:pPr>
            <w:r>
              <w:rPr>
                <w:b/>
                <w:noProof/>
                <w:color w:val="000000" w:themeColor="text1"/>
                <w:sz w:val="20"/>
                <w:szCs w:val="20"/>
                <w:lang w:val="en-GB" w:eastAsia="en-GB" w:bidi="ar-SA"/>
              </w:rPr>
              <w:drawing>
                <wp:inline distT="0" distB="0" distL="0" distR="0">
                  <wp:extent cx="209550" cy="209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rPr>
            </w:pPr>
            <w:r>
              <w:rPr>
                <w:b/>
                <w:noProof/>
                <w:color w:val="003399"/>
                <w:sz w:val="20"/>
                <w:szCs w:val="20"/>
                <w:lang w:val="en-GB" w:eastAsia="en-GB" w:bidi="ar-SA"/>
              </w:rPr>
              <w:drawing>
                <wp:inline distT="0" distB="0" distL="0" distR="0">
                  <wp:extent cx="200025" cy="20955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Rangordning av skuldinstrument utan säkerhet vid insolvens</w:t>
            </w:r>
          </w:p>
        </w:tc>
        <w:tc>
          <w:tcPr>
            <w:tcW w:w="1851" w:type="dxa"/>
            <w:vAlign w:val="center"/>
          </w:tcPr>
          <w:p>
            <w:pPr>
              <w:jc w:val="center"/>
              <w:rPr>
                <w:b/>
                <w:noProof/>
                <w:color w:val="000000" w:themeColor="text1"/>
                <w:sz w:val="20"/>
                <w:szCs w:val="20"/>
              </w:rPr>
            </w:pPr>
            <w:r>
              <w:rPr>
                <w:b/>
                <w:noProof/>
                <w:color w:val="003399"/>
                <w:sz w:val="20"/>
                <w:szCs w:val="20"/>
                <w:lang w:val="en-GB" w:eastAsia="en-GB" w:bidi="ar-SA"/>
              </w:rPr>
              <w:drawing>
                <wp:inline distT="0" distB="0" distL="0" distR="0">
                  <wp:extent cx="200025" cy="209550"/>
                  <wp:effectExtent l="0" t="0" r="952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b/>
                <w:noProof/>
                <w:color w:val="000000" w:themeColor="text1"/>
                <w:sz w:val="20"/>
                <w:szCs w:val="20"/>
              </w:rPr>
            </w:pPr>
            <w:r>
              <w:rPr>
                <w:b/>
                <w:noProof/>
                <w:color w:val="003399"/>
                <w:sz w:val="20"/>
                <w:szCs w:val="20"/>
                <w:lang w:val="en-GB" w:eastAsia="en-GB" w:bidi="ar-SA"/>
              </w:rPr>
              <w:drawing>
                <wp:inline distT="0" distB="0" distL="0" distR="0">
                  <wp:extent cx="200025" cy="209550"/>
                  <wp:effectExtent l="0" t="0" r="952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Europeisk insättningsgaranti</w:t>
            </w:r>
          </w:p>
        </w:tc>
        <w:tc>
          <w:tcPr>
            <w:tcW w:w="1851" w:type="dxa"/>
            <w:vAlign w:val="center"/>
          </w:tcPr>
          <w:p>
            <w:pPr>
              <w:jc w:val="center"/>
              <w:rPr>
                <w:rFonts w:ascii="Times New Roman" w:hAnsi="Times New Roman" w:cs="Times New Roman"/>
                <w:noProof/>
              </w:rPr>
            </w:pPr>
            <w:r>
              <w:rPr>
                <w:b/>
                <w:noProof/>
                <w:color w:val="000000" w:themeColor="text1"/>
                <w:sz w:val="20"/>
                <w:szCs w:val="20"/>
                <w:lang w:val="en-GB" w:eastAsia="en-GB" w:bidi="ar-SA"/>
              </w:rPr>
              <w:drawing>
                <wp:inline distT="0" distB="0" distL="0" distR="0">
                  <wp:extent cx="209550" cy="2095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rPr>
            </w:pPr>
            <w:r>
              <w:rPr>
                <w:b/>
                <w:noProof/>
                <w:color w:val="000000" w:themeColor="text1"/>
                <w:sz w:val="20"/>
                <w:szCs w:val="20"/>
                <w:lang w:val="en-GB" w:eastAsia="en-GB" w:bidi="ar-SA"/>
              </w:rPr>
              <w:drawing>
                <wp:inline distT="0" distB="0" distL="0" distR="0">
                  <wp:extent cx="209550" cy="2095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Reform av kapitalkravsförordningen</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836"/>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Förlustabsorberings- och rekapitaliseringskapacitet (förordning och direktiv)</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Tillsyn över kreditinstitut och investmentbolag</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1139"/>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Vidareutveckling av andrahandsmarknaderna för nödlidande lån inklusive effektivare återvinning av värde</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Minsta förlusttäckning för nödlidande exponeringar</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En ram som skapar förutsättningar för utvecklingen av EU-värdepapper med statsobligationer som säkerhet</w:t>
            </w:r>
          </w:p>
        </w:tc>
        <w:tc>
          <w:tcPr>
            <w:tcW w:w="1851"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Gemensam finansiell säkerhetsspärr (backstop)</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862"/>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Europeiska fonden för strategiska investeringar 2.0</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99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En fördjupad ekonomisk och monetär union</w:t>
            </w:r>
          </w:p>
        </w:tc>
        <w:tc>
          <w:tcPr>
            <w:tcW w:w="1851" w:type="dxa"/>
            <w:vAlign w:val="center"/>
          </w:tcPr>
          <w:p>
            <w:pPr>
              <w:jc w:val="center"/>
              <w:rPr>
                <w:rFonts w:ascii="Times New Roman" w:hAnsi="Times New Roman" w:cs="Times New Roman"/>
                <w:b/>
                <w:noProof/>
                <w:color w:val="000000" w:themeColor="text1"/>
                <w:sz w:val="20"/>
                <w:szCs w:val="20"/>
              </w:rPr>
            </w:pPr>
            <w:r>
              <w:rPr>
                <w:b/>
                <w:noProof/>
                <w:color w:val="000000" w:themeColor="text1"/>
                <w:sz w:val="20"/>
                <w:szCs w:val="20"/>
                <w:lang w:val="en-GB" w:eastAsia="en-GB" w:bidi="ar-SA"/>
              </w:rPr>
              <w:drawing>
                <wp:inline distT="0" distB="0" distL="0" distR="0">
                  <wp:extent cx="209550" cy="20955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0000" w:themeColor="text1"/>
                <w:sz w:val="20"/>
                <w:szCs w:val="20"/>
              </w:rPr>
            </w:pPr>
            <w:r>
              <w:rPr>
                <w:b/>
                <w:noProof/>
                <w:color w:val="000000" w:themeColor="text1"/>
                <w:sz w:val="20"/>
                <w:szCs w:val="20"/>
                <w:lang w:val="en-GB" w:eastAsia="en-GB" w:bidi="ar-SA"/>
              </w:rPr>
              <w:drawing>
                <wp:inline distT="0" distB="0" distL="0" distR="0">
                  <wp:extent cx="209550" cy="20955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81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Bekämpande av bedrägeri och förfalskning som rör andra betalningsmedel än kontanter</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bl>
    <w:p>
      <w:pPr>
        <w:rPr>
          <w:b/>
          <w:noProof/>
          <w:color w:val="000000" w:themeColor="text1"/>
          <w:sz w:val="20"/>
          <w:szCs w:val="20"/>
        </w:rPr>
      </w:pPr>
    </w:p>
    <w:p>
      <w:pPr>
        <w:rPr>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b/>
          <w:noProof/>
          <w:color w:val="003399"/>
          <w:sz w:val="20"/>
        </w:rPr>
        <w:t>KAN ANTAS OM ALLA EU-INSTITUTIONER VISAR STARK POLITISK VILJA</w:t>
      </w:r>
    </w:p>
    <w:p>
      <w:pP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b/>
          <w:noProof/>
          <w:color w:val="003399"/>
          <w:sz w:val="20"/>
        </w:rPr>
        <w:t>KAN ANTAS I SNABB TAKT GENOM NORMALA FÖRFARANDEN</w:t>
      </w:r>
    </w:p>
    <w:p>
      <w:pP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b/>
          <w:noProof/>
          <w:color w:val="003399"/>
          <w:sz w:val="20"/>
        </w:rPr>
        <w:t>FRAMLAGT OCH ANTAGET</w:t>
      </w:r>
    </w:p>
    <w:p>
      <w:pPr>
        <w:rPr>
          <w:b/>
          <w:noProof/>
          <w:color w:val="003399"/>
          <w:sz w:val="20"/>
          <w:szCs w:val="20"/>
        </w:rPr>
      </w:pPr>
      <w:r>
        <w:rPr>
          <w:noProof/>
        </w:rPr>
        <w:br w:type="page"/>
      </w:r>
    </w:p>
    <w:p>
      <w:pPr>
        <w:spacing w:after="240" w:line="240" w:lineRule="auto"/>
        <w:jc w:val="center"/>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u w:val="single"/>
        </w:rPr>
        <w:t>BILAGA 2</w:t>
      </w:r>
    </w:p>
    <w:p>
      <w:pPr>
        <w:jc w:val="center"/>
        <w:rPr>
          <w:rFonts w:ascii="Times New Roman" w:hAnsi="Times New Roman" w:cs="Times New Roman"/>
          <w:b/>
          <w:noProof/>
          <w:sz w:val="24"/>
          <w:szCs w:val="24"/>
        </w:rPr>
      </w:pPr>
      <w:r>
        <w:rPr>
          <w:rFonts w:ascii="Times New Roman" w:hAnsi="Times New Roman"/>
          <w:b/>
          <w:noProof/>
          <w:sz w:val="24"/>
        </w:rPr>
        <w:t>Exempel på fördelar för den inre marknaden av föreslagna eller redan antagna initiativ</w:t>
      </w:r>
    </w:p>
    <w:tbl>
      <w:tblPr>
        <w:tblStyle w:val="TableGrid"/>
        <w:tblW w:w="0" w:type="auto"/>
        <w:jc w:val="center"/>
        <w:shd w:val="clear" w:color="auto" w:fill="C6D9F1" w:themeFill="text2" w:themeFillTint="33"/>
        <w:tblLook w:val="04A0" w:firstRow="1" w:lastRow="0" w:firstColumn="1" w:lastColumn="0" w:noHBand="0" w:noVBand="1"/>
      </w:tblPr>
      <w:tblGrid>
        <w:gridCol w:w="8755"/>
      </w:tblGrid>
      <w:tr>
        <w:trPr>
          <w:trHeight w:val="70"/>
          <w:jc w:val="center"/>
        </w:trPr>
        <w:tc>
          <w:tcPr>
            <w:tcW w:w="8755" w:type="dxa"/>
            <w:shd w:val="clear" w:color="auto" w:fill="C6D9F1" w:themeFill="text2" w:themeFillTint="33"/>
          </w:tcPr>
          <w:p>
            <w:pPr>
              <w:spacing w:after="120"/>
              <w:rPr>
                <w:rFonts w:ascii="Times New Roman" w:hAnsi="Times New Roman" w:cs="Times New Roman"/>
                <w:b/>
                <w:i/>
                <w:noProof/>
                <w:sz w:val="24"/>
                <w:szCs w:val="24"/>
              </w:rPr>
            </w:pPr>
            <w:r>
              <w:rPr>
                <w:rFonts w:ascii="Times New Roman" w:hAnsi="Times New Roman"/>
                <w:b/>
                <w:i/>
                <w:noProof/>
                <w:sz w:val="24"/>
              </w:rPr>
              <w:t>Exempel på fördelar av redan antagna initiativ:</w:t>
            </w:r>
          </w:p>
          <w:p>
            <w:pPr>
              <w:pStyle w:val="ListBullet"/>
              <w:numPr>
                <w:ilvl w:val="0"/>
                <w:numId w:val="14"/>
              </w:numPr>
              <w:spacing w:after="120"/>
              <w:rPr>
                <w:noProof/>
                <w:szCs w:val="24"/>
              </w:rPr>
            </w:pPr>
            <w:r>
              <w:rPr>
                <w:b/>
                <w:i/>
                <w:noProof/>
              </w:rPr>
              <w:t>Direktivet om inrättande av en europeisk kodex för elektronisk kommunikation</w:t>
            </w:r>
            <w:r>
              <w:rPr>
                <w:noProof/>
              </w:rPr>
              <w:t>, som medlagstiftarna enades om den 6 juni 2018, kan bidra till en kumulativ effekt på tillväxten med 1,45 % och på sysselsättningen med 0,18 % år 2025, och leda till en kumulativ inverkan på den ekonomiska aktiviteten med 910 miljarder euro och 1,304 miljoner fler arbetstillfällen fram till 2025. Det totala investeringsgapet för att nå unionens mål för konnektivitet för 2025, inklusive 5G, uppskattas till 155 miljarder euro. Kodexen kommer att bidra till att minska detta gap genom att skapa ett stabilt regelverk som skapar incitament för privata aktörer att investera på alla områden. I vissa landsbygdsområden och avlägsna områden, där marknadsincitament för investeringar saknas, kan offentligt stöd för investeringar i bredband spela en kompletterande roll, inklusive genom de europeiska struktur- och investeringsfonderna, som föreslagits som en del av den kommande fleråriga finansieringsramen. Ett framgångsrikt införande av 5G kräver samordnade åtgärder mellan medlemsstaterna och berörda parter i linje med handlingsplanen för 5G. Framför allt behövs en enhetlig modell för gemensam användning av spektrum i hela unionen för att reagera på behoven längs motorvägar, när det gäller transporter, allmännyttiga tjänster och hälso- och sjukvård. De ekonomiska fördelarna av en framgångsrik, snabb och samordnad utbyggnad av 5G i unionen är mycket betydande och har uppskattats till 146 miljarder euro per år och skapandet av 2,39 miljoner arbetstillfällen</w:t>
            </w:r>
            <w:r>
              <w:rPr>
                <w:rStyle w:val="FootnoteReference"/>
                <w:noProof/>
              </w:rPr>
              <w:footnoteReference w:id="3"/>
            </w:r>
            <w:r>
              <w:rPr>
                <w:noProof/>
              </w:rPr>
              <w:t>.</w:t>
            </w:r>
          </w:p>
          <w:p>
            <w:pPr>
              <w:pStyle w:val="ListBullet"/>
              <w:numPr>
                <w:ilvl w:val="0"/>
                <w:numId w:val="14"/>
              </w:numPr>
              <w:spacing w:after="120"/>
              <w:rPr>
                <w:noProof/>
                <w:szCs w:val="24"/>
              </w:rPr>
            </w:pPr>
            <w:r>
              <w:rPr>
                <w:b/>
                <w:i/>
                <w:noProof/>
              </w:rPr>
              <w:t>Gränsöverskridande e-förvaltningstjänster på nätet genom en förordning om inrättande av en gemensam digital ingång</w:t>
            </w:r>
            <w:r>
              <w:rPr>
                <w:noProof/>
              </w:rPr>
              <w:t xml:space="preserve"> för att ge tillgång till information, förfaranden och hjälp- och problemlösningstjänster, som undertecknades av medlagstiftarna den 2 oktober 2018. Det finns betydande hinder för både privatpersoner och företag som vill flytta till, sälja produkter i eller tillhandahålla tjänster i andra EU-länder. Att kunna hitta relevant, korrekt och begriplig information på nätet och att kunna komma åt och utföra administrativa förfaranden på nätet är avgörande för dem som vill utnyttja fördelarna med den inre marknaden, men att utföra dessa saker kan ofta vara invecklat, tidskrävande och dyrt, om det ens är möjligt. </w:t>
            </w:r>
            <w:bookmarkStart w:id="2" w:name="_Hlk492644435"/>
            <w:r>
              <w:rPr>
                <w:noProof/>
              </w:rPr>
              <w:t>Genom förordningen genomförs en gränsöverskridande engångsprincip för första gången i lagstiftning, så att medborgarna inte uppmanas att på nytt lämna uppgifter som de redan har lämnat till de nationella myndigheterna. De 1,5 miljoner timmar som medborgarna för närvarande lägger på sökning på nätet efter sju viktiga frågor innan de åker utomlands kommer att minska med 60 %. Företagen kommer att spara mellan 11 och 55 miljarder euro per år på sökning efter endast nio företagsfrågor</w:t>
            </w:r>
            <w:r>
              <w:rPr>
                <w:rStyle w:val="FootnoteReference"/>
                <w:noProof/>
              </w:rPr>
              <w:footnoteReference w:id="4"/>
            </w:r>
            <w:r>
              <w:rPr>
                <w:noProof/>
              </w:rPr>
              <w:t xml:space="preserve">. </w:t>
            </w:r>
            <w:bookmarkEnd w:id="2"/>
          </w:p>
          <w:p>
            <w:pPr>
              <w:pStyle w:val="ListBullet"/>
              <w:numPr>
                <w:ilvl w:val="0"/>
                <w:numId w:val="14"/>
              </w:numPr>
              <w:spacing w:after="120"/>
              <w:rPr>
                <w:noProof/>
                <w:szCs w:val="24"/>
              </w:rPr>
            </w:pPr>
            <w:r>
              <w:rPr>
                <w:b/>
                <w:i/>
                <w:noProof/>
              </w:rPr>
              <w:t>Modernisering av mervärdesskatten för gränsöverskridande e-handel mellan företag och konsumenter</w:t>
            </w:r>
            <w:r>
              <w:rPr>
                <w:noProof/>
              </w:rPr>
              <w:t xml:space="preserve"> genom rådets direktiv (EU) 2017/2455 av den 5 december 2017, förenklar komplexa skyldigheter avseende mervärdesskatt för gränsöverskridande e-handel och skapar lika villkor för företag i unionen och för företag i tredjeländer som ofta kunde erbjuda momsfri försäljning som inte uppfyllde reglerna. Förslaget förväntas minska företagens efterlevnadskostnader för moms med 2,3 miljarder euro om året från 2021 och samtidigt öka momsintäkterna för medlemsstaterna med 7 miljarder euro</w:t>
            </w:r>
            <w:r>
              <w:rPr>
                <w:rStyle w:val="FootnoteReference"/>
                <w:noProof/>
              </w:rPr>
              <w:footnoteReference w:id="5"/>
            </w:r>
            <w:r>
              <w:rPr>
                <w:noProof/>
              </w:rPr>
              <w:t>.</w:t>
            </w:r>
          </w:p>
        </w:tc>
      </w:tr>
    </w:tbl>
    <w:p>
      <w:pPr>
        <w:rPr>
          <w:noProof/>
        </w:rPr>
      </w:pPr>
      <w:r>
        <w:rPr>
          <w:noProof/>
        </w:rPr>
        <w:br w:type="page"/>
      </w:r>
    </w:p>
    <w:tbl>
      <w:tblPr>
        <w:tblStyle w:val="TableGrid"/>
        <w:tblW w:w="0" w:type="auto"/>
        <w:jc w:val="center"/>
        <w:shd w:val="clear" w:color="auto" w:fill="C6D9F1" w:themeFill="text2" w:themeFillTint="33"/>
        <w:tblLook w:val="04A0" w:firstRow="1" w:lastRow="0" w:firstColumn="1" w:lastColumn="0" w:noHBand="0" w:noVBand="1"/>
      </w:tblPr>
      <w:tblGrid>
        <w:gridCol w:w="8755"/>
      </w:tblGrid>
      <w:tr>
        <w:trPr>
          <w:jc w:val="center"/>
        </w:trPr>
        <w:tc>
          <w:tcPr>
            <w:tcW w:w="8755" w:type="dxa"/>
            <w:shd w:val="clear" w:color="auto" w:fill="C6D9F1" w:themeFill="text2" w:themeFillTint="33"/>
          </w:tcPr>
          <w:p>
            <w:pPr>
              <w:rPr>
                <w:rFonts w:ascii="Times New Roman" w:hAnsi="Times New Roman" w:cs="Times New Roman"/>
                <w:b/>
                <w:i/>
                <w:noProof/>
                <w:sz w:val="24"/>
              </w:rPr>
            </w:pPr>
            <w:r>
              <w:rPr>
                <w:noProof/>
              </w:rPr>
              <w:br w:type="page"/>
            </w:r>
            <w:r>
              <w:rPr>
                <w:rFonts w:ascii="Times New Roman" w:hAnsi="Times New Roman"/>
                <w:b/>
                <w:i/>
                <w:noProof/>
                <w:sz w:val="24"/>
              </w:rPr>
              <w:t>Exempel på fördelar av initiativ som nu behandlas av medlagstiftarna:</w:t>
            </w:r>
          </w:p>
          <w:p>
            <w:pPr>
              <w:pStyle w:val="ListBullet"/>
              <w:numPr>
                <w:ilvl w:val="0"/>
                <w:numId w:val="0"/>
              </w:numPr>
              <w:spacing w:after="0"/>
              <w:ind w:left="360"/>
              <w:rPr>
                <w:noProof/>
                <w:szCs w:val="22"/>
              </w:rPr>
            </w:pPr>
          </w:p>
          <w:p>
            <w:pPr>
              <w:pStyle w:val="ListBullet"/>
              <w:numPr>
                <w:ilvl w:val="0"/>
                <w:numId w:val="14"/>
              </w:numPr>
              <w:spacing w:after="0"/>
              <w:rPr>
                <w:noProof/>
                <w:szCs w:val="22"/>
              </w:rPr>
            </w:pPr>
            <w:r>
              <w:rPr>
                <w:b/>
                <w:i/>
                <w:noProof/>
              </w:rPr>
              <w:t>Dataförslagen (om det fria flödet av icke-personuppgifter och information från den offentliga sektorn) inom strategin för den digitala inre marknaden</w:t>
            </w:r>
            <w:r>
              <w:rPr>
                <w:noProof/>
              </w:rPr>
              <w:t xml:space="preserve"> kommer att bidra till tillväxten i den europeiska dataekonomin med 700 miljarder euro till år 2020, vilket motsvarar 4 % av unionens ekonomi (jämfört med 2 % år 2016). Även om en del av denna potential redan har uppnåtts genom antagandet av förordningen om det fria flödet av icke-personuppgifter kan antagandet av uppdaterade regler för att främja ökad tillgång till information från den offentliga sektorn öka återanvändningsvärdet av sådan information från 145 till 215 miljarder euro fram till 2028, och leda till 200 000 ytterligare datarelaterade arbetstillfällen</w:t>
            </w:r>
            <w:r>
              <w:rPr>
                <w:rStyle w:val="FootnoteReference"/>
                <w:noProof/>
              </w:rPr>
              <w:footnoteReference w:id="6"/>
            </w:r>
            <w:r>
              <w:rPr>
                <w:noProof/>
              </w:rPr>
              <w:t xml:space="preserve">. </w:t>
            </w:r>
          </w:p>
          <w:p>
            <w:pPr>
              <w:pStyle w:val="ListBullet"/>
              <w:numPr>
                <w:ilvl w:val="0"/>
                <w:numId w:val="0"/>
              </w:numPr>
              <w:spacing w:after="0"/>
              <w:ind w:left="360"/>
              <w:rPr>
                <w:noProof/>
                <w:szCs w:val="22"/>
              </w:rPr>
            </w:pPr>
          </w:p>
          <w:p>
            <w:pPr>
              <w:pStyle w:val="Default"/>
              <w:numPr>
                <w:ilvl w:val="0"/>
                <w:numId w:val="14"/>
              </w:numPr>
              <w:jc w:val="both"/>
              <w:rPr>
                <w:noProof/>
                <w:szCs w:val="22"/>
              </w:rPr>
            </w:pPr>
            <w:r>
              <w:rPr>
                <w:b/>
                <w:i/>
                <w:noProof/>
              </w:rPr>
              <w:t>Förslaget om en gemensam konsoliderad bolagsskattebas</w:t>
            </w:r>
            <w:r>
              <w:rPr>
                <w:noProof/>
              </w:rPr>
              <w:t xml:space="preserve"> som kommissionen lagt fram syftar till att göra beskattningen på den inre marknaden mer rättvis och skapa lika villkor. </w:t>
            </w:r>
            <w:r>
              <w:rPr>
                <w:b/>
                <w:i/>
                <w:noProof/>
              </w:rPr>
              <w:t>När den är i full drift kan den gemensamma konsoliderade bolagsskattebasen öka de totala investeringarna i unionen med upp till 3,4 % genom att ge incitament för investeringar i FoU och eget kapital.</w:t>
            </w:r>
            <w:r>
              <w:rPr>
                <w:noProof/>
              </w:rPr>
              <w:t>Företagen kommer nu att kunna använda en enda uppsättning regler och arbeta med det egna landets skatteförvaltning för att lämna in en skattedeklaration för alla sina aktiviteter i unionen. Med den gemensamma konsoliderade bolagsskattebasen bör den tid som årligen går åt till efterlevnadsåtgärder minska med 8 %, medan den tid som använts för bildandet av ett dotterbolag skulle minska med upp till 67 % och göra det lättare för företag, inbegripet små och medelstora företag, att expandera utomlands. Tillväxtvänlig verksamhet som FoU-investeringar och finansiering med eget kapital kommer att främjas, eftersom dessa stödjer de mer övergripande målen att stimulera tillväxt, sysselsättning och investeringar</w:t>
            </w:r>
            <w:r>
              <w:rPr>
                <w:rStyle w:val="FootnoteReference"/>
                <w:noProof/>
              </w:rPr>
              <w:footnoteReference w:id="7"/>
            </w:r>
            <w:r>
              <w:rPr>
                <w:noProof/>
              </w:rPr>
              <w:t xml:space="preserve">. </w:t>
            </w:r>
          </w:p>
          <w:p>
            <w:pPr>
              <w:pStyle w:val="Default"/>
              <w:ind w:left="360"/>
              <w:rPr>
                <w:noProof/>
                <w:szCs w:val="22"/>
              </w:rPr>
            </w:pPr>
          </w:p>
          <w:p>
            <w:pPr>
              <w:pStyle w:val="Default"/>
              <w:numPr>
                <w:ilvl w:val="0"/>
                <w:numId w:val="14"/>
              </w:numPr>
              <w:jc w:val="both"/>
              <w:rPr>
                <w:noProof/>
                <w:szCs w:val="22"/>
              </w:rPr>
            </w:pPr>
            <w:r>
              <w:rPr>
                <w:noProof/>
              </w:rPr>
              <w:t xml:space="preserve">Inom ramen för det tredje paketet om rörlighet har kommissionen föreslagit att minska byråkratin inom transport och logistik i sitt förslag till </w:t>
            </w:r>
            <w:r>
              <w:rPr>
                <w:b/>
                <w:i/>
                <w:noProof/>
              </w:rPr>
              <w:t>förordning om elektronisk information om godstransporter</w:t>
            </w:r>
            <w:r>
              <w:rPr>
                <w:noProof/>
              </w:rPr>
              <w:t>.</w:t>
            </w:r>
            <w:r>
              <w:rPr>
                <w:b/>
                <w:noProof/>
              </w:rPr>
              <w:t xml:space="preserve"> </w:t>
            </w:r>
            <w:r>
              <w:rPr>
                <w:noProof/>
              </w:rPr>
              <w:t>Detta förslag syftar till att säkerställa att de nationella myndigheterna godtar att handlingar som åtföljer gods tillhandahålls på elektronisk väg om de finns tillgängliga på säkra och certifierade digitala plattformar. Fram till 2040 kan detta förslag leda till besparingar på 20–27 miljarder euro för transportsektorn, eller motsvarande 75–102 miljoner arbetstimmar. Vägtransportföretag som i 99 % av fallen är små och medelstora företag skulle dra nytta av 60 % av dessa besparingar</w:t>
            </w:r>
            <w:r>
              <w:rPr>
                <w:rStyle w:val="FootnoteReference"/>
                <w:noProof/>
              </w:rPr>
              <w:footnoteReference w:id="8"/>
            </w:r>
            <w:r>
              <w:rPr>
                <w:noProof/>
              </w:rPr>
              <w:t xml:space="preserve">. </w:t>
            </w:r>
          </w:p>
          <w:p>
            <w:pPr>
              <w:pStyle w:val="Default"/>
              <w:jc w:val="both"/>
              <w:rPr>
                <w:noProof/>
                <w:szCs w:val="22"/>
              </w:rPr>
            </w:pPr>
          </w:p>
          <w:p>
            <w:pPr>
              <w:pStyle w:val="Default"/>
              <w:numPr>
                <w:ilvl w:val="0"/>
                <w:numId w:val="14"/>
              </w:numPr>
              <w:jc w:val="both"/>
              <w:rPr>
                <w:noProof/>
                <w:szCs w:val="22"/>
              </w:rPr>
            </w:pPr>
            <w:r>
              <w:rPr>
                <w:noProof/>
              </w:rPr>
              <w:t xml:space="preserve">Kommissionen har föreslagit nya EU-omfattande regler för plast för engångsbruk genom </w:t>
            </w:r>
            <w:r>
              <w:rPr>
                <w:b/>
                <w:i/>
                <w:noProof/>
              </w:rPr>
              <w:t>direktivet om minskning av vissa plastprodukters inverkan på miljön</w:t>
            </w:r>
            <w:r>
              <w:rPr>
                <w:noProof/>
              </w:rPr>
              <w:t>.</w:t>
            </w:r>
            <w:r>
              <w:rPr>
                <w:b/>
                <w:noProof/>
              </w:rPr>
              <w:t xml:space="preserve"> </w:t>
            </w:r>
            <w:r>
              <w:rPr>
                <w:noProof/>
              </w:rPr>
              <w:t>Om det antas skulle direktivet spara 3,4 miljoner ton koldioxidekvivalenter år 2030. Det skulle göra det möjligt att undvika miljöskador (motsvarande 23 miljarder euro). Konsumenterna skulle spara ca 6,5 miljarder euro</w:t>
            </w:r>
            <w:r>
              <w:rPr>
                <w:rStyle w:val="FootnoteReference"/>
                <w:noProof/>
              </w:rPr>
              <w:footnoteReference w:id="9"/>
            </w:r>
            <w:r>
              <w:rPr>
                <w:noProof/>
              </w:rPr>
              <w:t>.</w:t>
            </w:r>
          </w:p>
        </w:tc>
      </w:tr>
    </w:tbl>
    <w:p>
      <w:pPr>
        <w:rPr>
          <w:rFonts w:ascii="Times New Roman" w:hAnsi="Times New Roman" w:cs="Times New Roman"/>
          <w:noProof/>
          <w:sz w:val="24"/>
          <w:szCs w:val="24"/>
        </w:rPr>
      </w:pPr>
    </w:p>
    <w:sectPr>
      <w:headerReference w:type="even" r:id="rId26"/>
      <w:headerReference w:type="default" r:id="rId27"/>
      <w:footerReference w:type="even" r:id="rId28"/>
      <w:footerReference w:type="default" r:id="rId29"/>
      <w:headerReference w:type="first" r:id="rId30"/>
      <w:footerReference w:type="first" r:id="rId31"/>
      <w:pgSz w:w="11906" w:h="16838"/>
      <w:pgMar w:top="993" w:right="1417" w:bottom="1417" w:left="141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Medium">
    <w:panose1 w:val="020B050000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61499"/>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142" w:hanging="142"/>
      </w:pPr>
      <w:r>
        <w:rPr>
          <w:rStyle w:val="FootnoteReference"/>
        </w:rPr>
        <w:footnoteRef/>
      </w:r>
      <w:r>
        <w:t xml:space="preserve"> En omfattande förteckning över lagförslag som berör den inre marknaden och som för närvarande behandlas i Europaparlamentet och rådet finns bifogad till kommissionens arbetsprogram 2019 (COM(2018) 800).</w:t>
      </w:r>
    </w:p>
  </w:footnote>
  <w:footnote w:id="3">
    <w:p>
      <w:pPr>
        <w:pStyle w:val="FootnoteText"/>
        <w:spacing w:after="0"/>
      </w:pPr>
      <w:r>
        <w:rPr>
          <w:rStyle w:val="FootnoteReference"/>
        </w:rPr>
        <w:footnoteRef/>
      </w:r>
      <w:r>
        <w:t xml:space="preserve"> Kommissionens konsekvensbedömning, SWD(2016) 303.</w:t>
      </w:r>
    </w:p>
  </w:footnote>
  <w:footnote w:id="4">
    <w:p>
      <w:pPr>
        <w:pStyle w:val="FootnoteText"/>
        <w:spacing w:after="0"/>
      </w:pPr>
      <w:r>
        <w:rPr>
          <w:rStyle w:val="FootnoteReference"/>
        </w:rPr>
        <w:footnoteRef/>
      </w:r>
      <w:r>
        <w:t xml:space="preserve"> Kommissionens konsekvensbedömning, SWD(2017) 213.</w:t>
      </w:r>
    </w:p>
  </w:footnote>
  <w:footnote w:id="5">
    <w:p>
      <w:pPr>
        <w:pStyle w:val="FootnoteText"/>
        <w:spacing w:after="0"/>
      </w:pPr>
      <w:r>
        <w:rPr>
          <w:rStyle w:val="FootnoteReference"/>
        </w:rPr>
        <w:footnoteRef/>
      </w:r>
      <w:r>
        <w:t xml:space="preserve"> Kommissionens konsekvensbedömning, SWD(2016) 379.</w:t>
      </w:r>
    </w:p>
  </w:footnote>
  <w:footnote w:id="6">
    <w:p>
      <w:pPr>
        <w:pStyle w:val="FootnoteText"/>
        <w:spacing w:after="0"/>
      </w:pPr>
      <w:r>
        <w:rPr>
          <w:rStyle w:val="FootnoteReference"/>
        </w:rPr>
        <w:footnoteRef/>
      </w:r>
      <w:r>
        <w:t xml:space="preserve"> Kommissionens konsekvensbedömningar SWD(2017) 304 och SWD(2018) 127.</w:t>
      </w:r>
    </w:p>
  </w:footnote>
  <w:footnote w:id="7">
    <w:p>
      <w:pPr>
        <w:pStyle w:val="FootnoteText"/>
        <w:spacing w:after="0"/>
      </w:pPr>
      <w:r>
        <w:rPr>
          <w:rStyle w:val="FootnoteReference"/>
        </w:rPr>
        <w:footnoteRef/>
      </w:r>
      <w:r>
        <w:t xml:space="preserve"> Kommissionens konsekvensbedömning, SWD(2016) 341.</w:t>
      </w:r>
    </w:p>
  </w:footnote>
  <w:footnote w:id="8">
    <w:p>
      <w:pPr>
        <w:pStyle w:val="FootnoteText"/>
        <w:spacing w:after="0"/>
      </w:pPr>
      <w:r>
        <w:rPr>
          <w:rStyle w:val="FootnoteReference"/>
        </w:rPr>
        <w:footnoteRef/>
      </w:r>
      <w:r>
        <w:t xml:space="preserve"> Kommissionens konsekvensbedömning, SWD(2018) 183.</w:t>
      </w:r>
    </w:p>
  </w:footnote>
  <w:footnote w:id="9">
    <w:p>
      <w:pPr>
        <w:pStyle w:val="FootnoteText"/>
        <w:spacing w:after="0"/>
      </w:pPr>
      <w:r>
        <w:rPr>
          <w:rStyle w:val="FootnoteReference"/>
        </w:rPr>
        <w:footnoteRef/>
      </w:r>
      <w:r>
        <w:t xml:space="preserve"> Kommissionens konsekvensbedömning, SWD(2018) 254.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09C"/>
    <w:multiLevelType w:val="hybridMultilevel"/>
    <w:tmpl w:val="849CB8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A10DAA"/>
    <w:multiLevelType w:val="hybridMultilevel"/>
    <w:tmpl w:val="4B0204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8FC6CDC"/>
    <w:multiLevelType w:val="hybridMultilevel"/>
    <w:tmpl w:val="6B54ED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F3154F"/>
    <w:multiLevelType w:val="hybridMultilevel"/>
    <w:tmpl w:val="3E9083A0"/>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nsid w:val="18D9019B"/>
    <w:multiLevelType w:val="hybridMultilevel"/>
    <w:tmpl w:val="AA9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101BF9"/>
    <w:multiLevelType w:val="hybridMultilevel"/>
    <w:tmpl w:val="7430C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A113AB"/>
    <w:multiLevelType w:val="hybridMultilevel"/>
    <w:tmpl w:val="598E0362"/>
    <w:lvl w:ilvl="0" w:tplc="8C6A2D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nsid w:val="55C41AE3"/>
    <w:multiLevelType w:val="hybridMultilevel"/>
    <w:tmpl w:val="65748962"/>
    <w:lvl w:ilvl="0" w:tplc="8C6A2D9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522EC7"/>
    <w:multiLevelType w:val="hybridMultilevel"/>
    <w:tmpl w:val="EA42694C"/>
    <w:lvl w:ilvl="0" w:tplc="B8C87C32">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34295C"/>
    <w:multiLevelType w:val="hybridMultilevel"/>
    <w:tmpl w:val="8B70D6F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9"/>
  </w:num>
  <w:num w:numId="5">
    <w:abstractNumId w:val="10"/>
  </w:num>
  <w:num w:numId="6">
    <w:abstractNumId w:val="2"/>
  </w:num>
  <w:num w:numId="7">
    <w:abstractNumId w:val="8"/>
  </w:num>
  <w:num w:numId="8">
    <w:abstractNumId w:val="8"/>
  </w:num>
  <w:num w:numId="9">
    <w:abstractNumId w:val="8"/>
  </w:num>
  <w:num w:numId="10">
    <w:abstractNumId w:val="3"/>
  </w:num>
  <w:num w:numId="11">
    <w:abstractNumId w:val="0"/>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l"/>
    <w:docVar w:name="LW_ANNEX_NBR_FIRST" w:val="1"/>
    <w:docVar w:name="LW_ANNEX_NBR_LAST" w:val="2"/>
    <w:docVar w:name="LW_ANNEX_UNIQUE" w:val="0"/>
    <w:docVar w:name="LW_CORRIGENDUM" w:val="&lt;UNUSED&gt;"/>
    <w:docVar w:name="LW_COVERPAGE_EXISTS" w:val="True"/>
    <w:docVar w:name="LW_COVERPAGE_GUID" w:val="634F86EF-5FB0-4B75-A64A-B75E5525A11A"/>
    <w:docVar w:name="LW_COVERPAGE_TYPE" w:val="1"/>
    <w:docVar w:name="LW_CROSSREFERENCE" w:val="&lt;UNUSED&gt;"/>
    <w:docVar w:name="LW_DocType" w:val="NORMAL"/>
    <w:docVar w:name="LW_EMISSION" w:val="22.11.2018"/>
    <w:docVar w:name="LW_EMISSION_ISODATE" w:val="2018-11-22"/>
    <w:docVar w:name="LW_EMISSION_LOCATION" w:val="BRX"/>
    <w:docVar w:name="LW_EMISSION_PREFIX" w:val="Bryssel den "/>
    <w:docVar w:name="LW_EMISSION_SUFFIX" w:val=" "/>
    <w:docVar w:name="LW_ID_DOCTYPE_NONLW" w:val="CP-039"/>
    <w:docVar w:name="LW_LANGUE" w:val="SV"/>
    <w:docVar w:name="LW_LEVEL_OF_SENSITIVITY" w:val="Standard treatment"/>
    <w:docVar w:name="LW_NOM.INST" w:val="EUROPEISKA KOMMISSIONEN"/>
    <w:docVar w:name="LW_NOM.INST_JOINTDOC" w:val="&lt;EMPTY&gt;"/>
    <w:docVar w:name="LW_OBJETACTEPRINCIPAL.CP" w:val="Den inre marknaden i en värld som förändras_x000b__x000b_En unik tillgång som kräver ett nytt politiskt åtagande_x000b_"/>
    <w:docVar w:name="LW_PART_NBR" w:val="&lt;UNUSED&gt;"/>
    <w:docVar w:name="LW_PART_NBR_TOTAL" w:val="&lt;UNUSED&gt;"/>
    <w:docVar w:name="LW_REF.INST.NEW" w:val="COM"/>
    <w:docVar w:name="LW_REF.INST.NEW_ADOPTED" w:val="final"/>
    <w:docVar w:name="LW_REF.INST.NEW_TEXT" w:val="(2018) 7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LAGOR_x000b_"/>
    <w:docVar w:name="LW_TYPEACTEPRINCIPAL.CP" w:val="MEDDELANDE FRÅN KOMMISSIONEN TILL EUROPAPARLAMENTET, EUROPEISKA RÅDET, RÅDET, EUROPEISKA EKONOMISKA OCH SOCIALA KOMMITTÉN OCH REGIONKOMMITTÉN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9">
    <w:name w:val="A9"/>
    <w:uiPriority w:val="99"/>
    <w:rPr>
      <w:color w:val="000000"/>
      <w:sz w:val="16"/>
    </w:rPr>
  </w:style>
  <w:style w:type="paragraph" w:customStyle="1" w:styleId="Pa5">
    <w:name w:val="Pa5"/>
    <w:basedOn w:val="Normal"/>
    <w:next w:val="Normal"/>
    <w:uiPriority w:val="99"/>
    <w:pPr>
      <w:autoSpaceDE w:val="0"/>
      <w:autoSpaceDN w:val="0"/>
      <w:adjustRightInd w:val="0"/>
      <w:spacing w:after="0" w:line="241" w:lineRule="atLeast"/>
    </w:pPr>
    <w:rPr>
      <w:rFonts w:ascii="EC Square Sans Pro Medium" w:hAnsi="EC Square Sans Pro Medium"/>
      <w:sz w:val="24"/>
      <w:szCs w:val="24"/>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ListBullet">
    <w:name w:val="List Bullet"/>
    <w:basedOn w:val="Normal"/>
    <w:pPr>
      <w:numPr>
        <w:numId w:val="13"/>
      </w:numPr>
      <w:spacing w:after="240" w:line="240" w:lineRule="auto"/>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9">
    <w:name w:val="A9"/>
    <w:uiPriority w:val="99"/>
    <w:rPr>
      <w:color w:val="000000"/>
      <w:sz w:val="16"/>
    </w:rPr>
  </w:style>
  <w:style w:type="paragraph" w:customStyle="1" w:styleId="Pa5">
    <w:name w:val="Pa5"/>
    <w:basedOn w:val="Normal"/>
    <w:next w:val="Normal"/>
    <w:uiPriority w:val="99"/>
    <w:pPr>
      <w:autoSpaceDE w:val="0"/>
      <w:autoSpaceDN w:val="0"/>
      <w:adjustRightInd w:val="0"/>
      <w:spacing w:after="0" w:line="241" w:lineRule="atLeast"/>
    </w:pPr>
    <w:rPr>
      <w:rFonts w:ascii="EC Square Sans Pro Medium" w:hAnsi="EC Square Sans Pro Medium"/>
      <w:sz w:val="24"/>
      <w:szCs w:val="24"/>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ListBullet">
    <w:name w:val="List Bullet"/>
    <w:basedOn w:val="Normal"/>
    <w:pPr>
      <w:numPr>
        <w:numId w:val="13"/>
      </w:numPr>
      <w:spacing w:after="240" w:line="240" w:lineRule="auto"/>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467">
      <w:bodyDiv w:val="1"/>
      <w:marLeft w:val="0"/>
      <w:marRight w:val="0"/>
      <w:marTop w:val="0"/>
      <w:marBottom w:val="0"/>
      <w:divBdr>
        <w:top w:val="none" w:sz="0" w:space="0" w:color="auto"/>
        <w:left w:val="none" w:sz="0" w:space="0" w:color="auto"/>
        <w:bottom w:val="none" w:sz="0" w:space="0" w:color="auto"/>
        <w:right w:val="none" w:sz="0" w:space="0" w:color="auto"/>
      </w:divBdr>
    </w:div>
    <w:div w:id="296959604">
      <w:bodyDiv w:val="1"/>
      <w:marLeft w:val="0"/>
      <w:marRight w:val="0"/>
      <w:marTop w:val="0"/>
      <w:marBottom w:val="0"/>
      <w:divBdr>
        <w:top w:val="none" w:sz="0" w:space="0" w:color="auto"/>
        <w:left w:val="none" w:sz="0" w:space="0" w:color="auto"/>
        <w:bottom w:val="none" w:sz="0" w:space="0" w:color="auto"/>
        <w:right w:val="none" w:sz="0" w:space="0" w:color="auto"/>
      </w:divBdr>
    </w:div>
    <w:div w:id="316306414">
      <w:bodyDiv w:val="1"/>
      <w:marLeft w:val="0"/>
      <w:marRight w:val="0"/>
      <w:marTop w:val="0"/>
      <w:marBottom w:val="0"/>
      <w:divBdr>
        <w:top w:val="none" w:sz="0" w:space="0" w:color="auto"/>
        <w:left w:val="none" w:sz="0" w:space="0" w:color="auto"/>
        <w:bottom w:val="none" w:sz="0" w:space="0" w:color="auto"/>
        <w:right w:val="none" w:sz="0" w:space="0" w:color="auto"/>
      </w:divBdr>
    </w:div>
    <w:div w:id="403187846">
      <w:bodyDiv w:val="1"/>
      <w:marLeft w:val="0"/>
      <w:marRight w:val="0"/>
      <w:marTop w:val="0"/>
      <w:marBottom w:val="0"/>
      <w:divBdr>
        <w:top w:val="none" w:sz="0" w:space="0" w:color="auto"/>
        <w:left w:val="none" w:sz="0" w:space="0" w:color="auto"/>
        <w:bottom w:val="none" w:sz="0" w:space="0" w:color="auto"/>
        <w:right w:val="none" w:sz="0" w:space="0" w:color="auto"/>
      </w:divBdr>
    </w:div>
    <w:div w:id="597106675">
      <w:bodyDiv w:val="1"/>
      <w:marLeft w:val="0"/>
      <w:marRight w:val="0"/>
      <w:marTop w:val="0"/>
      <w:marBottom w:val="0"/>
      <w:divBdr>
        <w:top w:val="none" w:sz="0" w:space="0" w:color="auto"/>
        <w:left w:val="none" w:sz="0" w:space="0" w:color="auto"/>
        <w:bottom w:val="none" w:sz="0" w:space="0" w:color="auto"/>
        <w:right w:val="none" w:sz="0" w:space="0" w:color="auto"/>
      </w:divBdr>
    </w:div>
    <w:div w:id="655955985">
      <w:bodyDiv w:val="1"/>
      <w:marLeft w:val="0"/>
      <w:marRight w:val="0"/>
      <w:marTop w:val="0"/>
      <w:marBottom w:val="0"/>
      <w:divBdr>
        <w:top w:val="none" w:sz="0" w:space="0" w:color="auto"/>
        <w:left w:val="none" w:sz="0" w:space="0" w:color="auto"/>
        <w:bottom w:val="none" w:sz="0" w:space="0" w:color="auto"/>
        <w:right w:val="none" w:sz="0" w:space="0" w:color="auto"/>
      </w:divBdr>
    </w:div>
    <w:div w:id="678315520">
      <w:bodyDiv w:val="1"/>
      <w:marLeft w:val="0"/>
      <w:marRight w:val="0"/>
      <w:marTop w:val="0"/>
      <w:marBottom w:val="0"/>
      <w:divBdr>
        <w:top w:val="none" w:sz="0" w:space="0" w:color="auto"/>
        <w:left w:val="none" w:sz="0" w:space="0" w:color="auto"/>
        <w:bottom w:val="none" w:sz="0" w:space="0" w:color="auto"/>
        <w:right w:val="none" w:sz="0" w:space="0" w:color="auto"/>
      </w:divBdr>
    </w:div>
    <w:div w:id="713502684">
      <w:bodyDiv w:val="1"/>
      <w:marLeft w:val="0"/>
      <w:marRight w:val="0"/>
      <w:marTop w:val="0"/>
      <w:marBottom w:val="0"/>
      <w:divBdr>
        <w:top w:val="none" w:sz="0" w:space="0" w:color="auto"/>
        <w:left w:val="none" w:sz="0" w:space="0" w:color="auto"/>
        <w:bottom w:val="none" w:sz="0" w:space="0" w:color="auto"/>
        <w:right w:val="none" w:sz="0" w:space="0" w:color="auto"/>
      </w:divBdr>
    </w:div>
    <w:div w:id="858356232">
      <w:bodyDiv w:val="1"/>
      <w:marLeft w:val="0"/>
      <w:marRight w:val="0"/>
      <w:marTop w:val="0"/>
      <w:marBottom w:val="0"/>
      <w:divBdr>
        <w:top w:val="none" w:sz="0" w:space="0" w:color="auto"/>
        <w:left w:val="none" w:sz="0" w:space="0" w:color="auto"/>
        <w:bottom w:val="none" w:sz="0" w:space="0" w:color="auto"/>
        <w:right w:val="none" w:sz="0" w:space="0" w:color="auto"/>
      </w:divBdr>
    </w:div>
    <w:div w:id="941452788">
      <w:bodyDiv w:val="1"/>
      <w:marLeft w:val="0"/>
      <w:marRight w:val="0"/>
      <w:marTop w:val="0"/>
      <w:marBottom w:val="0"/>
      <w:divBdr>
        <w:top w:val="none" w:sz="0" w:space="0" w:color="auto"/>
        <w:left w:val="none" w:sz="0" w:space="0" w:color="auto"/>
        <w:bottom w:val="none" w:sz="0" w:space="0" w:color="auto"/>
        <w:right w:val="none" w:sz="0" w:space="0" w:color="auto"/>
      </w:divBdr>
    </w:div>
    <w:div w:id="1086805006">
      <w:bodyDiv w:val="1"/>
      <w:marLeft w:val="0"/>
      <w:marRight w:val="0"/>
      <w:marTop w:val="0"/>
      <w:marBottom w:val="0"/>
      <w:divBdr>
        <w:top w:val="none" w:sz="0" w:space="0" w:color="auto"/>
        <w:left w:val="none" w:sz="0" w:space="0" w:color="auto"/>
        <w:bottom w:val="none" w:sz="0" w:space="0" w:color="auto"/>
        <w:right w:val="none" w:sz="0" w:space="0" w:color="auto"/>
      </w:divBdr>
    </w:div>
    <w:div w:id="1124232209">
      <w:bodyDiv w:val="1"/>
      <w:marLeft w:val="0"/>
      <w:marRight w:val="0"/>
      <w:marTop w:val="0"/>
      <w:marBottom w:val="0"/>
      <w:divBdr>
        <w:top w:val="none" w:sz="0" w:space="0" w:color="auto"/>
        <w:left w:val="none" w:sz="0" w:space="0" w:color="auto"/>
        <w:bottom w:val="none" w:sz="0" w:space="0" w:color="auto"/>
        <w:right w:val="none" w:sz="0" w:space="0" w:color="auto"/>
      </w:divBdr>
    </w:div>
    <w:div w:id="1184242631">
      <w:bodyDiv w:val="1"/>
      <w:marLeft w:val="0"/>
      <w:marRight w:val="0"/>
      <w:marTop w:val="0"/>
      <w:marBottom w:val="0"/>
      <w:divBdr>
        <w:top w:val="none" w:sz="0" w:space="0" w:color="auto"/>
        <w:left w:val="none" w:sz="0" w:space="0" w:color="auto"/>
        <w:bottom w:val="none" w:sz="0" w:space="0" w:color="auto"/>
        <w:right w:val="none" w:sz="0" w:space="0" w:color="auto"/>
      </w:divBdr>
    </w:div>
    <w:div w:id="1204515940">
      <w:bodyDiv w:val="1"/>
      <w:marLeft w:val="0"/>
      <w:marRight w:val="0"/>
      <w:marTop w:val="0"/>
      <w:marBottom w:val="0"/>
      <w:divBdr>
        <w:top w:val="none" w:sz="0" w:space="0" w:color="auto"/>
        <w:left w:val="none" w:sz="0" w:space="0" w:color="auto"/>
        <w:bottom w:val="none" w:sz="0" w:space="0" w:color="auto"/>
        <w:right w:val="none" w:sz="0" w:space="0" w:color="auto"/>
      </w:divBdr>
    </w:div>
    <w:div w:id="1238318772">
      <w:bodyDiv w:val="1"/>
      <w:marLeft w:val="0"/>
      <w:marRight w:val="0"/>
      <w:marTop w:val="0"/>
      <w:marBottom w:val="0"/>
      <w:divBdr>
        <w:top w:val="none" w:sz="0" w:space="0" w:color="auto"/>
        <w:left w:val="none" w:sz="0" w:space="0" w:color="auto"/>
        <w:bottom w:val="none" w:sz="0" w:space="0" w:color="auto"/>
        <w:right w:val="none" w:sz="0" w:space="0" w:color="auto"/>
      </w:divBdr>
    </w:div>
    <w:div w:id="1407069824">
      <w:bodyDiv w:val="1"/>
      <w:marLeft w:val="0"/>
      <w:marRight w:val="0"/>
      <w:marTop w:val="0"/>
      <w:marBottom w:val="0"/>
      <w:divBdr>
        <w:top w:val="none" w:sz="0" w:space="0" w:color="auto"/>
        <w:left w:val="none" w:sz="0" w:space="0" w:color="auto"/>
        <w:bottom w:val="none" w:sz="0" w:space="0" w:color="auto"/>
        <w:right w:val="none" w:sz="0" w:space="0" w:color="auto"/>
      </w:divBdr>
    </w:div>
    <w:div w:id="1488404069">
      <w:bodyDiv w:val="1"/>
      <w:marLeft w:val="0"/>
      <w:marRight w:val="0"/>
      <w:marTop w:val="0"/>
      <w:marBottom w:val="0"/>
      <w:divBdr>
        <w:top w:val="none" w:sz="0" w:space="0" w:color="auto"/>
        <w:left w:val="none" w:sz="0" w:space="0" w:color="auto"/>
        <w:bottom w:val="none" w:sz="0" w:space="0" w:color="auto"/>
        <w:right w:val="none" w:sz="0" w:space="0" w:color="auto"/>
      </w:divBdr>
    </w:div>
    <w:div w:id="1596669879">
      <w:bodyDiv w:val="1"/>
      <w:marLeft w:val="0"/>
      <w:marRight w:val="0"/>
      <w:marTop w:val="0"/>
      <w:marBottom w:val="0"/>
      <w:divBdr>
        <w:top w:val="none" w:sz="0" w:space="0" w:color="auto"/>
        <w:left w:val="none" w:sz="0" w:space="0" w:color="auto"/>
        <w:bottom w:val="none" w:sz="0" w:space="0" w:color="auto"/>
        <w:right w:val="none" w:sz="0" w:space="0" w:color="auto"/>
      </w:divBdr>
    </w:div>
    <w:div w:id="1944073727">
      <w:bodyDiv w:val="1"/>
      <w:marLeft w:val="0"/>
      <w:marRight w:val="0"/>
      <w:marTop w:val="0"/>
      <w:marBottom w:val="0"/>
      <w:divBdr>
        <w:top w:val="none" w:sz="0" w:space="0" w:color="auto"/>
        <w:left w:val="none" w:sz="0" w:space="0" w:color="auto"/>
        <w:bottom w:val="none" w:sz="0" w:space="0" w:color="auto"/>
        <w:right w:val="none" w:sz="0" w:space="0" w:color="auto"/>
      </w:divBdr>
    </w:div>
    <w:div w:id="1986615681">
      <w:bodyDiv w:val="1"/>
      <w:marLeft w:val="0"/>
      <w:marRight w:val="0"/>
      <w:marTop w:val="0"/>
      <w:marBottom w:val="0"/>
      <w:divBdr>
        <w:top w:val="none" w:sz="0" w:space="0" w:color="auto"/>
        <w:left w:val="none" w:sz="0" w:space="0" w:color="auto"/>
        <w:bottom w:val="none" w:sz="0" w:space="0" w:color="auto"/>
        <w:right w:val="none" w:sz="0" w:space="0" w:color="auto"/>
      </w:divBdr>
    </w:div>
    <w:div w:id="2051374450">
      <w:bodyDiv w:val="1"/>
      <w:marLeft w:val="0"/>
      <w:marRight w:val="0"/>
      <w:marTop w:val="0"/>
      <w:marBottom w:val="0"/>
      <w:divBdr>
        <w:top w:val="none" w:sz="0" w:space="0" w:color="auto"/>
        <w:left w:val="none" w:sz="0" w:space="0" w:color="auto"/>
        <w:bottom w:val="none" w:sz="0" w:space="0" w:color="auto"/>
        <w:right w:val="none" w:sz="0" w:space="0" w:color="auto"/>
      </w:divBdr>
    </w:div>
    <w:div w:id="21413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2A4E91E4F8467C41BA287E477D1B3A95" ma:contentTypeVersion="1" ma:contentTypeDescription="Create a new document in this library." ma:contentTypeScope="" ma:versionID="a96336c07120f4b798f79f67d92262c7">
  <xsd:schema xmlns:xsd="http://www.w3.org/2001/XMLSchema" xmlns:xs="http://www.w3.org/2001/XMLSchema" xmlns:p="http://schemas.microsoft.com/office/2006/metadata/properties" xmlns:ns3="6bd4a52e-2f99-4b15-8d06-554c40a38984" targetNamespace="http://schemas.microsoft.com/office/2006/metadata/properties" ma:root="true" ma:fieldsID="94ef65a6eda96269cea6906b956cad20" ns3:_="">
    <xsd:import namespace="6bd4a52e-2f99-4b15-8d06-554c40a38984"/>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4a52e-2f99-4b15-8d06-554c40a3898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6bd4a52e-2f99-4b15-8d06-554c40a38984">EN</EC_Collab_DocumentLanguage>
    <EC_Collab_Status xmlns="6bd4a52e-2f99-4b15-8d06-554c40a38984">Not Started</EC_Collab_Status>
    <EC_Collab_Reference xmlns="6bd4a52e-2f99-4b15-8d06-554c40a3898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8BF7-98BB-42CA-B83E-0ECE1EFA8B5F}">
  <ds:schemaRefs>
    <ds:schemaRef ds:uri="http://schemas.microsoft.com/sharepoint/v3/contenttype/forms"/>
  </ds:schemaRefs>
</ds:datastoreItem>
</file>

<file path=customXml/itemProps2.xml><?xml version="1.0" encoding="utf-8"?>
<ds:datastoreItem xmlns:ds="http://schemas.openxmlformats.org/officeDocument/2006/customXml" ds:itemID="{00F74B81-DEC5-411E-A474-26C935C6F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4a52e-2f99-4b15-8d06-554c40a38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ACDA0-AC75-4C88-AE5E-6FB6EEE8B388}">
  <ds:schemaRef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6bd4a52e-2f99-4b15-8d06-554c40a38984"/>
  </ds:schemaRefs>
</ds:datastoreItem>
</file>

<file path=customXml/itemProps4.xml><?xml version="1.0" encoding="utf-8"?>
<ds:datastoreItem xmlns:ds="http://schemas.openxmlformats.org/officeDocument/2006/customXml" ds:itemID="{F6CB45DA-0DAC-4037-A88D-B89747A1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1418</Words>
  <Characters>9067</Characters>
  <Application>Microsoft Office Word</Application>
  <DocSecurity>0</DocSecurity>
  <Lines>453</Lines>
  <Paragraphs>183</Paragraphs>
  <ScaleCrop>false</ScaleCrop>
  <HeadingPairs>
    <vt:vector size="2" baseType="variant">
      <vt:variant>
        <vt:lpstr>Title</vt:lpstr>
      </vt:variant>
      <vt:variant>
        <vt:i4>1</vt:i4>
      </vt:variant>
    </vt:vector>
  </HeadingPairs>
  <TitlesOfParts>
    <vt:vector size="1" baseType="lpstr">
      <vt:lpstr>Annex SMC-12/11/2018 17:30h</vt:lpstr>
    </vt:vector>
  </TitlesOfParts>
  <Company>European Commission</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SMC-12/11/2018 17:30h</dc:title>
  <dc:creator>kaimenakis</dc:creator>
  <cp:lastModifiedBy>DIGIT/C6</cp:lastModifiedBy>
  <cp:revision>12</cp:revision>
  <cp:lastPrinted>2018-11-23T12:32:00Z</cp:lastPrinted>
  <dcterms:created xsi:type="dcterms:W3CDTF">2018-11-19T18:40:00Z</dcterms:created>
  <dcterms:modified xsi:type="dcterms:W3CDTF">2018-11-27T11:15:00Z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0x010100258AA79CEB83498886A3A08681123250002A4E91E4F8467C41BA287E477D1B3A95</vt:lpwstr>
  </property>
  <property fmtid="{D5CDD505-2E9C-101B-9397-08002B2CF9AE}" pid="3" name="Level of sensitivity">
    <vt:lpwstr>Standard treatment</vt:lpwstr>
  </property>
  <property fmtid="{D5CDD505-2E9C-101B-9397-08002B2CF9AE}" pid="4" name="First annex">
    <vt:lpwstr>1</vt:lpwstr>
  </property>
  <property fmtid="{D5CDD505-2E9C-101B-9397-08002B2CF9AE}" pid="5" name="Last annex">
    <vt:lpwstr>2</vt:lpwstr>
  </property>
  <property fmtid="{D5CDD505-2E9C-101B-9397-08002B2CF9AE}" pid="6" name="Unique annex">
    <vt:lpwstr>0</vt:lpwstr>
  </property>
  <property fmtid="{D5CDD505-2E9C-101B-9397-08002B2CF9AE}" pid="7" name="Part">
    <vt:lpwstr>&lt;UNUSED&gt;</vt:lpwstr>
  </property>
  <property fmtid="{D5CDD505-2E9C-101B-9397-08002B2CF9AE}" pid="8" name="Total parts">
    <vt:lpwstr>&lt;UNUSED&gt;</vt:lpwstr>
  </property>
  <property fmtid="{D5CDD505-2E9C-101B-9397-08002B2CF9AE}" pid="9" name="DocStatus">
    <vt:lpwstr>Green</vt:lpwstr>
  </property>
  <property fmtid="{D5CDD505-2E9C-101B-9397-08002B2CF9AE}" pid="10" name="Created using">
    <vt:lpwstr>LW 6.0.1, Build 20180503</vt:lpwstr>
  </property>
  <property fmtid="{D5CDD505-2E9C-101B-9397-08002B2CF9AE}" pid="11" name="Last edited using">
    <vt:lpwstr>LW 6.0.1, Build 20180503</vt:lpwstr>
  </property>
</Properties>
</file>