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8A346F13-047F-4479-B4EE-AC3C5322B26A" style="width:451.5pt;height:447.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240" w:line="240" w:lineRule="auto"/>
        <w:jc w:val="center"/>
        <w:rPr>
          <w:rFonts w:ascii="Times New Roman" w:hAnsi="Times New Roman" w:cs="Times New Roman"/>
          <w:b/>
          <w:noProof/>
          <w:color w:val="000000" w:themeColor="text1"/>
          <w:sz w:val="24"/>
          <w:szCs w:val="24"/>
          <w:u w:val="single"/>
        </w:rPr>
      </w:pPr>
      <w:bookmarkStart w:id="1" w:name="_GoBack"/>
      <w:bookmarkEnd w:id="1"/>
      <w:r>
        <w:rPr>
          <w:rFonts w:ascii="Times New Roman" w:hAnsi="Times New Roman"/>
          <w:b/>
          <w:noProof/>
          <w:color w:val="000000" w:themeColor="text1"/>
          <w:sz w:val="24"/>
          <w:u w:val="single"/>
        </w:rPr>
        <w:lastRenderedPageBreak/>
        <w:t>PRILOG 1.</w:t>
      </w:r>
    </w:p>
    <w:p>
      <w:pPr>
        <w:spacing w:after="240" w:line="240" w:lineRule="auto"/>
        <w:jc w:val="center"/>
        <w:rPr>
          <w:rFonts w:ascii="Times New Roman Bold" w:hAnsi="Times New Roman Bold" w:cs="Times New Roman"/>
          <w:b/>
          <w:noProof/>
          <w:color w:val="000000" w:themeColor="text1"/>
          <w:sz w:val="24"/>
          <w:szCs w:val="24"/>
        </w:rPr>
      </w:pPr>
      <w:r>
        <w:rPr>
          <w:rFonts w:ascii="Times New Roman Bold" w:hAnsi="Times New Roman Bold"/>
          <w:b/>
          <w:noProof/>
          <w:color w:val="000000" w:themeColor="text1"/>
          <w:sz w:val="24"/>
        </w:rPr>
        <w:t>Stanje zakonodavstva u pogledu strategije jedinstvenog tržišta, strategije jedinstvenog digitalnog tržišta i unije tržišta kapitala / bankarske unije</w:t>
      </w:r>
      <w:r>
        <w:rPr>
          <w:rStyle w:val="FootnoteReference"/>
          <w:rFonts w:ascii="Times New Roman Bold" w:hAnsi="Times New Roman Bold"/>
          <w:b/>
          <w:noProof/>
          <w:color w:val="000000" w:themeColor="text1"/>
          <w:sz w:val="24"/>
        </w:rPr>
        <w:footnoteReference w:id="2"/>
      </w:r>
    </w:p>
    <w:tbl>
      <w:tblPr>
        <w:tblStyle w:val="TableGrid"/>
        <w:tblW w:w="8504" w:type="dxa"/>
        <w:jc w:val="center"/>
        <w:tblLayout w:type="fixed"/>
        <w:tblLook w:val="04A0" w:firstRow="1" w:lastRow="0" w:firstColumn="1" w:lastColumn="0" w:noHBand="0" w:noVBand="1"/>
      </w:tblPr>
      <w:tblGrid>
        <w:gridCol w:w="566"/>
        <w:gridCol w:w="3867"/>
        <w:gridCol w:w="1851"/>
        <w:gridCol w:w="2220"/>
      </w:tblGrid>
      <w:tr>
        <w:trPr>
          <w:trHeight w:hRule="exact" w:val="1464"/>
          <w:jc w:val="center"/>
        </w:trPr>
        <w:tc>
          <w:tcPr>
            <w:tcW w:w="566" w:type="dxa"/>
            <w:tcBorders>
              <w:right w:val="nil"/>
            </w:tcBorders>
            <w:vAlign w:val="center"/>
          </w:tcPr>
          <w:p>
            <w:pPr>
              <w:ind w:left="360"/>
              <w:jc w:val="center"/>
              <w:rPr>
                <w:rFonts w:ascii="Times New Roman" w:hAnsi="Times New Roman" w:cs="Times New Roman"/>
                <w:b/>
                <w:noProof/>
                <w:color w:val="003399"/>
              </w:rPr>
            </w:pPr>
          </w:p>
        </w:tc>
        <w:tc>
          <w:tcPr>
            <w:tcW w:w="3867" w:type="dxa"/>
            <w:tcBorders>
              <w:left w:val="nil"/>
            </w:tcBorders>
            <w:vAlign w:val="center"/>
          </w:tcPr>
          <w:p>
            <w:pPr>
              <w:jc w:val="center"/>
              <w:rPr>
                <w:rFonts w:ascii="Times New Roman" w:hAnsi="Times New Roman" w:cs="Times New Roman"/>
                <w:b/>
                <w:noProof/>
                <w:color w:val="000066"/>
                <w:sz w:val="28"/>
                <w:szCs w:val="28"/>
              </w:rPr>
            </w:pPr>
            <w:r>
              <w:rPr>
                <w:rFonts w:ascii="Times New Roman" w:hAnsi="Times New Roman"/>
                <w:b/>
                <w:noProof/>
                <w:color w:val="000066"/>
                <w:sz w:val="28"/>
              </w:rPr>
              <w:t>OPIS POLITIKE</w:t>
            </w:r>
          </w:p>
        </w:tc>
        <w:tc>
          <w:tcPr>
            <w:tcW w:w="1851" w:type="dxa"/>
            <w:vAlign w:val="center"/>
          </w:tcPr>
          <w:p>
            <w:pPr>
              <w:tabs>
                <w:tab w:val="left" w:pos="720"/>
              </w:tabs>
              <w:jc w:val="center"/>
              <w:rPr>
                <w:rFonts w:ascii="Times New Roman" w:hAnsi="Times New Roman" w:cs="Times New Roman"/>
                <w:noProof/>
              </w:rPr>
            </w:pPr>
            <w:r>
              <w:rPr>
                <w:rFonts w:ascii="Times New Roman" w:hAnsi="Times New Roman" w:cs="Times New Roman"/>
                <w:noProof/>
              </w:rPr>
              <w:object w:dxaOrig="3225" w:dyaOrig="1920">
                <v:shape id="_x0000_i1026" type="#_x0000_t75" style="width:1in;height:42.75pt" o:ole="">
                  <v:imagedata r:id="rId19" o:title=""/>
                </v:shape>
                <o:OLEObject Type="Embed" ProgID="PBrush" ShapeID="_x0000_i1026" DrawAspect="Content" ObjectID="_1604826232" r:id="rId20"/>
              </w:object>
            </w:r>
          </w:p>
          <w:p>
            <w:pPr>
              <w:tabs>
                <w:tab w:val="left" w:pos="720"/>
              </w:tabs>
              <w:jc w:val="center"/>
              <w:rPr>
                <w:rFonts w:ascii="Times New Roman" w:hAnsi="Times New Roman" w:cs="Times New Roman"/>
                <w:noProof/>
                <w:sz w:val="20"/>
                <w:szCs w:val="20"/>
              </w:rPr>
            </w:pPr>
            <w:r>
              <w:rPr>
                <w:rFonts w:ascii="Times New Roman" w:hAnsi="Times New Roman"/>
                <w:noProof/>
                <w:sz w:val="20"/>
              </w:rPr>
              <w:t xml:space="preserve">EUROPSKI </w:t>
            </w:r>
          </w:p>
          <w:p>
            <w:pPr>
              <w:tabs>
                <w:tab w:val="left" w:pos="720"/>
              </w:tabs>
              <w:jc w:val="center"/>
              <w:rPr>
                <w:rFonts w:ascii="Times New Roman" w:hAnsi="Times New Roman" w:cs="Times New Roman"/>
                <w:b/>
                <w:noProof/>
                <w:color w:val="000000" w:themeColor="text1"/>
                <w:sz w:val="20"/>
                <w:szCs w:val="20"/>
              </w:rPr>
            </w:pPr>
            <w:r>
              <w:rPr>
                <w:rFonts w:ascii="Times New Roman" w:hAnsi="Times New Roman"/>
                <w:noProof/>
                <w:sz w:val="20"/>
              </w:rPr>
              <w:t>PARLAMENT</w:t>
            </w:r>
          </w:p>
        </w:tc>
        <w:tc>
          <w:tcPr>
            <w:tcW w:w="2220" w:type="dxa"/>
            <w:vAlign w:val="center"/>
          </w:tcPr>
          <w:p>
            <w:pPr>
              <w:jc w:val="center"/>
              <w:rPr>
                <w:rFonts w:ascii="Times New Roman" w:hAnsi="Times New Roman" w:cs="Times New Roman"/>
                <w:noProof/>
              </w:rPr>
            </w:pPr>
            <w:r>
              <w:rPr>
                <w:rFonts w:ascii="Times New Roman" w:hAnsi="Times New Roman" w:cs="Times New Roman"/>
                <w:noProof/>
              </w:rPr>
              <w:object w:dxaOrig="2805" w:dyaOrig="2490">
                <v:shape id="_x0000_i1027" type="#_x0000_t75" style="width:50.25pt;height:42.75pt" o:ole="">
                  <v:imagedata r:id="rId21" o:title=""/>
                </v:shape>
                <o:OLEObject Type="Embed" ProgID="PBrush" ShapeID="_x0000_i1027" DrawAspect="Content" ObjectID="_1604826233" r:id="rId22"/>
              </w:object>
            </w:r>
          </w:p>
          <w:p>
            <w:pPr>
              <w:jc w:val="center"/>
              <w:rPr>
                <w:rFonts w:ascii="Times New Roman" w:hAnsi="Times New Roman" w:cs="Times New Roman"/>
                <w:noProof/>
                <w:color w:val="000000" w:themeColor="text1"/>
                <w:sz w:val="20"/>
                <w:szCs w:val="20"/>
              </w:rPr>
            </w:pPr>
            <w:r>
              <w:rPr>
                <w:rFonts w:ascii="Times New Roman" w:hAnsi="Times New Roman"/>
                <w:noProof/>
                <w:sz w:val="20"/>
              </w:rPr>
              <w:t>VIJEĆE EUROPSKE UNIJE</w:t>
            </w:r>
          </w:p>
        </w:tc>
      </w:tr>
      <w:tr>
        <w:trPr>
          <w:trHeight w:hRule="exact" w:val="560"/>
          <w:jc w:val="center"/>
        </w:trPr>
        <w:tc>
          <w:tcPr>
            <w:tcW w:w="8504" w:type="dxa"/>
            <w:gridSpan w:val="4"/>
            <w:shd w:val="clear" w:color="auto" w:fill="D9D9D9" w:themeFill="background1" w:themeFillShade="D9"/>
            <w:vAlign w:val="center"/>
          </w:tcPr>
          <w:p>
            <w:pPr>
              <w:rPr>
                <w:rFonts w:ascii="Times New Roman" w:hAnsi="Times New Roman" w:cs="Times New Roman"/>
                <w:noProof/>
                <w:color w:val="000066"/>
                <w:sz w:val="28"/>
                <w:szCs w:val="28"/>
              </w:rPr>
            </w:pPr>
            <w:r>
              <w:rPr>
                <w:rFonts w:ascii="Times New Roman" w:hAnsi="Times New Roman"/>
                <w:b/>
                <w:noProof/>
                <w:color w:val="000066"/>
                <w:sz w:val="28"/>
              </w:rPr>
              <w:t>STRATEGIJA JEDINSTVENOG TRŽIŠTA</w:t>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Jedinstveni digitalni pristupnik</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Postupak obavješćivanja</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Informacijski instrument jedinstvenog tržišta (SMIT)</w:t>
            </w:r>
          </w:p>
        </w:tc>
        <w:tc>
          <w:tcPr>
            <w:tcW w:w="1851" w:type="dxa"/>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Paket o robi (uzajamno priznavanje)</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Paket o robi (sukladnost i izvršenje)</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Svjedodžba o dodatnoj zaštiti (SPC) – izuzeće za proizvodnju</w:t>
            </w:r>
          </w:p>
        </w:tc>
        <w:tc>
          <w:tcPr>
            <w:tcW w:w="1851" w:type="dxa"/>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e-kartica</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Uredba o uslugama prekogranične dostave paketa</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46"/>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Ispitivanje proporcionalnosti prije donošenja novih propisa kojima se uređuju profesije</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5"/>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Paket o pravu trgovačkih društava</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601"/>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Ocjena zdravstvenih tehnologija</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601"/>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Paket mjera „Nove pogodnosti za potrošače”</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0"/>
          <w:jc w:val="center"/>
        </w:trPr>
        <w:tc>
          <w:tcPr>
            <w:tcW w:w="8504" w:type="dxa"/>
            <w:gridSpan w:val="4"/>
            <w:shd w:val="clear" w:color="auto" w:fill="D9D9D9" w:themeFill="background1" w:themeFillShade="D9"/>
            <w:vAlign w:val="center"/>
          </w:tcPr>
          <w:p>
            <w:pPr>
              <w:rPr>
                <w:rFonts w:ascii="Times New Roman" w:hAnsi="Times New Roman" w:cs="Times New Roman"/>
                <w:b/>
                <w:noProof/>
                <w:color w:val="000066"/>
                <w:sz w:val="28"/>
                <w:szCs w:val="28"/>
              </w:rPr>
            </w:pPr>
            <w:r>
              <w:rPr>
                <w:rFonts w:ascii="Times New Roman" w:hAnsi="Times New Roman"/>
                <w:b/>
                <w:noProof/>
                <w:color w:val="000066"/>
                <w:sz w:val="28"/>
              </w:rPr>
              <w:t>JEDINSTVENO DIGITALNO TRŽIŠTE</w:t>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Internetska povezivost u lokalnim zajednicama (WiFi4EU)</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Prekogranična prenosivost usluga internetskog sadržaja</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Roaming</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Suradnja u području zaštite potrošača</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Porez na dodanu vrijednost za e-trgovinu</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Zaštita podataka u institucijama i tijelima Unije</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Zakonik elektroničkih komunikacija i Tijelo europskih regulatora</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Audiovizualne medijske usluge</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Reforma autorskog prava za slabovidne osobe (provedba Marakeškog ugovora )</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Primjerci u dostupnom formatu za slabovidne osobe (provedba Marakeškog ugovora)</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Uporaba frekvencijskog pojasa 470 – 790 MHz u Uniji</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Rješavanje pitanja neopravdanoga geografskog blokiranja</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Slobodan protok neosobnih podataka</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Ugovori o isporuci digitalnog sadržaja</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 xml:space="preserve">Ugovori o internetskoj prodaji robe i drugim oblicima prodaje robe na daljinu </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2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Pravednost za poslovne korisnike usluga internetskog posredovanja (odnosi između platformi i poduzeća)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e-privatnost</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Autorsko pravo</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Uredba o radiodifuziji (autorsko pravo)</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Akt o kibersigurnosti</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Ponovna uporaba informacija javnog sektora</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Naziv vršne .eu domene</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Centar za stručnost u području kibersigurnosti i mreža</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Računalstvo visokih performansi</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Porez na dodanu vrijednost za elektroničke publikacije</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8504" w:type="dxa"/>
            <w:gridSpan w:val="4"/>
            <w:shd w:val="clear" w:color="auto" w:fill="D9D9D9" w:themeFill="background1" w:themeFillShade="D9"/>
            <w:vAlign w:val="center"/>
          </w:tcPr>
          <w:p>
            <w:pPr>
              <w:keepNext/>
              <w:rPr>
                <w:rFonts w:ascii="Times New Roman" w:hAnsi="Times New Roman" w:cs="Times New Roman"/>
                <w:b/>
                <w:noProof/>
                <w:color w:val="000066"/>
                <w:sz w:val="28"/>
                <w:szCs w:val="28"/>
              </w:rPr>
            </w:pPr>
            <w:r>
              <w:rPr>
                <w:rFonts w:ascii="Times New Roman" w:hAnsi="Times New Roman"/>
                <w:b/>
                <w:noProof/>
                <w:color w:val="000066"/>
                <w:sz w:val="28"/>
              </w:rPr>
              <w:t>UNIJA TRŽIŠTA KAPITALA / BANKARSKA UNIJA</w:t>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Jednostavna, transparentna i standardizirana sekuritizacija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Prospekt</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Europski fondovi poduzetničkog kapitala (EuVECA)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Preventivno restrukturiranje, druga prilika i učinkovitost postupaka</w:t>
            </w:r>
          </w:p>
        </w:tc>
        <w:tc>
          <w:tcPr>
            <w:tcW w:w="1851"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Paneuropski osobni mirovinski proizvod</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Revizija europskih nadzornih tijela</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tabs>
                <w:tab w:val="left" w:pos="744"/>
              </w:tabs>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Okvir EU-a za skupno financiranje</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Okvir za europske pokrivene obveznice</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5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Olakšavanje prekogranične distribucije investicijskih fondova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Učinci ustupanja potraživanja na treće osobe</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Promicanje rastućih tržišta malih i srednjih poduzeća</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7"/>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Proporcionalnija i učinkovitija pravila za investicijska društva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7"/>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Uredba o infrastrukturi europskog tržišta (nadzor)</w:t>
            </w:r>
          </w:p>
        </w:tc>
        <w:tc>
          <w:tcPr>
            <w:tcW w:w="1851"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Uredba o infrastrukturi europskog tržišta (Refit)</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Oporavak i sanacija središnjih drugih ugovornih strana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Održivo financiranje: taksonomija</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32"/>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Održivo financiranje: objavljivanje</w:t>
            </w:r>
          </w:p>
        </w:tc>
        <w:tc>
          <w:tcPr>
            <w:tcW w:w="1851" w:type="dxa"/>
            <w:vAlign w:val="center"/>
          </w:tcPr>
          <w:p>
            <w:pPr>
              <w:jc w:val="center"/>
              <w:rPr>
                <w:rFonts w:ascii="Times New Roman" w:hAnsi="Times New Roman" w:cs="Times New Roman"/>
                <w:noProof/>
              </w:rPr>
            </w:pPr>
            <w:r>
              <w:rPr>
                <w:b/>
                <w:noProof/>
                <w:color w:val="003399"/>
                <w:sz w:val="20"/>
                <w:szCs w:val="20"/>
                <w:lang w:val="en-GB" w:eastAsia="en-GB" w:bidi="ar-SA"/>
              </w:rPr>
              <w:drawing>
                <wp:inline distT="0" distB="0" distL="0" distR="0">
                  <wp:extent cx="200025" cy="2095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Održivo financiranje: referentne vrijednosti za niske emisije ugljika</w:t>
            </w:r>
          </w:p>
        </w:tc>
        <w:tc>
          <w:tcPr>
            <w:tcW w:w="1851"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3399"/>
                <w:sz w:val="20"/>
                <w:szCs w:val="20"/>
                <w:lang w:val="en-GB" w:eastAsia="en-GB" w:bidi="ar-SA"/>
              </w:rPr>
              <w:drawing>
                <wp:inline distT="0" distB="0" distL="0" distR="0">
                  <wp:extent cx="200025" cy="2095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Rangiranje neosiguranih dužničkih instrumenata u insolvencijskoj hijerarhiji</w:t>
            </w:r>
          </w:p>
        </w:tc>
        <w:tc>
          <w:tcPr>
            <w:tcW w:w="1851" w:type="dxa"/>
            <w:vAlign w:val="center"/>
          </w:tcPr>
          <w:p>
            <w:pPr>
              <w:jc w:val="center"/>
              <w:rPr>
                <w:b/>
                <w:noProof/>
                <w:color w:val="000000" w:themeColor="text1"/>
                <w:sz w:val="20"/>
                <w:szCs w:val="20"/>
              </w:rPr>
            </w:pPr>
            <w:r>
              <w:rPr>
                <w:b/>
                <w:noProof/>
                <w:color w:val="003399"/>
                <w:sz w:val="20"/>
                <w:szCs w:val="20"/>
                <w:lang w:val="en-GB" w:eastAsia="en-GB" w:bidi="ar-SA"/>
              </w:rPr>
              <w:drawing>
                <wp:inline distT="0" distB="0" distL="0" distR="0">
                  <wp:extent cx="200025" cy="20955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0000" w:themeColor="text1"/>
                <w:sz w:val="20"/>
                <w:szCs w:val="20"/>
              </w:rPr>
            </w:pPr>
            <w:r>
              <w:rPr>
                <w:b/>
                <w:noProof/>
                <w:color w:val="003399"/>
                <w:sz w:val="20"/>
                <w:szCs w:val="20"/>
                <w:lang w:val="en-GB" w:eastAsia="en-GB" w:bidi="ar-SA"/>
              </w:rPr>
              <w:drawing>
                <wp:inline distT="0" distB="0" distL="0" distR="0">
                  <wp:extent cx="200025" cy="2095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Europski sustav osiguranja depozita</w:t>
            </w:r>
          </w:p>
        </w:tc>
        <w:tc>
          <w:tcPr>
            <w:tcW w:w="1851"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Reforma kapitalnih zahtjeva</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Kapacitet pokrića gubitaka i dokapitalizacije (uredba i direktiva)</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Nadzor nad kreditnim institucijama i investicijskim društvima</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8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Daljnji razvoj sekundarnih tržišta za loše kredite, uključujući učinkovitiji povrat vrijednosti</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Minimalno pokriće gubitka za neprihodujuće izloženosti</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Poticajni okvir za razvoj vrijednosnih papira EU-a osiguranih državnim obveznicama</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Zajednički zaštitni mehanizam</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62"/>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Fond EU-a za strateška ulaganja 2.0</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9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Produbljenje ekonomske i monetarne unije</w:t>
            </w:r>
          </w:p>
        </w:tc>
        <w:tc>
          <w:tcPr>
            <w:tcW w:w="1851" w:type="dxa"/>
            <w:vAlign w:val="center"/>
          </w:tcPr>
          <w:p>
            <w:pPr>
              <w:jc w:val="center"/>
              <w:rPr>
                <w:rFonts w:ascii="Times New Roman" w:hAnsi="Times New Roman" w:cs="Times New Roman"/>
                <w:b/>
                <w:noProof/>
                <w:color w:val="000000" w:themeColor="text1"/>
                <w:sz w:val="20"/>
                <w:szCs w:val="20"/>
              </w:rPr>
            </w:pPr>
            <w:r>
              <w:rPr>
                <w:b/>
                <w:noProof/>
                <w:color w:val="000000" w:themeColor="text1"/>
                <w:sz w:val="20"/>
                <w:szCs w:val="20"/>
                <w:lang w:val="en-GB" w:eastAsia="en-GB" w:bidi="ar-SA"/>
              </w:rPr>
              <w:drawing>
                <wp:inline distT="0" distB="0" distL="0" distR="0">
                  <wp:extent cx="209550" cy="2095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0000" w:themeColor="text1"/>
                <w:sz w:val="20"/>
                <w:szCs w:val="20"/>
              </w:rPr>
            </w:pPr>
            <w:r>
              <w:rPr>
                <w:b/>
                <w:noProof/>
                <w:color w:val="000000" w:themeColor="text1"/>
                <w:sz w:val="20"/>
                <w:szCs w:val="20"/>
                <w:lang w:val="en-GB" w:eastAsia="en-GB" w:bidi="ar-SA"/>
              </w:rPr>
              <w:drawing>
                <wp:inline distT="0" distB="0" distL="0" distR="0">
                  <wp:extent cx="209550" cy="2095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1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Borba protiv prijevara i krivotvorenja bezgotovinskih sredstava plaćanja</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bl>
    <w:p>
      <w:pPr>
        <w:rPr>
          <w:b/>
          <w:noProof/>
          <w:color w:val="000000" w:themeColor="text1"/>
          <w:sz w:val="20"/>
          <w:szCs w:val="20"/>
        </w:rPr>
      </w:pPr>
    </w:p>
    <w:p>
      <w:pPr>
        <w:rPr>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b/>
          <w:noProof/>
          <w:color w:val="000000" w:themeColor="text1"/>
          <w:sz w:val="20"/>
        </w:rPr>
        <w:t xml:space="preserve"> </w:t>
      </w:r>
      <w:r>
        <w:rPr>
          <w:b/>
          <w:noProof/>
          <w:color w:val="003399"/>
          <w:sz w:val="20"/>
        </w:rPr>
        <w:t>SPORAZUM JE MOGUĆ UZ SNAŽNU POLITIČKU PREDANOST SVIH INSTITUCIJA UNIJE</w:t>
      </w:r>
    </w:p>
    <w:p>
      <w:pP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b/>
          <w:noProof/>
          <w:color w:val="003399"/>
          <w:sz w:val="20"/>
        </w:rPr>
        <w:t xml:space="preserve"> BRZ DOGOVOR MOGUĆ JE PRIMJENOM UOBIČAJENIH POSTUPAKA</w:t>
      </w:r>
    </w:p>
    <w:p>
      <w:pP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b/>
          <w:noProof/>
          <w:color w:val="003399"/>
          <w:sz w:val="20"/>
        </w:rPr>
        <w:t xml:space="preserve"> PREDSTAVLJENO I DOGOVORENO</w:t>
      </w:r>
    </w:p>
    <w:p>
      <w:pPr>
        <w:rPr>
          <w:b/>
          <w:noProof/>
          <w:color w:val="003399"/>
          <w:sz w:val="20"/>
          <w:szCs w:val="20"/>
        </w:rPr>
      </w:pPr>
      <w:r>
        <w:rPr>
          <w:noProof/>
        </w:rPr>
        <w:br w:type="page"/>
      </w:r>
    </w:p>
    <w:p>
      <w:pPr>
        <w:spacing w:after="240" w:line="240" w:lineRule="auto"/>
        <w:jc w:val="center"/>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PRILOG 2.</w:t>
      </w:r>
    </w:p>
    <w:p>
      <w:pPr>
        <w:jc w:val="center"/>
        <w:rPr>
          <w:rFonts w:ascii="Times New Roman" w:hAnsi="Times New Roman" w:cs="Times New Roman"/>
          <w:b/>
          <w:noProof/>
          <w:sz w:val="24"/>
          <w:szCs w:val="24"/>
        </w:rPr>
      </w:pPr>
      <w:r>
        <w:rPr>
          <w:rFonts w:ascii="Times New Roman" w:hAnsi="Times New Roman"/>
          <w:b/>
          <w:noProof/>
          <w:sz w:val="24"/>
        </w:rPr>
        <w:t>Primjeri koristi za jedinstveno tržište od predloženih ili već donesenih inicijativa</w:t>
      </w:r>
    </w:p>
    <w:tbl>
      <w:tblPr>
        <w:tblStyle w:val="TableGrid"/>
        <w:tblW w:w="0" w:type="auto"/>
        <w:jc w:val="center"/>
        <w:shd w:val="clear" w:color="auto" w:fill="C6D9F1" w:themeFill="text2" w:themeFillTint="33"/>
        <w:tblLook w:val="04A0" w:firstRow="1" w:lastRow="0" w:firstColumn="1" w:lastColumn="0" w:noHBand="0" w:noVBand="1"/>
      </w:tblPr>
      <w:tblGrid>
        <w:gridCol w:w="8755"/>
      </w:tblGrid>
      <w:tr>
        <w:trPr>
          <w:jc w:val="center"/>
        </w:trPr>
        <w:tc>
          <w:tcPr>
            <w:tcW w:w="8755" w:type="dxa"/>
            <w:shd w:val="clear" w:color="auto" w:fill="C6D9F1" w:themeFill="text2" w:themeFillTint="33"/>
          </w:tcPr>
          <w:p>
            <w:pPr>
              <w:spacing w:after="120"/>
              <w:rPr>
                <w:rFonts w:ascii="Times New Roman" w:hAnsi="Times New Roman" w:cs="Times New Roman"/>
                <w:b/>
                <w:i/>
                <w:noProof/>
                <w:sz w:val="24"/>
                <w:szCs w:val="24"/>
              </w:rPr>
            </w:pPr>
            <w:r>
              <w:rPr>
                <w:rFonts w:ascii="Times New Roman" w:hAnsi="Times New Roman"/>
                <w:b/>
                <w:i/>
                <w:noProof/>
                <w:sz w:val="24"/>
              </w:rPr>
              <w:t>Primjeri koristi od već donesenih inicijativa:</w:t>
            </w:r>
          </w:p>
          <w:p>
            <w:pPr>
              <w:pStyle w:val="ListBullet"/>
              <w:numPr>
                <w:ilvl w:val="0"/>
                <w:numId w:val="14"/>
              </w:numPr>
              <w:spacing w:after="120"/>
              <w:rPr>
                <w:noProof/>
                <w:szCs w:val="24"/>
              </w:rPr>
            </w:pPr>
            <w:r>
              <w:rPr>
                <w:b/>
                <w:i/>
                <w:noProof/>
              </w:rPr>
              <w:t>Direktivom o Europskom zakoniku elektroničkih komunikacija</w:t>
            </w:r>
            <w:r>
              <w:rPr>
                <w:noProof/>
              </w:rPr>
              <w:t xml:space="preserve">, o kojoj su se suzakonodavci usuglasili 6. lipnja 2018., moglo bi se pridonijeti ostvarivanju kumulativnog učinka na rast od 1,45 % i na zapošljavanje od 0,18 % u 2025. te bi mogla rezultirati kumulativnim učinkom na gospodarsku aktivnost u iznosu od 910 milijardi EUR i dodatnih 1 304 milijuna radnih mjesta do 2025. Ukupni investicijski jaz za postizanje ciljeva povezanosti Unije za 2025., uključujući koridore 5G, procjenjuje se na 155 milijardi EUR. Zakonikom će se pridonijeti smanjenju tog jaza uspostavom stabilnog regulatornog okvira kojim se privatni subjekti potiču na ulaganja u svim područjima. Javna potpora za ulaganja u širokopojasni pristup može imati komplementarnu ulogu u određenim ruralnim i udaljenim područjima u kojima nedostaju tržišni poticaji za ulaganja, među ostalim u okviru europskih strukturnih i investicijskih fondova, kako je navedeno u prijedlozima za višegodišnji financijski okvir. Uspješna provedba tehnologije 5G zahtijeva usklađeno djelovanje država članica i dionika u skladu s Akcijskim planom za 5G. Posebno je potreban dosljedan </w:t>
            </w:r>
            <w:r>
              <w:rPr>
                <w:i/>
                <w:noProof/>
              </w:rPr>
              <w:t>model dijeljenja spektra</w:t>
            </w:r>
            <w:r>
              <w:rPr>
                <w:noProof/>
              </w:rPr>
              <w:t xml:space="preserve"> u cijeloj Uniji kako bi se odgovorilo na potrebe duž autocesta te potrebe prometa, komunalnih usluga i zdravstvene skrbi. Gospodarske koristi od uspješnog, brzog i koordiniranog uvođenja mreže 5G u cijeloj Uniji vrlo su velike i procjenjuju se na 146 milijardi EUR godišnje, uz otvaranje 2,39 milijuna radnih mjesta.</w:t>
            </w:r>
            <w:r>
              <w:rPr>
                <w:rStyle w:val="FootnoteReference"/>
                <w:noProof/>
              </w:rPr>
              <w:footnoteReference w:id="3"/>
            </w:r>
          </w:p>
          <w:p>
            <w:pPr>
              <w:pStyle w:val="ListBullet"/>
              <w:numPr>
                <w:ilvl w:val="0"/>
                <w:numId w:val="14"/>
              </w:numPr>
              <w:spacing w:after="120"/>
              <w:rPr>
                <w:noProof/>
                <w:szCs w:val="24"/>
              </w:rPr>
            </w:pPr>
            <w:r>
              <w:rPr>
                <w:b/>
                <w:i/>
                <w:noProof/>
              </w:rPr>
              <w:t>Prekogranične internetske usluge e-uprave, na temelju Uredbe o uspostavi jedinstvenog digitalnog pristupnika</w:t>
            </w:r>
            <w:r>
              <w:rPr>
                <w:noProof/>
              </w:rPr>
              <w:t xml:space="preserve"> kao izvora informacija, postupaka, usluga podrške i otklanjanja poteškoća, koju su suzakonodavci potpisali 2. listopada 2018. Postoje znatne prepreke za građane i poduzeća koji žele preseliti u drugu državu članicu Unije, u njoj prodavati proizvode ili pružati usluge. Pronalaženje relevantnih, točnih i razumljivih informacija na internetu te mogućnost pristupa i obavljanja upravnih postupaka na internetu presudni su za one koji žele iskoristiti prednosti jedinstvenog tržišta, no to je često složeno, dugotrajno i skupo, a ponekad i nemoguće. </w:t>
            </w:r>
            <w:bookmarkStart w:id="2" w:name="_Hlk492644435"/>
            <w:r>
              <w:rPr>
                <w:noProof/>
              </w:rPr>
              <w:t>Uredbom se prvi put u zakonodavstvu načelo „samo jednom” primjenjuje preko granica tako da se od građana ne traži da ponovno podnesu podatke koje su već dostavili nacionalnim tijelima. Vrijeme od 1,5 milijuna sati, koliko građani trenutačno ulažu na internetsko istraživanje sedam ključnih tema prije odlaska u inozemstvo, smanjit će se za 60 % . Poduzeća će godišnje uštedjeti između 11 i 55 milijardi EUR za istraživanje samo devet tema povezanih s poslovanjem</w:t>
            </w:r>
            <w:r>
              <w:rPr>
                <w:rStyle w:val="FootnoteReference"/>
                <w:noProof/>
              </w:rPr>
              <w:footnoteReference w:id="4"/>
            </w:r>
            <w:r>
              <w:rPr>
                <w:noProof/>
              </w:rPr>
              <w:t xml:space="preserve">. </w:t>
            </w:r>
            <w:bookmarkEnd w:id="2"/>
          </w:p>
          <w:p>
            <w:pPr>
              <w:pStyle w:val="ListBullet"/>
              <w:numPr>
                <w:ilvl w:val="0"/>
                <w:numId w:val="14"/>
              </w:numPr>
              <w:spacing w:after="120"/>
              <w:rPr>
                <w:noProof/>
                <w:szCs w:val="24"/>
              </w:rPr>
            </w:pPr>
            <w:r>
              <w:rPr>
                <w:b/>
                <w:i/>
                <w:noProof/>
              </w:rPr>
              <w:t>Modernizacijom poreza na dodanu vrijednost (PDV) za prekograničnu e-trgovinu između poduzeća i potrošača</w:t>
            </w:r>
            <w:r>
              <w:rPr>
                <w:noProof/>
              </w:rPr>
              <w:t>, u okviru Direktive Vijeća (EU) 2017/2455 od 5. prosinca 2017.,</w:t>
            </w:r>
            <w:r>
              <w:rPr>
                <w:b/>
                <w:i/>
                <w:noProof/>
              </w:rPr>
              <w:t xml:space="preserve"> </w:t>
            </w:r>
            <w:r>
              <w:rPr>
                <w:noProof/>
              </w:rPr>
              <w:t>pojednostavnjuju se obveze povezane s porezom na dodanu vrijednost</w:t>
            </w:r>
            <w:r>
              <w:rPr>
                <w:b/>
                <w:i/>
                <w:noProof/>
              </w:rPr>
              <w:t xml:space="preserve"> </w:t>
            </w:r>
            <w:r>
              <w:rPr>
                <w:noProof/>
              </w:rPr>
              <w:t>koje se odnose na prekograničnu e-trgovinu i stvaraju jednaka pravila igre za poduzeća iz Unije i poduzeća iz trećih zemalja, koja su često mogla ostvariti nepropisnu prodaju bez poreza na dodanu vrijednost. Očekuje se da će se prijedlogom troškovi izvršenja poreznih obveza za poduzeća smanjiti za 2,3 milijarde EUR godišnje od 2021., dok će se istovremeno prihodi od poreza na dodanu vrijednost za države članice povećati za 7 milijardi EUR.</w:t>
            </w:r>
            <w:r>
              <w:rPr>
                <w:rStyle w:val="FootnoteReference"/>
                <w:noProof/>
              </w:rPr>
              <w:footnoteReference w:id="5"/>
            </w:r>
          </w:p>
        </w:tc>
      </w:tr>
    </w:tbl>
    <w:p>
      <w:pPr>
        <w:rPr>
          <w:noProof/>
        </w:rPr>
      </w:pPr>
      <w:r>
        <w:rPr>
          <w:noProof/>
        </w:rPr>
        <w:br w:type="page"/>
      </w:r>
    </w:p>
    <w:tbl>
      <w:tblPr>
        <w:tblStyle w:val="TableGrid"/>
        <w:tblW w:w="0" w:type="auto"/>
        <w:jc w:val="center"/>
        <w:shd w:val="clear" w:color="auto" w:fill="C6D9F1" w:themeFill="text2" w:themeFillTint="33"/>
        <w:tblLook w:val="04A0" w:firstRow="1" w:lastRow="0" w:firstColumn="1" w:lastColumn="0" w:noHBand="0" w:noVBand="1"/>
      </w:tblPr>
      <w:tblGrid>
        <w:gridCol w:w="8755"/>
      </w:tblGrid>
      <w:tr>
        <w:trPr>
          <w:jc w:val="center"/>
        </w:trPr>
        <w:tc>
          <w:tcPr>
            <w:tcW w:w="8755" w:type="dxa"/>
            <w:shd w:val="clear" w:color="auto" w:fill="C6D9F1" w:themeFill="text2" w:themeFillTint="33"/>
          </w:tcPr>
          <w:p>
            <w:pPr>
              <w:rPr>
                <w:rFonts w:ascii="Times New Roman" w:hAnsi="Times New Roman" w:cs="Times New Roman"/>
                <w:b/>
                <w:i/>
                <w:noProof/>
                <w:sz w:val="24"/>
              </w:rPr>
            </w:pPr>
            <w:r>
              <w:rPr>
                <w:noProof/>
              </w:rPr>
              <w:br w:type="page"/>
            </w:r>
            <w:r>
              <w:rPr>
                <w:rFonts w:ascii="Times New Roman" w:hAnsi="Times New Roman"/>
                <w:b/>
                <w:i/>
                <w:noProof/>
                <w:sz w:val="24"/>
              </w:rPr>
              <w:t>Primjeri koristi od inicijativa koje još čekaju na donošenje na razini suzakonodavaca:</w:t>
            </w:r>
          </w:p>
          <w:p>
            <w:pPr>
              <w:pStyle w:val="ListBullet"/>
              <w:numPr>
                <w:ilvl w:val="0"/>
                <w:numId w:val="0"/>
              </w:numPr>
              <w:spacing w:after="0"/>
              <w:ind w:left="360"/>
              <w:rPr>
                <w:noProof/>
                <w:szCs w:val="22"/>
              </w:rPr>
            </w:pPr>
          </w:p>
          <w:p>
            <w:pPr>
              <w:pStyle w:val="ListBullet"/>
              <w:numPr>
                <w:ilvl w:val="0"/>
                <w:numId w:val="14"/>
              </w:numPr>
              <w:spacing w:after="0"/>
              <w:rPr>
                <w:noProof/>
                <w:szCs w:val="22"/>
              </w:rPr>
            </w:pPr>
            <w:r>
              <w:rPr>
                <w:b/>
                <w:i/>
                <w:noProof/>
              </w:rPr>
              <w:t>Prijedlozima povezanima s podacima (o slobodnom protoku neosobnih podataka i o informacijama javnog sektora)</w:t>
            </w:r>
            <w:r>
              <w:rPr>
                <w:noProof/>
              </w:rPr>
              <w:t>, u okviru strategije jedinstvenog digitalnog tržišta, pridonijet će se rastu europskog podatkovnog gospodarstva na 700 milijardi EUR do 2020., što je 4 % gospodarstva Unije (u usporedbi s 2 % u 2016.). Iako je dio tog potencijala već ostvaren donošenjem Uredbe o slobodnom protoku neosobnih podataka, donošenjem ažuriranih propisa kojima se potiče veća dostupnost informacija javnog sektora vrijednost ponovne uporabe tih informacija mogla bi se povećati sa 145 milijardi EUR na 215 milijardi EUR do 2028. te može značiti otvaranje dodatnih 200 000 radnih mjesta povezanih s podacima.</w:t>
            </w:r>
            <w:r>
              <w:rPr>
                <w:rStyle w:val="FootnoteReference"/>
                <w:noProof/>
              </w:rPr>
              <w:footnoteReference w:id="6"/>
            </w:r>
            <w:r>
              <w:rPr>
                <w:noProof/>
              </w:rPr>
              <w:t xml:space="preserve"> </w:t>
            </w:r>
          </w:p>
          <w:p>
            <w:pPr>
              <w:pStyle w:val="ListBullet"/>
              <w:numPr>
                <w:ilvl w:val="0"/>
                <w:numId w:val="0"/>
              </w:numPr>
              <w:spacing w:after="0"/>
              <w:ind w:left="360"/>
              <w:rPr>
                <w:noProof/>
                <w:szCs w:val="22"/>
              </w:rPr>
            </w:pPr>
          </w:p>
          <w:p>
            <w:pPr>
              <w:pStyle w:val="Default"/>
              <w:numPr>
                <w:ilvl w:val="0"/>
                <w:numId w:val="14"/>
              </w:numPr>
              <w:jc w:val="both"/>
              <w:rPr>
                <w:noProof/>
                <w:szCs w:val="22"/>
              </w:rPr>
            </w:pPr>
            <w:r>
              <w:rPr>
                <w:b/>
                <w:i/>
                <w:noProof/>
              </w:rPr>
              <w:t>Cilj Prijedloga o zajedničkoj konsolidiranoj osnovici poreza na dobit</w:t>
            </w:r>
            <w:r>
              <w:rPr>
                <w:noProof/>
              </w:rPr>
              <w:t xml:space="preserve">, koji je donijela Europska komisija, jest pravednije oporezivanje na jedinstvenom tržištu i stvaranje jednakih uvjeta za sve. </w:t>
            </w:r>
            <w:r>
              <w:rPr>
                <w:b/>
                <w:i/>
                <w:noProof/>
              </w:rPr>
              <w:t>Kada zajednička konsolidirana osnovica poreza na dobit bude u potpunosti operativna, ukupna ulaganja u Uniji mogla bi se povećati za čak 3,4 % poticanjem ulaganja u istraživanje i razvoj te financiranja vlasničkim kapitalom.</w:t>
            </w:r>
            <w:r>
              <w:rPr>
                <w:noProof/>
              </w:rPr>
              <w:t xml:space="preserve"> Poduzeća će sada moći koristiti jedinstveni skup pravila i podnijeti jednu poreznu prijavu svojoj domaćoj poreznoj upravi za sve svoje aktivnosti u Uniji. Sa zajedničkom konsolidiranom osnovicom poreza na dobit, vrijeme utrošeno na godišnje aktivnosti izvršenja poreznih obveza trebalo bi se smanjiti za 8 % dok bi se vrijeme uloženo u osnivanje društva kćeri smanjilo za do 67 %, čime bi se trgovačkim društvima, uključujući mala i srednja poduzeća, olakšalo osnivanje poduzeća u inozemstvu. Poticat će se aktivnosti koje pogoduju rastu, kao što su ulaganje u istraživanje i razvoj te financiranje vlasničkim kapitalom, a na taj način podupirat će se širi ciljevi oživljavanja rasta, otvaranja radnih mjesta i povećanja ulaganja.</w:t>
            </w:r>
            <w:r>
              <w:rPr>
                <w:rStyle w:val="FootnoteReference"/>
                <w:noProof/>
              </w:rPr>
              <w:footnoteReference w:id="7"/>
            </w:r>
            <w:r>
              <w:rPr>
                <w:noProof/>
              </w:rPr>
              <w:t xml:space="preserve"> </w:t>
            </w:r>
          </w:p>
          <w:p>
            <w:pPr>
              <w:pStyle w:val="Default"/>
              <w:ind w:left="360"/>
              <w:rPr>
                <w:noProof/>
                <w:szCs w:val="22"/>
              </w:rPr>
            </w:pPr>
          </w:p>
          <w:p>
            <w:pPr>
              <w:pStyle w:val="Default"/>
              <w:numPr>
                <w:ilvl w:val="0"/>
                <w:numId w:val="14"/>
              </w:numPr>
              <w:jc w:val="both"/>
              <w:rPr>
                <w:noProof/>
                <w:szCs w:val="22"/>
              </w:rPr>
            </w:pPr>
            <w:r>
              <w:rPr>
                <w:noProof/>
              </w:rPr>
              <w:t xml:space="preserve">U kontekstu 3. paketa za mobilnost Komisija je u svojem Prijedlogu </w:t>
            </w:r>
            <w:r>
              <w:rPr>
                <w:b/>
                <w:i/>
                <w:noProof/>
              </w:rPr>
              <w:t>uredbe o</w:t>
            </w:r>
            <w:r>
              <w:rPr>
                <w:i/>
                <w:noProof/>
              </w:rPr>
              <w:t xml:space="preserve"> </w:t>
            </w:r>
            <w:r>
              <w:rPr>
                <w:b/>
                <w:i/>
                <w:noProof/>
              </w:rPr>
              <w:t>elektroničkim informacijama o prijevozu tereta</w:t>
            </w:r>
            <w:r>
              <w:rPr>
                <w:noProof/>
              </w:rPr>
              <w:t xml:space="preserve"> predložila smanjenje birokracije u prometu i logistici.</w:t>
            </w:r>
            <w:r>
              <w:rPr>
                <w:b/>
                <w:noProof/>
              </w:rPr>
              <w:t xml:space="preserve"> </w:t>
            </w:r>
            <w:r>
              <w:rPr>
                <w:noProof/>
              </w:rPr>
              <w:t>Cilj je ovog Prijedloga zajamčiti da nacionalna nadležna tijela prihvaćaju elektroničko dostavljanje popratnih dokumenata za teret ako su dostupni na sigurnim i certificiranim digitalnim platformama. Do 2040. taj bi prijedlog mogao dovesti do ušteda u iznosu od 20 do 27 milijardi EUR u sektoru prometa, što odgovara od 75 do 102 milijuna radnih sati. Cestovni prijevoznici, koji su u 99 % slučajeva mala i srednja poduzeća, ostvarili bi 60 % tih ušteda.</w:t>
            </w:r>
            <w:r>
              <w:rPr>
                <w:rStyle w:val="FootnoteReference"/>
                <w:noProof/>
              </w:rPr>
              <w:footnoteReference w:id="8"/>
            </w:r>
            <w:r>
              <w:rPr>
                <w:noProof/>
              </w:rPr>
              <w:t xml:space="preserve"> </w:t>
            </w:r>
          </w:p>
          <w:p>
            <w:pPr>
              <w:pStyle w:val="Default"/>
              <w:jc w:val="both"/>
              <w:rPr>
                <w:noProof/>
                <w:szCs w:val="22"/>
              </w:rPr>
            </w:pPr>
          </w:p>
          <w:p>
            <w:pPr>
              <w:pStyle w:val="Default"/>
              <w:numPr>
                <w:ilvl w:val="0"/>
                <w:numId w:val="14"/>
              </w:numPr>
              <w:jc w:val="both"/>
              <w:rPr>
                <w:noProof/>
                <w:szCs w:val="22"/>
              </w:rPr>
            </w:pPr>
            <w:r>
              <w:rPr>
                <w:noProof/>
              </w:rPr>
              <w:t xml:space="preserve">Komisija je u okviru </w:t>
            </w:r>
            <w:r>
              <w:rPr>
                <w:b/>
                <w:i/>
                <w:noProof/>
              </w:rPr>
              <w:t>Direktive o smanjenju utjecaja određenih plastičnih proizvoda na okoliš</w:t>
            </w:r>
            <w:r>
              <w:rPr>
                <w:noProof/>
              </w:rPr>
              <w:t xml:space="preserve"> predložila nove propise na razini Unije usmjerene na plastiku za jednokratnu uporabu.</w:t>
            </w:r>
            <w:r>
              <w:rPr>
                <w:b/>
                <w:noProof/>
              </w:rPr>
              <w:t xml:space="preserve"> </w:t>
            </w:r>
            <w:r>
              <w:rPr>
                <w:noProof/>
              </w:rPr>
              <w:t>Ako se donese, ovom bi se Direktivom do 2030. uštedjelo 3,4 milijuna tona ekvivalenta CO². Time bi se izbjegle štete u okolišu (u iznosu od 23 milijarde EUR). Potrošači bi uštedjeli približno 6,5 milijardi EUR</w:t>
            </w:r>
            <w:r>
              <w:rPr>
                <w:rStyle w:val="FootnoteReference"/>
                <w:noProof/>
              </w:rPr>
              <w:footnoteReference w:id="9"/>
            </w:r>
            <w:r>
              <w:rPr>
                <w:noProof/>
              </w:rPr>
              <w:t>.</w:t>
            </w:r>
          </w:p>
        </w:tc>
      </w:tr>
    </w:tbl>
    <w:p>
      <w:pPr>
        <w:rPr>
          <w:rFonts w:ascii="Times New Roman" w:hAnsi="Times New Roman" w:cs="Times New Roman"/>
          <w:noProof/>
          <w:sz w:val="24"/>
          <w:szCs w:val="24"/>
        </w:rPr>
      </w:pPr>
    </w:p>
    <w:sectPr>
      <w:headerReference w:type="even" r:id="rId26"/>
      <w:headerReference w:type="default" r:id="rId27"/>
      <w:footerReference w:type="even" r:id="rId28"/>
      <w:footerReference w:type="default" r:id="rId29"/>
      <w:headerReference w:type="first" r:id="rId30"/>
      <w:footerReference w:type="first" r:id="rId31"/>
      <w:pgSz w:w="11906" w:h="16838"/>
      <w:pgMar w:top="993" w:right="1417"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Medium">
    <w:panose1 w:val="020B050000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149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42" w:hanging="142"/>
      </w:pPr>
      <w:r>
        <w:rPr>
          <w:rStyle w:val="FootnoteReference"/>
        </w:rPr>
        <w:footnoteRef/>
      </w:r>
      <w:r>
        <w:t xml:space="preserve"> Sveobuhvatan popis zakonodavnih inicijativa povezanih s jedinstvenim tržištem o kojima se trenutačno pregovara u Europskom parlamentu i Vijeću priložen je Programu rada Komisije 2019. (COM (2018) 800).</w:t>
      </w:r>
    </w:p>
  </w:footnote>
  <w:footnote w:id="3">
    <w:p>
      <w:pPr>
        <w:pStyle w:val="FootnoteText"/>
        <w:spacing w:after="0"/>
      </w:pPr>
      <w:r>
        <w:rPr>
          <w:rStyle w:val="FootnoteReference"/>
        </w:rPr>
        <w:footnoteRef/>
      </w:r>
      <w:r>
        <w:t xml:space="preserve"> Komisijina procjena učinka, SWD (2016) 303.</w:t>
      </w:r>
    </w:p>
  </w:footnote>
  <w:footnote w:id="4">
    <w:p>
      <w:pPr>
        <w:pStyle w:val="FootnoteText"/>
        <w:spacing w:after="0"/>
      </w:pPr>
      <w:r>
        <w:rPr>
          <w:rStyle w:val="FootnoteReference"/>
        </w:rPr>
        <w:footnoteRef/>
      </w:r>
      <w:r>
        <w:t xml:space="preserve"> Komisijina procjena učinka, SWD (2017) 213.</w:t>
      </w:r>
    </w:p>
  </w:footnote>
  <w:footnote w:id="5">
    <w:p>
      <w:pPr>
        <w:pStyle w:val="FootnoteText"/>
        <w:spacing w:after="0"/>
      </w:pPr>
      <w:r>
        <w:rPr>
          <w:rStyle w:val="FootnoteReference"/>
        </w:rPr>
        <w:footnoteRef/>
      </w:r>
      <w:r>
        <w:t xml:space="preserve"> Komisijina procjena učinka, SWD (2016) 379.</w:t>
      </w:r>
    </w:p>
  </w:footnote>
  <w:footnote w:id="6">
    <w:p>
      <w:pPr>
        <w:pStyle w:val="FootnoteText"/>
        <w:spacing w:after="0"/>
      </w:pPr>
      <w:r>
        <w:rPr>
          <w:rStyle w:val="FootnoteReference"/>
        </w:rPr>
        <w:footnoteRef/>
      </w:r>
      <w:r>
        <w:t xml:space="preserve"> Komisijine procjene učinka, SWD(2017) 304 i SWD(2018) 127.</w:t>
      </w:r>
    </w:p>
  </w:footnote>
  <w:footnote w:id="7">
    <w:p>
      <w:pPr>
        <w:pStyle w:val="FootnoteText"/>
        <w:spacing w:after="0"/>
      </w:pPr>
      <w:r>
        <w:rPr>
          <w:rStyle w:val="FootnoteReference"/>
        </w:rPr>
        <w:footnoteRef/>
      </w:r>
      <w:r>
        <w:t xml:space="preserve"> Komisijina procjena učinka, SWD (2016) 341.</w:t>
      </w:r>
    </w:p>
  </w:footnote>
  <w:footnote w:id="8">
    <w:p>
      <w:pPr>
        <w:pStyle w:val="FootnoteText"/>
        <w:spacing w:after="0"/>
      </w:pPr>
      <w:r>
        <w:rPr>
          <w:rStyle w:val="FootnoteReference"/>
        </w:rPr>
        <w:footnoteRef/>
      </w:r>
      <w:r>
        <w:t xml:space="preserve"> Komisijina procjena učinka, SWD (2018) 183.</w:t>
      </w:r>
    </w:p>
  </w:footnote>
  <w:footnote w:id="9">
    <w:p>
      <w:pPr>
        <w:pStyle w:val="FootnoteText"/>
        <w:spacing w:after="0"/>
      </w:pPr>
      <w:r>
        <w:rPr>
          <w:rStyle w:val="FootnoteReference"/>
        </w:rPr>
        <w:footnoteRef/>
      </w:r>
      <w:r>
        <w:t xml:space="preserve"> Komisijina procjena učinka, SWD (2018) 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09C"/>
    <w:multiLevelType w:val="hybridMultilevel"/>
    <w:tmpl w:val="849CB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A10DAA"/>
    <w:multiLevelType w:val="hybridMultilevel"/>
    <w:tmpl w:val="4B020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FC6CDC"/>
    <w:multiLevelType w:val="hybridMultilevel"/>
    <w:tmpl w:val="6B54ED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3154F"/>
    <w:multiLevelType w:val="hybridMultilevel"/>
    <w:tmpl w:val="3E9083A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18D9019B"/>
    <w:multiLevelType w:val="hybridMultilevel"/>
    <w:tmpl w:val="AA9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01BF9"/>
    <w:multiLevelType w:val="hybridMultilevel"/>
    <w:tmpl w:val="7430C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A113AB"/>
    <w:multiLevelType w:val="hybridMultilevel"/>
    <w:tmpl w:val="598E0362"/>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55C41AE3"/>
    <w:multiLevelType w:val="hybridMultilevel"/>
    <w:tmpl w:val="65748962"/>
    <w:lvl w:ilvl="0" w:tplc="8C6A2D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22EC7"/>
    <w:multiLevelType w:val="hybridMultilevel"/>
    <w:tmpl w:val="EA42694C"/>
    <w:lvl w:ilvl="0" w:tplc="B8C87C32">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4295C"/>
    <w:multiLevelType w:val="hybridMultilevel"/>
    <w:tmpl w:val="8B70D6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0"/>
  </w:num>
  <w:num w:numId="6">
    <w:abstractNumId w:val="2"/>
  </w:num>
  <w:num w:numId="7">
    <w:abstractNumId w:val="8"/>
  </w:num>
  <w:num w:numId="8">
    <w:abstractNumId w:val="8"/>
  </w:num>
  <w:num w:numId="9">
    <w:abstractNumId w:val="8"/>
  </w:num>
  <w:num w:numId="10">
    <w:abstractNumId w:val="3"/>
  </w:num>
  <w:num w:numId="11">
    <w:abstractNumId w:val="0"/>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1"/>
    <w:docVar w:name="LW_ANNEX_NBR_LAST" w:val="2"/>
    <w:docVar w:name="LW_ANNEX_UNIQUE" w:val="0"/>
    <w:docVar w:name="LW_CORRIGENDUM" w:val="&lt;UNUSED&gt;"/>
    <w:docVar w:name="LW_COVERPAGE_EXISTS" w:val="True"/>
    <w:docVar w:name="LW_COVERPAGE_GUID" w:val="8A346F13-047F-4479-B4EE-AC3C5322B26A"/>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uxelles, "/>
    <w:docVar w:name="LW_EMISSION_SUFFIX" w:val="&lt;EMPTY&gt;"/>
    <w:docVar w:name="LW_ID_DOCTYPE_NONLW" w:val="CP-039"/>
    <w:docVar w:name="LW_LANGUE" w:val="HR"/>
    <w:docVar w:name="LW_LEVEL_OF_SENSITIVITY" w:val="Standard treatment"/>
    <w:docVar w:name="LW_NOM.INST" w:val="EUROPSKA KOMISIJA"/>
    <w:docVar w:name="LW_NOM.INST_JOINTDOC" w:val="&lt;EMPTY&gt;"/>
    <w:docVar w:name="LW_OBJETACTEPRINCIPAL.CP" w:val="Jedinstveno tr\u382?i\u353?te u svijetu koji se mijenja_x000b__x000b_Iznimna prednost koja zahtijeva obnovljeni politi\u269?ki anga\u382?man_x000b_"/>
    <w:docVar w:name="LW_PART_NBR" w:val="&lt;UNUSED&gt;"/>
    <w:docVar w:name="LW_PART_NBR_TOTAL" w:val="&lt;UNUSED&gt;"/>
    <w:docVar w:name="LW_REF.INST.NEW" w:val="COM"/>
    <w:docVar w:name="LW_REF.INST.NEW_ADOPTED" w:val="final"/>
    <w:docVar w:name="LW_REF.INST.NEW_TEXT" w:val="(2018)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ZI_x000b_"/>
    <w:docVar w:name="LW_TYPEACTEPRINCIPAL.CP" w:val="KOMUNIKACIJI KOMISIJE EUROPSKOM PARLAMENTU, EUROPSKOM VIJE\u262?U, VIJE\u262?U, EUROPSKOM GOSPODARSKOM I SOCIJALNOM ODBORU I ODBORU REGIJA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9">
    <w:name w:val="A9"/>
    <w:uiPriority w:val="99"/>
    <w:rPr>
      <w:color w:val="000000"/>
      <w:sz w:val="16"/>
    </w:rPr>
  </w:style>
  <w:style w:type="paragraph" w:customStyle="1" w:styleId="Pa5">
    <w:name w:val="Pa5"/>
    <w:basedOn w:val="Normal"/>
    <w:next w:val="Normal"/>
    <w:uiPriority w:val="99"/>
    <w:pPr>
      <w:autoSpaceDE w:val="0"/>
      <w:autoSpaceDN w:val="0"/>
      <w:adjustRightInd w:val="0"/>
      <w:spacing w:after="0" w:line="241" w:lineRule="atLeast"/>
    </w:pPr>
    <w:rPr>
      <w:rFonts w:ascii="EC Square Sans Pro Medium" w:hAnsi="EC Square Sans Pro Medium"/>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ListBullet">
    <w:name w:val="List Bullet"/>
    <w:basedOn w:val="Normal"/>
    <w:pPr>
      <w:numPr>
        <w:numId w:val="13"/>
      </w:numPr>
      <w:spacing w:after="240" w:line="240" w:lineRule="auto"/>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9">
    <w:name w:val="A9"/>
    <w:uiPriority w:val="99"/>
    <w:rPr>
      <w:color w:val="000000"/>
      <w:sz w:val="16"/>
    </w:rPr>
  </w:style>
  <w:style w:type="paragraph" w:customStyle="1" w:styleId="Pa5">
    <w:name w:val="Pa5"/>
    <w:basedOn w:val="Normal"/>
    <w:next w:val="Normal"/>
    <w:uiPriority w:val="99"/>
    <w:pPr>
      <w:autoSpaceDE w:val="0"/>
      <w:autoSpaceDN w:val="0"/>
      <w:adjustRightInd w:val="0"/>
      <w:spacing w:after="0" w:line="241" w:lineRule="atLeast"/>
    </w:pPr>
    <w:rPr>
      <w:rFonts w:ascii="EC Square Sans Pro Medium" w:hAnsi="EC Square Sans Pro Medium"/>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ListBullet">
    <w:name w:val="List Bullet"/>
    <w:basedOn w:val="Normal"/>
    <w:pPr>
      <w:numPr>
        <w:numId w:val="13"/>
      </w:numPr>
      <w:spacing w:after="240" w:line="240" w:lineRule="auto"/>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467">
      <w:bodyDiv w:val="1"/>
      <w:marLeft w:val="0"/>
      <w:marRight w:val="0"/>
      <w:marTop w:val="0"/>
      <w:marBottom w:val="0"/>
      <w:divBdr>
        <w:top w:val="none" w:sz="0" w:space="0" w:color="auto"/>
        <w:left w:val="none" w:sz="0" w:space="0" w:color="auto"/>
        <w:bottom w:val="none" w:sz="0" w:space="0" w:color="auto"/>
        <w:right w:val="none" w:sz="0" w:space="0" w:color="auto"/>
      </w:divBdr>
    </w:div>
    <w:div w:id="296959604">
      <w:bodyDiv w:val="1"/>
      <w:marLeft w:val="0"/>
      <w:marRight w:val="0"/>
      <w:marTop w:val="0"/>
      <w:marBottom w:val="0"/>
      <w:divBdr>
        <w:top w:val="none" w:sz="0" w:space="0" w:color="auto"/>
        <w:left w:val="none" w:sz="0" w:space="0" w:color="auto"/>
        <w:bottom w:val="none" w:sz="0" w:space="0" w:color="auto"/>
        <w:right w:val="none" w:sz="0" w:space="0" w:color="auto"/>
      </w:divBdr>
    </w:div>
    <w:div w:id="316306414">
      <w:bodyDiv w:val="1"/>
      <w:marLeft w:val="0"/>
      <w:marRight w:val="0"/>
      <w:marTop w:val="0"/>
      <w:marBottom w:val="0"/>
      <w:divBdr>
        <w:top w:val="none" w:sz="0" w:space="0" w:color="auto"/>
        <w:left w:val="none" w:sz="0" w:space="0" w:color="auto"/>
        <w:bottom w:val="none" w:sz="0" w:space="0" w:color="auto"/>
        <w:right w:val="none" w:sz="0" w:space="0" w:color="auto"/>
      </w:divBdr>
    </w:div>
    <w:div w:id="403187846">
      <w:bodyDiv w:val="1"/>
      <w:marLeft w:val="0"/>
      <w:marRight w:val="0"/>
      <w:marTop w:val="0"/>
      <w:marBottom w:val="0"/>
      <w:divBdr>
        <w:top w:val="none" w:sz="0" w:space="0" w:color="auto"/>
        <w:left w:val="none" w:sz="0" w:space="0" w:color="auto"/>
        <w:bottom w:val="none" w:sz="0" w:space="0" w:color="auto"/>
        <w:right w:val="none" w:sz="0" w:space="0" w:color="auto"/>
      </w:divBdr>
    </w:div>
    <w:div w:id="597106675">
      <w:bodyDiv w:val="1"/>
      <w:marLeft w:val="0"/>
      <w:marRight w:val="0"/>
      <w:marTop w:val="0"/>
      <w:marBottom w:val="0"/>
      <w:divBdr>
        <w:top w:val="none" w:sz="0" w:space="0" w:color="auto"/>
        <w:left w:val="none" w:sz="0" w:space="0" w:color="auto"/>
        <w:bottom w:val="none" w:sz="0" w:space="0" w:color="auto"/>
        <w:right w:val="none" w:sz="0" w:space="0" w:color="auto"/>
      </w:divBdr>
    </w:div>
    <w:div w:id="655955985">
      <w:bodyDiv w:val="1"/>
      <w:marLeft w:val="0"/>
      <w:marRight w:val="0"/>
      <w:marTop w:val="0"/>
      <w:marBottom w:val="0"/>
      <w:divBdr>
        <w:top w:val="none" w:sz="0" w:space="0" w:color="auto"/>
        <w:left w:val="none" w:sz="0" w:space="0" w:color="auto"/>
        <w:bottom w:val="none" w:sz="0" w:space="0" w:color="auto"/>
        <w:right w:val="none" w:sz="0" w:space="0" w:color="auto"/>
      </w:divBdr>
    </w:div>
    <w:div w:id="678315520">
      <w:bodyDiv w:val="1"/>
      <w:marLeft w:val="0"/>
      <w:marRight w:val="0"/>
      <w:marTop w:val="0"/>
      <w:marBottom w:val="0"/>
      <w:divBdr>
        <w:top w:val="none" w:sz="0" w:space="0" w:color="auto"/>
        <w:left w:val="none" w:sz="0" w:space="0" w:color="auto"/>
        <w:bottom w:val="none" w:sz="0" w:space="0" w:color="auto"/>
        <w:right w:val="none" w:sz="0" w:space="0" w:color="auto"/>
      </w:divBdr>
    </w:div>
    <w:div w:id="713502684">
      <w:bodyDiv w:val="1"/>
      <w:marLeft w:val="0"/>
      <w:marRight w:val="0"/>
      <w:marTop w:val="0"/>
      <w:marBottom w:val="0"/>
      <w:divBdr>
        <w:top w:val="none" w:sz="0" w:space="0" w:color="auto"/>
        <w:left w:val="none" w:sz="0" w:space="0" w:color="auto"/>
        <w:bottom w:val="none" w:sz="0" w:space="0" w:color="auto"/>
        <w:right w:val="none" w:sz="0" w:space="0" w:color="auto"/>
      </w:divBdr>
    </w:div>
    <w:div w:id="858356232">
      <w:bodyDiv w:val="1"/>
      <w:marLeft w:val="0"/>
      <w:marRight w:val="0"/>
      <w:marTop w:val="0"/>
      <w:marBottom w:val="0"/>
      <w:divBdr>
        <w:top w:val="none" w:sz="0" w:space="0" w:color="auto"/>
        <w:left w:val="none" w:sz="0" w:space="0" w:color="auto"/>
        <w:bottom w:val="none" w:sz="0" w:space="0" w:color="auto"/>
        <w:right w:val="none" w:sz="0" w:space="0" w:color="auto"/>
      </w:divBdr>
    </w:div>
    <w:div w:id="941452788">
      <w:bodyDiv w:val="1"/>
      <w:marLeft w:val="0"/>
      <w:marRight w:val="0"/>
      <w:marTop w:val="0"/>
      <w:marBottom w:val="0"/>
      <w:divBdr>
        <w:top w:val="none" w:sz="0" w:space="0" w:color="auto"/>
        <w:left w:val="none" w:sz="0" w:space="0" w:color="auto"/>
        <w:bottom w:val="none" w:sz="0" w:space="0" w:color="auto"/>
        <w:right w:val="none" w:sz="0" w:space="0" w:color="auto"/>
      </w:divBdr>
    </w:div>
    <w:div w:id="1086805006">
      <w:bodyDiv w:val="1"/>
      <w:marLeft w:val="0"/>
      <w:marRight w:val="0"/>
      <w:marTop w:val="0"/>
      <w:marBottom w:val="0"/>
      <w:divBdr>
        <w:top w:val="none" w:sz="0" w:space="0" w:color="auto"/>
        <w:left w:val="none" w:sz="0" w:space="0" w:color="auto"/>
        <w:bottom w:val="none" w:sz="0" w:space="0" w:color="auto"/>
        <w:right w:val="none" w:sz="0" w:space="0" w:color="auto"/>
      </w:divBdr>
    </w:div>
    <w:div w:id="1124232209">
      <w:bodyDiv w:val="1"/>
      <w:marLeft w:val="0"/>
      <w:marRight w:val="0"/>
      <w:marTop w:val="0"/>
      <w:marBottom w:val="0"/>
      <w:divBdr>
        <w:top w:val="none" w:sz="0" w:space="0" w:color="auto"/>
        <w:left w:val="none" w:sz="0" w:space="0" w:color="auto"/>
        <w:bottom w:val="none" w:sz="0" w:space="0" w:color="auto"/>
        <w:right w:val="none" w:sz="0" w:space="0" w:color="auto"/>
      </w:divBdr>
    </w:div>
    <w:div w:id="1184242631">
      <w:bodyDiv w:val="1"/>
      <w:marLeft w:val="0"/>
      <w:marRight w:val="0"/>
      <w:marTop w:val="0"/>
      <w:marBottom w:val="0"/>
      <w:divBdr>
        <w:top w:val="none" w:sz="0" w:space="0" w:color="auto"/>
        <w:left w:val="none" w:sz="0" w:space="0" w:color="auto"/>
        <w:bottom w:val="none" w:sz="0" w:space="0" w:color="auto"/>
        <w:right w:val="none" w:sz="0" w:space="0" w:color="auto"/>
      </w:divBdr>
    </w:div>
    <w:div w:id="1204515940">
      <w:bodyDiv w:val="1"/>
      <w:marLeft w:val="0"/>
      <w:marRight w:val="0"/>
      <w:marTop w:val="0"/>
      <w:marBottom w:val="0"/>
      <w:divBdr>
        <w:top w:val="none" w:sz="0" w:space="0" w:color="auto"/>
        <w:left w:val="none" w:sz="0" w:space="0" w:color="auto"/>
        <w:bottom w:val="none" w:sz="0" w:space="0" w:color="auto"/>
        <w:right w:val="none" w:sz="0" w:space="0" w:color="auto"/>
      </w:divBdr>
    </w:div>
    <w:div w:id="1238318772">
      <w:bodyDiv w:val="1"/>
      <w:marLeft w:val="0"/>
      <w:marRight w:val="0"/>
      <w:marTop w:val="0"/>
      <w:marBottom w:val="0"/>
      <w:divBdr>
        <w:top w:val="none" w:sz="0" w:space="0" w:color="auto"/>
        <w:left w:val="none" w:sz="0" w:space="0" w:color="auto"/>
        <w:bottom w:val="none" w:sz="0" w:space="0" w:color="auto"/>
        <w:right w:val="none" w:sz="0" w:space="0" w:color="auto"/>
      </w:divBdr>
    </w:div>
    <w:div w:id="1407069824">
      <w:bodyDiv w:val="1"/>
      <w:marLeft w:val="0"/>
      <w:marRight w:val="0"/>
      <w:marTop w:val="0"/>
      <w:marBottom w:val="0"/>
      <w:divBdr>
        <w:top w:val="none" w:sz="0" w:space="0" w:color="auto"/>
        <w:left w:val="none" w:sz="0" w:space="0" w:color="auto"/>
        <w:bottom w:val="none" w:sz="0" w:space="0" w:color="auto"/>
        <w:right w:val="none" w:sz="0" w:space="0" w:color="auto"/>
      </w:divBdr>
    </w:div>
    <w:div w:id="1488404069">
      <w:bodyDiv w:val="1"/>
      <w:marLeft w:val="0"/>
      <w:marRight w:val="0"/>
      <w:marTop w:val="0"/>
      <w:marBottom w:val="0"/>
      <w:divBdr>
        <w:top w:val="none" w:sz="0" w:space="0" w:color="auto"/>
        <w:left w:val="none" w:sz="0" w:space="0" w:color="auto"/>
        <w:bottom w:val="none" w:sz="0" w:space="0" w:color="auto"/>
        <w:right w:val="none" w:sz="0" w:space="0" w:color="auto"/>
      </w:divBdr>
    </w:div>
    <w:div w:id="1596669879">
      <w:bodyDiv w:val="1"/>
      <w:marLeft w:val="0"/>
      <w:marRight w:val="0"/>
      <w:marTop w:val="0"/>
      <w:marBottom w:val="0"/>
      <w:divBdr>
        <w:top w:val="none" w:sz="0" w:space="0" w:color="auto"/>
        <w:left w:val="none" w:sz="0" w:space="0" w:color="auto"/>
        <w:bottom w:val="none" w:sz="0" w:space="0" w:color="auto"/>
        <w:right w:val="none" w:sz="0" w:space="0" w:color="auto"/>
      </w:divBdr>
    </w:div>
    <w:div w:id="1944073727">
      <w:bodyDiv w:val="1"/>
      <w:marLeft w:val="0"/>
      <w:marRight w:val="0"/>
      <w:marTop w:val="0"/>
      <w:marBottom w:val="0"/>
      <w:divBdr>
        <w:top w:val="none" w:sz="0" w:space="0" w:color="auto"/>
        <w:left w:val="none" w:sz="0" w:space="0" w:color="auto"/>
        <w:bottom w:val="none" w:sz="0" w:space="0" w:color="auto"/>
        <w:right w:val="none" w:sz="0" w:space="0" w:color="auto"/>
      </w:divBdr>
    </w:div>
    <w:div w:id="1986615681">
      <w:bodyDiv w:val="1"/>
      <w:marLeft w:val="0"/>
      <w:marRight w:val="0"/>
      <w:marTop w:val="0"/>
      <w:marBottom w:val="0"/>
      <w:divBdr>
        <w:top w:val="none" w:sz="0" w:space="0" w:color="auto"/>
        <w:left w:val="none" w:sz="0" w:space="0" w:color="auto"/>
        <w:bottom w:val="none" w:sz="0" w:space="0" w:color="auto"/>
        <w:right w:val="none" w:sz="0" w:space="0" w:color="auto"/>
      </w:divBdr>
    </w:div>
    <w:div w:id="2051374450">
      <w:bodyDiv w:val="1"/>
      <w:marLeft w:val="0"/>
      <w:marRight w:val="0"/>
      <w:marTop w:val="0"/>
      <w:marBottom w:val="0"/>
      <w:divBdr>
        <w:top w:val="none" w:sz="0" w:space="0" w:color="auto"/>
        <w:left w:val="none" w:sz="0" w:space="0" w:color="auto"/>
        <w:bottom w:val="none" w:sz="0" w:space="0" w:color="auto"/>
        <w:right w:val="none" w:sz="0" w:space="0" w:color="auto"/>
      </w:divBdr>
    </w:div>
    <w:div w:id="2141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A4E91E4F8467C41BA287E477D1B3A95" ma:contentTypeVersion="1" ma:contentTypeDescription="Create a new document in this library." ma:contentTypeScope="" ma:versionID="a96336c07120f4b798f79f67d92262c7">
  <xsd:schema xmlns:xsd="http://www.w3.org/2001/XMLSchema" xmlns:xs="http://www.w3.org/2001/XMLSchema" xmlns:p="http://schemas.microsoft.com/office/2006/metadata/properties" xmlns:ns3="6bd4a52e-2f99-4b15-8d06-554c40a38984" targetNamespace="http://schemas.microsoft.com/office/2006/metadata/properties" ma:root="true" ma:fieldsID="94ef65a6eda96269cea6906b956cad20" ns3:_="">
    <xsd:import namespace="6bd4a52e-2f99-4b15-8d06-554c40a3898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4a52e-2f99-4b15-8d06-554c40a3898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6bd4a52e-2f99-4b15-8d06-554c40a38984">EN</EC_Collab_DocumentLanguage>
    <EC_Collab_Status xmlns="6bd4a52e-2f99-4b15-8d06-554c40a38984">Not Started</EC_Collab_Status>
    <EC_Collab_Reference xmlns="6bd4a52e-2f99-4b15-8d06-554c40a389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8BF7-98BB-42CA-B83E-0ECE1EFA8B5F}">
  <ds:schemaRefs>
    <ds:schemaRef ds:uri="http://schemas.microsoft.com/sharepoint/v3/contenttype/forms"/>
  </ds:schemaRefs>
</ds:datastoreItem>
</file>

<file path=customXml/itemProps2.xml><?xml version="1.0" encoding="utf-8"?>
<ds:datastoreItem xmlns:ds="http://schemas.openxmlformats.org/officeDocument/2006/customXml" ds:itemID="{00F74B81-DEC5-411E-A474-26C935C6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4a52e-2f99-4b15-8d06-554c40a38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ACDA0-AC75-4C88-AE5E-6FB6EEE8B388}">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6bd4a52e-2f99-4b15-8d06-554c40a38984"/>
  </ds:schemaRefs>
</ds:datastoreItem>
</file>

<file path=customXml/itemProps4.xml><?xml version="1.0" encoding="utf-8"?>
<ds:datastoreItem xmlns:ds="http://schemas.openxmlformats.org/officeDocument/2006/customXml" ds:itemID="{308A6E76-5804-4D69-89D0-D4FB695D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1471</Words>
  <Characters>9051</Characters>
  <Application>Microsoft Office Word</Application>
  <DocSecurity>0</DocSecurity>
  <Lines>452</Lines>
  <Paragraphs>184</Paragraphs>
  <ScaleCrop>false</ScaleCrop>
  <HeadingPairs>
    <vt:vector size="2" baseType="variant">
      <vt:variant>
        <vt:lpstr>Title</vt:lpstr>
      </vt:variant>
      <vt:variant>
        <vt:i4>1</vt:i4>
      </vt:variant>
    </vt:vector>
  </HeadingPairs>
  <TitlesOfParts>
    <vt:vector size="1" baseType="lpstr">
      <vt:lpstr>Annex SMC-12/11/2018 17:30h</vt:lpstr>
    </vt:vector>
  </TitlesOfParts>
  <Company>European Commission</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SMC-12/11/2018 17:30h</dc:title>
  <dc:creator>kaimenakis</dc:creator>
  <cp:lastModifiedBy>WES PDFC Administrator</cp:lastModifiedBy>
  <cp:revision>12</cp:revision>
  <cp:lastPrinted>2018-11-09T12:48:00Z</cp:lastPrinted>
  <dcterms:created xsi:type="dcterms:W3CDTF">2018-11-19T18:40:00Z</dcterms:created>
  <dcterms:modified xsi:type="dcterms:W3CDTF">2018-11-27T11:17:00Z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0x010100258AA79CEB83498886A3A08681123250002A4E91E4F8467C41BA287E477D1B3A95</vt:lpwstr>
  </property>
  <property fmtid="{D5CDD505-2E9C-101B-9397-08002B2CF9AE}" pid="3" name="Level of sensitivity">
    <vt:lpwstr>Standard treatment</vt:lpwstr>
  </property>
  <property fmtid="{D5CDD505-2E9C-101B-9397-08002B2CF9AE}" pid="4" name="First annex">
    <vt:lpwstr>1</vt:lpwstr>
  </property>
  <property fmtid="{D5CDD505-2E9C-101B-9397-08002B2CF9AE}" pid="5" name="Last annex">
    <vt:lpwstr>2</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DocStatus">
    <vt:lpwstr>Green</vt:lpwstr>
  </property>
  <property fmtid="{D5CDD505-2E9C-101B-9397-08002B2CF9AE}" pid="10" name="Created using">
    <vt:lpwstr>LW 6.0.1, Build 20180503</vt:lpwstr>
  </property>
  <property fmtid="{D5CDD505-2E9C-101B-9397-08002B2CF9AE}" pid="11" name="Last edited using">
    <vt:lpwstr>LW 6.0.1, Build 20180503</vt:lpwstr>
  </property>
</Properties>
</file>