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405E429-97DE-4679-A022-5A746110680A" style="width:450.35pt;height:406.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299"/>
        </w:sectPr>
      </w:pPr>
    </w:p>
    <w:p>
      <w:pPr>
        <w:jc w:val="center"/>
        <w:rPr>
          <w:rFonts w:ascii="Times New Roman" w:hAnsi="Times New Roman"/>
          <w:b/>
          <w:noProof/>
          <w:sz w:val="24"/>
        </w:rPr>
      </w:pPr>
      <w:bookmarkStart w:id="1" w:name="_GoBack"/>
      <w:bookmarkEnd w:id="1"/>
      <w:r>
        <w:rPr>
          <w:rFonts w:ascii="Times New Roman" w:hAnsi="Times New Roman"/>
          <w:b/>
          <w:noProof/>
          <w:sz w:val="24"/>
        </w:rPr>
        <w:lastRenderedPageBreak/>
        <w:t>BILAG 1 — TEMATISKE DRØFTELSER OM HINDRINGER FOR INVESTERINGER AFHOLDT I RÅDETS UDVALG</w:t>
      </w:r>
    </w:p>
    <w:p>
      <w:pPr>
        <w:spacing w:after="120"/>
        <w:rPr>
          <w:rFonts w:ascii="Times New Roman" w:hAnsi="Times New Roman"/>
          <w:noProof/>
          <w:sz w:val="24"/>
        </w:rPr>
      </w:pPr>
      <w:r>
        <w:rPr>
          <w:rFonts w:ascii="Times New Roman" w:hAnsi="Times New Roman"/>
          <w:noProof/>
          <w:sz w:val="24"/>
        </w:rPr>
        <w:t>1. Investeringsresultater og flaskehalse</w:t>
      </w:r>
    </w:p>
    <w:tbl>
      <w:tblPr>
        <w:tblStyle w:val="LightList-Accent1"/>
        <w:tblW w:w="4888" w:type="pct"/>
        <w:tblInd w:w="108" w:type="dxa"/>
        <w:tblLook w:val="04A0" w:firstRow="1" w:lastRow="0" w:firstColumn="1" w:lastColumn="0" w:noHBand="0" w:noVBand="1"/>
      </w:tblPr>
      <w:tblGrid>
        <w:gridCol w:w="2509"/>
        <w:gridCol w:w="982"/>
        <w:gridCol w:w="558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top w:val="single" w:sz="8" w:space="0" w:color="4F81BD" w:themeColor="accent1"/>
              <w:left w:val="single" w:sz="8" w:space="0" w:color="4F81BD" w:themeColor="accent1"/>
              <w:bottom w:val="nil"/>
              <w:right w:val="nil"/>
            </w:tcBorders>
            <w:hideMark/>
          </w:tcPr>
          <w:p>
            <w:pPr>
              <w:contextualSpacing/>
              <w:rPr>
                <w:noProof/>
                <w:sz w:val="24"/>
              </w:rPr>
            </w:pPr>
            <w:r>
              <w:rPr>
                <w:noProof/>
                <w:sz w:val="24"/>
              </w:rPr>
              <w:t>Tematisk gennemgang</w:t>
            </w:r>
          </w:p>
        </w:tc>
        <w:tc>
          <w:tcPr>
            <w:tcW w:w="600" w:type="pct"/>
            <w:tcBorders>
              <w:top w:val="single" w:sz="8" w:space="0" w:color="4F81BD" w:themeColor="accent1"/>
              <w:left w:val="nil"/>
              <w:bottom w:val="nil"/>
              <w:right w:val="nil"/>
            </w:tcBorders>
            <w:hideMark/>
          </w:tcPr>
          <w:p>
            <w:pPr>
              <w:contextualSpacing/>
              <w:cnfStyle w:val="100000000000" w:firstRow="1" w:lastRow="0" w:firstColumn="0" w:lastColumn="0" w:oddVBand="0" w:evenVBand="0" w:oddHBand="0" w:evenHBand="0" w:firstRowFirstColumn="0" w:firstRowLastColumn="0" w:lastRowFirstColumn="0" w:lastRowLastColumn="0"/>
              <w:rPr>
                <w:noProof/>
                <w:sz w:val="24"/>
              </w:rPr>
            </w:pPr>
            <w:r>
              <w:rPr>
                <w:noProof/>
                <w:sz w:val="24"/>
              </w:rPr>
              <w:t>Dato</w:t>
            </w:r>
          </w:p>
        </w:tc>
        <w:tc>
          <w:tcPr>
            <w:tcW w:w="3137" w:type="pct"/>
            <w:tcBorders>
              <w:top w:val="single" w:sz="8" w:space="0" w:color="4F81BD" w:themeColor="accent1"/>
              <w:left w:val="nil"/>
              <w:bottom w:val="nil"/>
              <w:right w:val="single" w:sz="8" w:space="0" w:color="4F81BD" w:themeColor="accent1"/>
            </w:tcBorders>
            <w:hideMark/>
          </w:tcPr>
          <w:p>
            <w:pPr>
              <w:contextualSpacing/>
              <w:cnfStyle w:val="100000000000" w:firstRow="1" w:lastRow="0" w:firstColumn="0" w:lastColumn="0" w:oddVBand="0" w:evenVBand="0" w:oddHBand="0" w:evenHBand="0" w:firstRowFirstColumn="0" w:firstRowLastColumn="0" w:lastRowFirstColumn="0" w:lastRowLastColumn="0"/>
              <w:rPr>
                <w:noProof/>
                <w:sz w:val="24"/>
              </w:rPr>
            </w:pPr>
            <w:r>
              <w:rPr>
                <w:noProof/>
                <w:sz w:val="24"/>
              </w:rPr>
              <w:t>Indhold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right w:val="nil"/>
            </w:tcBorders>
            <w:hideMark/>
          </w:tcPr>
          <w:p>
            <w:pPr>
              <w:contextualSpacing/>
              <w:rPr>
                <w:noProof/>
                <w:sz w:val="24"/>
              </w:rPr>
            </w:pPr>
            <w:r>
              <w:rPr>
                <w:noProof/>
                <w:sz w:val="24"/>
              </w:rPr>
              <w:t>Insolvensregler i euroområdet: effektivitetsprincipper og -benchmarking</w:t>
            </w:r>
          </w:p>
        </w:tc>
        <w:tc>
          <w:tcPr>
            <w:tcW w:w="600" w:type="pct"/>
            <w:tcBorders>
              <w:left w:val="nil"/>
              <w:righ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April 2016</w:t>
            </w:r>
          </w:p>
        </w:tc>
        <w:tc>
          <w:tcPr>
            <w:tcW w:w="3137" w:type="pct"/>
            <w:tcBorders>
              <w:lef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lang w:val="nb-NO"/>
              </w:rPr>
              <w:t xml:space="preserve">Insolvensregler har betydning for økonomien, eftersom de påvirker de private aktørers incitamenter. </w:t>
            </w:r>
            <w:r>
              <w:rPr>
                <w:noProof/>
                <w:sz w:val="24"/>
              </w:rPr>
              <w:t>Insolvensreglernes betydning er særlig relevant i situationer med stor udestående gæld. Denne note beskriver de fælles principper for insolvensregler.</w:t>
            </w:r>
          </w:p>
        </w:tc>
      </w:tr>
      <w:tr>
        <w:tc>
          <w:tcPr>
            <w:cnfStyle w:val="001000000000" w:firstRow="0" w:lastRow="0" w:firstColumn="1" w:lastColumn="0" w:oddVBand="0" w:evenVBand="0" w:oddHBand="0" w:evenHBand="0" w:firstRowFirstColumn="0" w:firstRowLastColumn="0" w:lastRowFirstColumn="0" w:lastRowLastColumn="0"/>
            <w:tcW w:w="1263" w:type="pct"/>
            <w:tcBorders>
              <w:top w:val="nil"/>
              <w:left w:val="single" w:sz="8" w:space="0" w:color="4F81BD" w:themeColor="accent1"/>
              <w:bottom w:val="nil"/>
              <w:right w:val="nil"/>
            </w:tcBorders>
            <w:hideMark/>
          </w:tcPr>
          <w:p>
            <w:pPr>
              <w:contextualSpacing/>
              <w:rPr>
                <w:b w:val="0"/>
                <w:caps/>
                <w:noProof/>
                <w:sz w:val="24"/>
              </w:rPr>
            </w:pPr>
            <w:r>
              <w:rPr>
                <w:noProof/>
                <w:sz w:val="24"/>
              </w:rPr>
              <w:t>Tematiske drøftelser om investeringer</w:t>
            </w:r>
          </w:p>
        </w:tc>
        <w:tc>
          <w:tcPr>
            <w:tcW w:w="600" w:type="pct"/>
            <w:tcBorders>
              <w:top w:val="nil"/>
              <w:left w:val="nil"/>
              <w:bottom w:val="nil"/>
              <w:right w:val="nil"/>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Juni 2016</w:t>
            </w:r>
          </w:p>
        </w:tc>
        <w:tc>
          <w:tcPr>
            <w:tcW w:w="3137" w:type="pct"/>
            <w:tcBorders>
              <w:top w:val="nil"/>
              <w:left w:val="nil"/>
              <w:bottom w:val="nil"/>
              <w:right w:val="single" w:sz="8" w:space="0" w:color="4F81BD" w:themeColor="accent1"/>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Disse drøftelser gik primært på lovgivningsmæssige usmidigheder og flaskehalse i forbindelse med investeringer i landene i euroområdet, og hvordan der tages hånd om disse udfordringer under hensyntagen til reformer på både nationalt plan og EU-plan.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right w:val="nil"/>
            </w:tcBorders>
            <w:hideMark/>
          </w:tcPr>
          <w:p>
            <w:pPr>
              <w:contextualSpacing/>
              <w:rPr>
                <w:noProof/>
                <w:sz w:val="24"/>
              </w:rPr>
            </w:pPr>
            <w:r>
              <w:rPr>
                <w:noProof/>
                <w:sz w:val="24"/>
              </w:rPr>
              <w:t>Betingelserne for at drive virksomhed</w:t>
            </w:r>
          </w:p>
        </w:tc>
        <w:tc>
          <w:tcPr>
            <w:tcW w:w="600" w:type="pct"/>
            <w:tcBorders>
              <w:left w:val="nil"/>
              <w:righ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Januar 2017</w:t>
            </w:r>
          </w:p>
        </w:tc>
        <w:tc>
          <w:tcPr>
            <w:tcW w:w="3137" w:type="pct"/>
            <w:tcBorders>
              <w:lef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 xml:space="preserve">Forbedringer af betingelserne for at drive virksomhed og lettelse af bureaukratiet kan — i vid udstrækning — opnås ved at gennemføre foranstaltninger, der medfører begrænsede eller ingen budgetomkostninger, men som kan medføre store fordele. </w:t>
            </w:r>
          </w:p>
        </w:tc>
      </w:tr>
      <w:tr>
        <w:tc>
          <w:tcPr>
            <w:cnfStyle w:val="001000000000" w:firstRow="0" w:lastRow="0" w:firstColumn="1" w:lastColumn="0" w:oddVBand="0" w:evenVBand="0" w:oddHBand="0" w:evenHBand="0" w:firstRowFirstColumn="0" w:firstRowLastColumn="0" w:lastRowFirstColumn="0" w:lastRowLastColumn="0"/>
            <w:tcW w:w="1263" w:type="pct"/>
            <w:tcBorders>
              <w:top w:val="nil"/>
              <w:left w:val="single" w:sz="8" w:space="0" w:color="4F81BD" w:themeColor="accent1"/>
              <w:bottom w:val="single" w:sz="8" w:space="0" w:color="4F81BD" w:themeColor="accent1"/>
              <w:right w:val="nil"/>
            </w:tcBorders>
            <w:hideMark/>
          </w:tcPr>
          <w:p>
            <w:pPr>
              <w:contextualSpacing/>
              <w:rPr>
                <w:noProof/>
                <w:sz w:val="24"/>
              </w:rPr>
            </w:pPr>
            <w:r>
              <w:rPr>
                <w:noProof/>
                <w:sz w:val="24"/>
              </w:rPr>
              <w:t>Reformer af arbejdsmarkeder og produktmarkeder</w:t>
            </w:r>
          </w:p>
        </w:tc>
        <w:tc>
          <w:tcPr>
            <w:tcW w:w="600" w:type="pct"/>
            <w:tcBorders>
              <w:top w:val="nil"/>
              <w:left w:val="nil"/>
              <w:bottom w:val="single" w:sz="8" w:space="0" w:color="4F81BD" w:themeColor="accent1"/>
              <w:right w:val="nil"/>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Maj 2017</w:t>
            </w:r>
          </w:p>
        </w:tc>
        <w:tc>
          <w:tcPr>
            <w:tcW w:w="3137" w:type="pct"/>
            <w:tcBorders>
              <w:top w:val="nil"/>
              <w:left w:val="nil"/>
              <w:bottom w:val="single" w:sz="8" w:space="0" w:color="4F81BD" w:themeColor="accent1"/>
              <w:right w:val="single" w:sz="8" w:space="0" w:color="4F81BD" w:themeColor="accent1"/>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Disse drøftelser gik primært på den rolle, som reformer af arbejds- og produktmarkederne spiller for investeringer, og samspillet mellem disse reformer.</w:t>
            </w:r>
          </w:p>
        </w:tc>
      </w:tr>
    </w:tbl>
    <w:p>
      <w:pPr>
        <w:rPr>
          <w:rFonts w:ascii="Times New Roman" w:hAnsi="Times New Roman"/>
          <w:noProof/>
          <w:sz w:val="24"/>
        </w:rPr>
      </w:pPr>
    </w:p>
    <w:p>
      <w:pPr>
        <w:spacing w:after="120"/>
        <w:rPr>
          <w:rFonts w:ascii="Times New Roman" w:hAnsi="Times New Roman"/>
          <w:noProof/>
          <w:sz w:val="24"/>
        </w:rPr>
      </w:pPr>
      <w:r>
        <w:rPr>
          <w:rFonts w:ascii="Times New Roman" w:hAnsi="Times New Roman"/>
          <w:noProof/>
          <w:sz w:val="24"/>
        </w:rPr>
        <w:t>2. Investeringer i infrastruktur</w:t>
      </w:r>
    </w:p>
    <w:tbl>
      <w:tblPr>
        <w:tblStyle w:val="LightList-Accent1"/>
        <w:tblW w:w="4888" w:type="pct"/>
        <w:tblInd w:w="108" w:type="dxa"/>
        <w:tblLook w:val="04A0" w:firstRow="1" w:lastRow="0" w:firstColumn="1" w:lastColumn="0" w:noHBand="0" w:noVBand="1"/>
      </w:tblPr>
      <w:tblGrid>
        <w:gridCol w:w="2217"/>
        <w:gridCol w:w="1243"/>
        <w:gridCol w:w="562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top w:val="single" w:sz="8" w:space="0" w:color="4F81BD" w:themeColor="accent1"/>
              <w:left w:val="single" w:sz="8" w:space="0" w:color="4F81BD" w:themeColor="accent1"/>
              <w:bottom w:val="nil"/>
              <w:right w:val="nil"/>
            </w:tcBorders>
            <w:hideMark/>
          </w:tcPr>
          <w:p>
            <w:pPr>
              <w:contextualSpacing/>
              <w:rPr>
                <w:noProof/>
                <w:sz w:val="24"/>
              </w:rPr>
            </w:pPr>
            <w:r>
              <w:rPr>
                <w:noProof/>
                <w:sz w:val="24"/>
              </w:rPr>
              <w:t>Tematisk gennemgang</w:t>
            </w:r>
          </w:p>
        </w:tc>
        <w:tc>
          <w:tcPr>
            <w:tcW w:w="600" w:type="pct"/>
            <w:tcBorders>
              <w:top w:val="single" w:sz="8" w:space="0" w:color="4F81BD" w:themeColor="accent1"/>
              <w:left w:val="nil"/>
              <w:bottom w:val="nil"/>
              <w:right w:val="nil"/>
            </w:tcBorders>
            <w:hideMark/>
          </w:tcPr>
          <w:p>
            <w:pPr>
              <w:contextualSpacing/>
              <w:cnfStyle w:val="100000000000" w:firstRow="1" w:lastRow="0" w:firstColumn="0" w:lastColumn="0" w:oddVBand="0" w:evenVBand="0" w:oddHBand="0" w:evenHBand="0" w:firstRowFirstColumn="0" w:firstRowLastColumn="0" w:lastRowFirstColumn="0" w:lastRowLastColumn="0"/>
              <w:rPr>
                <w:noProof/>
                <w:sz w:val="24"/>
              </w:rPr>
            </w:pPr>
            <w:r>
              <w:rPr>
                <w:noProof/>
                <w:sz w:val="24"/>
              </w:rPr>
              <w:t>Dato</w:t>
            </w:r>
          </w:p>
        </w:tc>
        <w:tc>
          <w:tcPr>
            <w:tcW w:w="3137" w:type="pct"/>
            <w:tcBorders>
              <w:top w:val="single" w:sz="8" w:space="0" w:color="4F81BD" w:themeColor="accent1"/>
              <w:left w:val="nil"/>
              <w:bottom w:val="nil"/>
              <w:right w:val="single" w:sz="8" w:space="0" w:color="4F81BD" w:themeColor="accent1"/>
            </w:tcBorders>
            <w:hideMark/>
          </w:tcPr>
          <w:p>
            <w:pPr>
              <w:contextualSpacing/>
              <w:cnfStyle w:val="100000000000" w:firstRow="1" w:lastRow="0" w:firstColumn="0" w:lastColumn="0" w:oddVBand="0" w:evenVBand="0" w:oddHBand="0" w:evenHBand="0" w:firstRowFirstColumn="0" w:firstRowLastColumn="0" w:lastRowFirstColumn="0" w:lastRowLastColumn="0"/>
              <w:rPr>
                <w:noProof/>
                <w:sz w:val="24"/>
              </w:rPr>
            </w:pPr>
            <w:r>
              <w:rPr>
                <w:noProof/>
                <w:sz w:val="24"/>
              </w:rPr>
              <w:t>Indhold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right w:val="nil"/>
            </w:tcBorders>
            <w:hideMark/>
          </w:tcPr>
          <w:p>
            <w:pPr>
              <w:contextualSpacing/>
              <w:rPr>
                <w:noProof/>
                <w:sz w:val="24"/>
              </w:rPr>
            </w:pPr>
            <w:r>
              <w:rPr>
                <w:noProof/>
                <w:sz w:val="24"/>
              </w:rPr>
              <w:t>Offentlige investeringer i infrastruktur</w:t>
            </w:r>
          </w:p>
        </w:tc>
        <w:tc>
          <w:tcPr>
            <w:tcW w:w="600" w:type="pct"/>
            <w:tcBorders>
              <w:left w:val="nil"/>
              <w:righ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September 2015</w:t>
            </w:r>
          </w:p>
        </w:tc>
        <w:tc>
          <w:tcPr>
            <w:tcW w:w="3137" w:type="pct"/>
            <w:tcBorders>
              <w:lef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 xml:space="preserve">Disse drøftelser indebar en gennemgang af de seneste investeringstendenser på infrastrukturområdet, og hvordan man bør vurdere mulige udfordringer knyttet til effektiviteten af de offentlige udgifter. Man gennemgik de rammebetingelser, der er befordrende for investeringer, og fokuserede på brugen af EU-midler. </w:t>
            </w:r>
          </w:p>
        </w:tc>
      </w:tr>
      <w:tr>
        <w:tc>
          <w:tcPr>
            <w:cnfStyle w:val="001000000000" w:firstRow="0" w:lastRow="0" w:firstColumn="1" w:lastColumn="0" w:oddVBand="0" w:evenVBand="0" w:oddHBand="0" w:evenHBand="0" w:firstRowFirstColumn="0" w:firstRowLastColumn="0" w:lastRowFirstColumn="0" w:lastRowLastColumn="0"/>
            <w:tcW w:w="1263" w:type="pct"/>
            <w:tcBorders>
              <w:top w:val="nil"/>
              <w:left w:val="single" w:sz="8" w:space="0" w:color="4F81BD" w:themeColor="accent1"/>
              <w:bottom w:val="nil"/>
              <w:right w:val="nil"/>
            </w:tcBorders>
            <w:hideMark/>
          </w:tcPr>
          <w:p>
            <w:pPr>
              <w:contextualSpacing/>
              <w:rPr>
                <w:noProof/>
                <w:sz w:val="24"/>
              </w:rPr>
            </w:pPr>
            <w:r>
              <w:rPr>
                <w:noProof/>
                <w:sz w:val="24"/>
              </w:rPr>
              <w:t>Offentlig-private partnerskaber</w:t>
            </w:r>
          </w:p>
        </w:tc>
        <w:tc>
          <w:tcPr>
            <w:tcW w:w="600" w:type="pct"/>
            <w:tcBorders>
              <w:top w:val="nil"/>
              <w:left w:val="nil"/>
              <w:bottom w:val="nil"/>
              <w:right w:val="nil"/>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Januar 2016</w:t>
            </w:r>
          </w:p>
        </w:tc>
        <w:tc>
          <w:tcPr>
            <w:tcW w:w="3137" w:type="pct"/>
            <w:tcBorders>
              <w:top w:val="nil"/>
              <w:left w:val="nil"/>
              <w:bottom w:val="nil"/>
              <w:right w:val="single" w:sz="8" w:space="0" w:color="4F81BD" w:themeColor="accent1"/>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Disse drøftelser gik på, hvordan man kan bruge offentlig-private partnerskaber (OPP'er) til at engagere private aktører i udviklingen og konstruktionen af infrastrukturer og i leveringen af offentlige tjenester.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right w:val="nil"/>
            </w:tcBorders>
            <w:hideMark/>
          </w:tcPr>
          <w:p>
            <w:pPr>
              <w:contextualSpacing/>
              <w:rPr>
                <w:noProof/>
                <w:sz w:val="24"/>
              </w:rPr>
            </w:pPr>
            <w:r>
              <w:rPr>
                <w:noProof/>
                <w:sz w:val="24"/>
              </w:rPr>
              <w:t xml:space="preserve">Investeringer i netindustrier </w:t>
            </w:r>
          </w:p>
        </w:tc>
        <w:tc>
          <w:tcPr>
            <w:tcW w:w="600" w:type="pct"/>
            <w:tcBorders>
              <w:left w:val="nil"/>
              <w:righ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Maj 2016</w:t>
            </w:r>
          </w:p>
        </w:tc>
        <w:tc>
          <w:tcPr>
            <w:tcW w:w="3137" w:type="pct"/>
            <w:tcBorders>
              <w:lef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 xml:space="preserve">Formålet med denne note var at gennemgå udviklingen i investeringerne inden for transport, energi og e-kommunikation og drøfte investeringsflaskehalse. </w:t>
            </w:r>
          </w:p>
        </w:tc>
      </w:tr>
      <w:tr>
        <w:tc>
          <w:tcPr>
            <w:cnfStyle w:val="001000000000" w:firstRow="0" w:lastRow="0" w:firstColumn="1" w:lastColumn="0" w:oddVBand="0" w:evenVBand="0" w:oddHBand="0" w:evenHBand="0" w:firstRowFirstColumn="0" w:firstRowLastColumn="0" w:lastRowFirstColumn="0" w:lastRowLastColumn="0"/>
            <w:tcW w:w="1263" w:type="pct"/>
            <w:tcBorders>
              <w:top w:val="nil"/>
              <w:left w:val="single" w:sz="8" w:space="0" w:color="4F81BD" w:themeColor="accent1"/>
              <w:bottom w:val="nil"/>
              <w:right w:val="nil"/>
            </w:tcBorders>
            <w:hideMark/>
          </w:tcPr>
          <w:p>
            <w:pPr>
              <w:contextualSpacing/>
              <w:rPr>
                <w:noProof/>
                <w:sz w:val="24"/>
              </w:rPr>
            </w:pPr>
            <w:r>
              <w:rPr>
                <w:noProof/>
                <w:sz w:val="24"/>
              </w:rPr>
              <w:t>Boliginvesteringer i energieffektivitet og vedvarende energi</w:t>
            </w:r>
          </w:p>
        </w:tc>
        <w:tc>
          <w:tcPr>
            <w:tcW w:w="600" w:type="pct"/>
            <w:tcBorders>
              <w:top w:val="nil"/>
              <w:left w:val="nil"/>
              <w:bottom w:val="nil"/>
              <w:right w:val="nil"/>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Juni 2016</w:t>
            </w:r>
          </w:p>
        </w:tc>
        <w:tc>
          <w:tcPr>
            <w:tcW w:w="3137" w:type="pct"/>
            <w:tcBorders>
              <w:top w:val="nil"/>
              <w:left w:val="nil"/>
              <w:bottom w:val="nil"/>
              <w:right w:val="single" w:sz="8" w:space="0" w:color="4F81BD" w:themeColor="accent1"/>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Drøftelserne gik på de investeringer i energieffektivitet, der foretages i boligsektoren, de flaskehalse, der hindrer husholdningerne i at investere mere, og potentialet for energieffektivitet i denne del af økonomien.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right w:val="nil"/>
            </w:tcBorders>
            <w:hideMark/>
          </w:tcPr>
          <w:p>
            <w:pPr>
              <w:contextualSpacing/>
              <w:rPr>
                <w:noProof/>
                <w:sz w:val="24"/>
              </w:rPr>
            </w:pPr>
            <w:r>
              <w:rPr>
                <w:noProof/>
                <w:sz w:val="24"/>
              </w:rPr>
              <w:t>Investeringer i den digitale økonomi</w:t>
            </w:r>
          </w:p>
        </w:tc>
        <w:tc>
          <w:tcPr>
            <w:tcW w:w="600" w:type="pct"/>
            <w:tcBorders>
              <w:left w:val="nil"/>
              <w:righ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November 2016</w:t>
            </w:r>
          </w:p>
        </w:tc>
        <w:tc>
          <w:tcPr>
            <w:tcW w:w="3137" w:type="pct"/>
            <w:tcBorders>
              <w:lef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Drøftelserne gik især på investeringer, der muliggør udviklingen af den digitale økonomi.</w:t>
            </w:r>
          </w:p>
        </w:tc>
      </w:tr>
    </w:tbl>
    <w:p>
      <w:pPr>
        <w:spacing w:after="120"/>
        <w:rPr>
          <w:rFonts w:ascii="Times New Roman" w:hAnsi="Times New Roman"/>
          <w:noProof/>
          <w:sz w:val="24"/>
        </w:rPr>
      </w:pPr>
      <w:r>
        <w:rPr>
          <w:rFonts w:ascii="Times New Roman" w:hAnsi="Times New Roman"/>
          <w:noProof/>
          <w:sz w:val="24"/>
        </w:rPr>
        <w:lastRenderedPageBreak/>
        <w:t>3. Investeringer i immaterielle aktiver</w:t>
      </w:r>
    </w:p>
    <w:tbl>
      <w:tblPr>
        <w:tblStyle w:val="LightList-Accent1"/>
        <w:tblW w:w="4888" w:type="pct"/>
        <w:tblInd w:w="108" w:type="dxa"/>
        <w:tblLook w:val="04A0" w:firstRow="1" w:lastRow="0" w:firstColumn="1" w:lastColumn="0" w:noHBand="0" w:noVBand="1"/>
      </w:tblPr>
      <w:tblGrid>
        <w:gridCol w:w="2293"/>
        <w:gridCol w:w="1090"/>
        <w:gridCol w:w="569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top w:val="single" w:sz="8" w:space="0" w:color="4F81BD" w:themeColor="accent1"/>
              <w:left w:val="single" w:sz="8" w:space="0" w:color="4F81BD" w:themeColor="accent1"/>
              <w:bottom w:val="nil"/>
              <w:right w:val="nil"/>
            </w:tcBorders>
            <w:hideMark/>
          </w:tcPr>
          <w:p>
            <w:pPr>
              <w:contextualSpacing/>
              <w:rPr>
                <w:noProof/>
                <w:sz w:val="24"/>
              </w:rPr>
            </w:pPr>
            <w:r>
              <w:rPr>
                <w:noProof/>
                <w:sz w:val="24"/>
              </w:rPr>
              <w:t>Tematisk gennemgang</w:t>
            </w:r>
          </w:p>
        </w:tc>
        <w:tc>
          <w:tcPr>
            <w:tcW w:w="600" w:type="pct"/>
            <w:tcBorders>
              <w:top w:val="single" w:sz="8" w:space="0" w:color="4F81BD" w:themeColor="accent1"/>
              <w:left w:val="nil"/>
              <w:bottom w:val="nil"/>
              <w:right w:val="nil"/>
            </w:tcBorders>
            <w:hideMark/>
          </w:tcPr>
          <w:p>
            <w:pPr>
              <w:contextualSpacing/>
              <w:cnfStyle w:val="100000000000" w:firstRow="1" w:lastRow="0" w:firstColumn="0" w:lastColumn="0" w:oddVBand="0" w:evenVBand="0" w:oddHBand="0" w:evenHBand="0" w:firstRowFirstColumn="0" w:firstRowLastColumn="0" w:lastRowFirstColumn="0" w:lastRowLastColumn="0"/>
              <w:rPr>
                <w:noProof/>
                <w:sz w:val="24"/>
              </w:rPr>
            </w:pPr>
            <w:r>
              <w:rPr>
                <w:noProof/>
                <w:sz w:val="24"/>
              </w:rPr>
              <w:t>Dato</w:t>
            </w:r>
          </w:p>
        </w:tc>
        <w:tc>
          <w:tcPr>
            <w:tcW w:w="3137" w:type="pct"/>
            <w:tcBorders>
              <w:top w:val="single" w:sz="8" w:space="0" w:color="4F81BD" w:themeColor="accent1"/>
              <w:left w:val="nil"/>
              <w:bottom w:val="nil"/>
              <w:right w:val="single" w:sz="8" w:space="0" w:color="4F81BD" w:themeColor="accent1"/>
            </w:tcBorders>
            <w:hideMark/>
          </w:tcPr>
          <w:p>
            <w:pPr>
              <w:contextualSpacing/>
              <w:cnfStyle w:val="100000000000" w:firstRow="1" w:lastRow="0" w:firstColumn="0" w:lastColumn="0" w:oddVBand="0" w:evenVBand="0" w:oddHBand="0" w:evenHBand="0" w:firstRowFirstColumn="0" w:firstRowLastColumn="0" w:lastRowFirstColumn="0" w:lastRowLastColumn="0"/>
              <w:rPr>
                <w:noProof/>
                <w:sz w:val="24"/>
              </w:rPr>
            </w:pPr>
            <w:r>
              <w:rPr>
                <w:noProof/>
                <w:sz w:val="24"/>
              </w:rPr>
              <w:t>Indhold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Borders>
              <w:right w:val="nil"/>
            </w:tcBorders>
            <w:hideMark/>
          </w:tcPr>
          <w:p>
            <w:pPr>
              <w:contextualSpacing/>
              <w:rPr>
                <w:noProof/>
                <w:sz w:val="24"/>
              </w:rPr>
            </w:pPr>
            <w:r>
              <w:rPr>
                <w:noProof/>
                <w:sz w:val="24"/>
              </w:rPr>
              <w:t>Investeringer i immaterielle aktiver</w:t>
            </w:r>
          </w:p>
        </w:tc>
        <w:tc>
          <w:tcPr>
            <w:tcW w:w="600" w:type="pct"/>
            <w:tcBorders>
              <w:left w:val="nil"/>
              <w:righ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Oktober 2016</w:t>
            </w:r>
          </w:p>
        </w:tc>
        <w:tc>
          <w:tcPr>
            <w:tcW w:w="3137" w:type="pct"/>
            <w:tcBorders>
              <w:left w:val="nil"/>
            </w:tcBorders>
            <w:hideMark/>
          </w:tcPr>
          <w:p>
            <w:pPr>
              <w:contextualSpacing/>
              <w:cnfStyle w:val="000000100000" w:firstRow="0" w:lastRow="0" w:firstColumn="0" w:lastColumn="0" w:oddVBand="0" w:evenVBand="0" w:oddHBand="1" w:evenHBand="0" w:firstRowFirstColumn="0" w:firstRowLastColumn="0" w:lastRowFirstColumn="0" w:lastRowLastColumn="0"/>
              <w:rPr>
                <w:noProof/>
                <w:sz w:val="24"/>
              </w:rPr>
            </w:pPr>
            <w:r>
              <w:rPr>
                <w:noProof/>
                <w:sz w:val="24"/>
              </w:rPr>
              <w:t>Drøftelserne bidrog med baggrundsoplysninger om immaterielle aktiver i Europa og gik dermed på begrebet immaterielle aktiver, den seneste udvikling i investeringer i immaterielle aktiver og deres indvirkning på produktivitet og vækst i BNP.</w:t>
            </w:r>
          </w:p>
        </w:tc>
      </w:tr>
      <w:tr>
        <w:tc>
          <w:tcPr>
            <w:cnfStyle w:val="001000000000" w:firstRow="0" w:lastRow="0" w:firstColumn="1" w:lastColumn="0" w:oddVBand="0" w:evenVBand="0" w:oddHBand="0" w:evenHBand="0" w:firstRowFirstColumn="0" w:firstRowLastColumn="0" w:lastRowFirstColumn="0" w:lastRowLastColumn="0"/>
            <w:tcW w:w="1263" w:type="pct"/>
            <w:tcBorders>
              <w:top w:val="nil"/>
              <w:left w:val="single" w:sz="8" w:space="0" w:color="4F81BD" w:themeColor="accent1"/>
              <w:bottom w:val="single" w:sz="8" w:space="0" w:color="4F81BD" w:themeColor="accent1"/>
              <w:right w:val="nil"/>
            </w:tcBorders>
            <w:hideMark/>
          </w:tcPr>
          <w:p>
            <w:pPr>
              <w:contextualSpacing/>
              <w:rPr>
                <w:noProof/>
                <w:sz w:val="24"/>
              </w:rPr>
            </w:pPr>
            <w:r>
              <w:rPr>
                <w:noProof/>
                <w:sz w:val="24"/>
              </w:rPr>
              <w:t>Frigørelse af investeringer i immaterielle aktiver</w:t>
            </w:r>
          </w:p>
        </w:tc>
        <w:tc>
          <w:tcPr>
            <w:tcW w:w="600" w:type="pct"/>
            <w:tcBorders>
              <w:top w:val="nil"/>
              <w:left w:val="nil"/>
              <w:bottom w:val="single" w:sz="8" w:space="0" w:color="4F81BD" w:themeColor="accent1"/>
              <w:right w:val="nil"/>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Januar 2017</w:t>
            </w:r>
          </w:p>
        </w:tc>
        <w:tc>
          <w:tcPr>
            <w:tcW w:w="3137" w:type="pct"/>
            <w:tcBorders>
              <w:top w:val="nil"/>
              <w:left w:val="nil"/>
              <w:bottom w:val="single" w:sz="8" w:space="0" w:color="4F81BD" w:themeColor="accent1"/>
              <w:right w:val="single" w:sz="8" w:space="0" w:color="4F81BD" w:themeColor="accent1"/>
            </w:tcBorders>
            <w:hideMark/>
          </w:tcPr>
          <w:p>
            <w:pPr>
              <w:contextualSpacing/>
              <w:cnfStyle w:val="000000000000" w:firstRow="0" w:lastRow="0" w:firstColumn="0" w:lastColumn="0" w:oddVBand="0" w:evenVBand="0" w:oddHBand="0" w:evenHBand="0" w:firstRowFirstColumn="0" w:firstRowLastColumn="0" w:lastRowFirstColumn="0" w:lastRowLastColumn="0"/>
              <w:rPr>
                <w:noProof/>
                <w:sz w:val="24"/>
              </w:rPr>
            </w:pPr>
            <w:r>
              <w:rPr>
                <w:noProof/>
                <w:sz w:val="24"/>
              </w:rPr>
              <w:t xml:space="preserve">Drøftelserne gik på de faktorer, der driver og bremser investeringer i immaterielle aktiver, og hvorvidt der er behov for specifikke politiske foranstaltninger til at afhjælpe hindringerne for investeringer i immaterielle aktiver. </w:t>
            </w:r>
          </w:p>
        </w:tc>
      </w:tr>
    </w:tbl>
    <w:p>
      <w:pPr>
        <w:jc w:val="both"/>
        <w:rPr>
          <w:rFonts w:ascii="Times New Roman" w:hAnsi="Times New Roman"/>
          <w:b/>
          <w:noProof/>
          <w:sz w:val="24"/>
          <w:highlight w:val="yellow"/>
        </w:rPr>
      </w:pPr>
    </w:p>
    <w:p>
      <w:pPr>
        <w:jc w:val="both"/>
        <w:rPr>
          <w:rFonts w:ascii="Times New Roman" w:hAnsi="Times New Roman"/>
          <w:b/>
          <w:noProof/>
          <w:sz w:val="24"/>
          <w:highlight w:val="yellow"/>
        </w:rPr>
      </w:pPr>
    </w:p>
    <w:p>
      <w:pPr>
        <w:spacing w:after="0"/>
        <w:rPr>
          <w:rFonts w:ascii="Times New Roman" w:hAnsi="Times New Roman"/>
          <w:noProof/>
          <w:sz w:val="24"/>
          <w:highlight w:val="yellow"/>
        </w:rPr>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sectPr>
      </w:pPr>
    </w:p>
    <w:p>
      <w:pPr>
        <w:jc w:val="center"/>
        <w:rPr>
          <w:rFonts w:ascii="Times New Roman" w:hAnsi="Times New Roman"/>
          <w:b/>
          <w:noProof/>
          <w:sz w:val="24"/>
        </w:rPr>
      </w:pPr>
      <w:r>
        <w:rPr>
          <w:rFonts w:ascii="Times New Roman" w:hAnsi="Times New Roman"/>
          <w:b/>
          <w:noProof/>
          <w:sz w:val="24"/>
        </w:rPr>
        <w:t xml:space="preserve">BILAG 2 — MEDLEMSSTATERNES FREMSKRIDT MED AT LØSE INVESTERINGSUDFORDRINGERNE </w:t>
      </w:r>
    </w:p>
    <w:p>
      <w:pPr>
        <w:spacing w:after="0"/>
        <w:jc w:val="center"/>
        <w:rPr>
          <w:rFonts w:ascii="Times New Roman" w:hAnsi="Times New Roman"/>
          <w:noProof/>
          <w:sz w:val="24"/>
        </w:rPr>
      </w:pPr>
    </w:p>
    <w:p>
      <w:pPr>
        <w:jc w:val="both"/>
        <w:rPr>
          <w:rFonts w:ascii="Times New Roman" w:hAnsi="Times New Roman"/>
          <w:noProof/>
          <w:sz w:val="24"/>
          <w:highlight w:val="yellow"/>
        </w:rPr>
      </w:pPr>
      <w:r>
        <w:rPr>
          <w:noProof/>
          <w:lang w:val="en-GB" w:eastAsia="en-GB" w:bidi="ar-SA"/>
        </w:rPr>
        <w:drawing>
          <wp:inline distT="0" distB="0" distL="0" distR="0">
            <wp:extent cx="8892540" cy="479687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4796870"/>
                    </a:xfrm>
                    <a:prstGeom prst="rect">
                      <a:avLst/>
                    </a:prstGeom>
                    <a:noFill/>
                    <a:ln>
                      <a:noFill/>
                    </a:ln>
                  </pic:spPr>
                </pic:pic>
              </a:graphicData>
            </a:graphic>
          </wp:inline>
        </w:drawing>
      </w:r>
    </w:p>
    <w:sectPr>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47017"/>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872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2"/>
    <w:docVar w:name="LW_ANNEX_UNIQUE" w:val="0"/>
    <w:docVar w:name="LW_CORRIGENDUM" w:val="&lt;UNUSED&gt;"/>
    <w:docVar w:name="LW_COVERPAGE_EXISTS" w:val="True"/>
    <w:docVar w:name="LW_COVERPAGE_GUID" w:val="E405E429-97DE-4679-A022-5A746110680A"/>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Investeringsplanen for Europa: Status og næste skridt"/>
    <w:docVar w:name="LW_PART_NBR" w:val="&lt;UNUSED&gt;"/>
    <w:docVar w:name="LW_PART_NBR_TOTAL" w:val="&lt;UNUSED&gt;"/>
    <w:docVar w:name="LW_REF.INST.NEW" w:val="COM"/>
    <w:docVar w:name="LW_REF.INST.NEW_ADOPTED" w:val="final"/>
    <w:docVar w:name="LW_REF.INST.NEW_TEXT" w:val="(2018) 7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N EUROPÆISKE CENTRALBANK, DET EUROPÆISKE ØKONOMISKE OG SOCIALE UDVALG, REGIONSUDVALGET OG DEN EUROPÆISKE INVESTERINGSBAN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semiHidden/>
    <w:unhideWhenUse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semiHidden/>
    <w:unhideWhenUse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DB7A1B-2A3B-49BA-8E55-D2DC60F4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432</Words>
  <Characters>2939</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DE LANDA Rosa Maria (SG)</dc:creator>
  <cp:keywords/>
  <dc:description/>
  <cp:lastModifiedBy>WES PDFC Administrator</cp:lastModifiedBy>
  <cp:revision>17</cp:revision>
  <cp:lastPrinted>2018-11-16T16:26:00Z</cp:lastPrinted>
  <dcterms:created xsi:type="dcterms:W3CDTF">2018-11-19T16:13:00Z</dcterms:created>
  <dcterms:modified xsi:type="dcterms:W3CDTF">2018-11-28T16:35:00Z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