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48" w:rsidRDefault="00201C37" w:rsidP="00201C3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91C87DE-3E04-4CA3-BB83-1CBD9A8030E5" style="width:450.75pt;height:596.25pt">
            <v:imagedata r:id="rId7" o:title=""/>
          </v:shape>
        </w:pict>
      </w:r>
    </w:p>
    <w:bookmarkEnd w:id="0"/>
    <w:p w:rsidR="00814C48" w:rsidRDefault="00814C48">
      <w:pPr>
        <w:rPr>
          <w:noProof/>
        </w:rPr>
        <w:sectPr w:rsidR="00814C48" w:rsidSect="00201C3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814C48" w:rsidRDefault="00D30424">
      <w:pPr>
        <w:jc w:val="center"/>
        <w:rPr>
          <w:rFonts w:ascii="Times New Roman" w:eastAsia="Calibri" w:hAnsi="Times New Roman" w:cs="Times New Roman"/>
          <w:b/>
          <w:noProof/>
          <w:color w:val="000000"/>
          <w:sz w:val="24"/>
          <w:szCs w:val="24"/>
        </w:rPr>
      </w:pPr>
      <w:bookmarkStart w:id="1" w:name="_GoBack"/>
      <w:bookmarkEnd w:id="1"/>
      <w:r>
        <w:rPr>
          <w:rFonts w:ascii="Times New Roman" w:hAnsi="Times New Roman"/>
          <w:b/>
          <w:noProof/>
          <w:color w:val="000000"/>
          <w:sz w:val="24"/>
        </w:rPr>
        <w:lastRenderedPageBreak/>
        <w:t xml:space="preserve">ANNEXE </w:t>
      </w:r>
    </w:p>
    <w:p w:rsidR="00814C48" w:rsidRDefault="00D30424">
      <w:pPr>
        <w:jc w:val="center"/>
        <w:rPr>
          <w:rFonts w:ascii="Times New Roman" w:eastAsia="Calibri" w:hAnsi="Times New Roman" w:cs="Times New Roman"/>
          <w:b/>
          <w:noProof/>
          <w:sz w:val="24"/>
        </w:rPr>
      </w:pPr>
      <w:r>
        <w:rPr>
          <w:rFonts w:ascii="Times New Roman" w:hAnsi="Times New Roman"/>
          <w:b/>
          <w:noProof/>
          <w:sz w:val="24"/>
        </w:rPr>
        <w:t>Projet de décision du Conseil européen</w:t>
      </w:r>
    </w:p>
    <w:p w:rsidR="00814C48" w:rsidRDefault="00D30424">
      <w:pPr>
        <w:jc w:val="center"/>
        <w:rPr>
          <w:rFonts w:ascii="Times New Roman" w:eastAsia="Calibri" w:hAnsi="Times New Roman" w:cs="Times New Roman"/>
          <w:b/>
          <w:noProof/>
          <w:sz w:val="24"/>
        </w:rPr>
      </w:pPr>
      <w:r>
        <w:rPr>
          <w:rFonts w:ascii="Times New Roman" w:hAnsi="Times New Roman"/>
          <w:b/>
          <w:noProof/>
          <w:sz w:val="24"/>
        </w:rPr>
        <w:t>modifiant l’article 86 du traité sur le fonctionnement de l’Union européenne en ce qui concerne les compétences du Parquet européen</w:t>
      </w:r>
    </w:p>
    <w:p w:rsidR="00814C48" w:rsidRDefault="00814C48">
      <w:pPr>
        <w:rPr>
          <w:rFonts w:ascii="Times New Roman" w:eastAsia="Calibri" w:hAnsi="Times New Roman" w:cs="Times New Roman"/>
          <w:noProof/>
          <w:sz w:val="24"/>
        </w:rPr>
      </w:pPr>
    </w:p>
    <w:p w:rsidR="00814C48" w:rsidRDefault="00D30424">
      <w:pPr>
        <w:jc w:val="both"/>
        <w:rPr>
          <w:rFonts w:ascii="Times New Roman" w:eastAsia="Calibri" w:hAnsi="Times New Roman" w:cs="Times New Roman"/>
          <w:noProof/>
          <w:sz w:val="24"/>
        </w:rPr>
      </w:pPr>
      <w:r>
        <w:rPr>
          <w:rFonts w:ascii="Times New Roman" w:hAnsi="Times New Roman"/>
          <w:noProof/>
          <w:sz w:val="24"/>
        </w:rPr>
        <w:t>LE CONSEIL EUROPÉEN,</w:t>
      </w:r>
    </w:p>
    <w:p w:rsidR="00814C48" w:rsidRDefault="00D30424">
      <w:pPr>
        <w:jc w:val="both"/>
        <w:rPr>
          <w:rFonts w:ascii="Times New Roman" w:eastAsia="Calibri" w:hAnsi="Times New Roman" w:cs="Times New Roman"/>
          <w:noProof/>
          <w:sz w:val="24"/>
        </w:rPr>
      </w:pPr>
      <w:r>
        <w:rPr>
          <w:rFonts w:ascii="Times New Roman" w:hAnsi="Times New Roman"/>
          <w:noProof/>
          <w:sz w:val="24"/>
        </w:rPr>
        <w:t>vu le traité sur l'Union européenne, et notamment son article 17, paragraphe 1, et le traité sur le fonctionnement de l'Union européenne, et notamment son article 86, paragraphe 4,</w:t>
      </w:r>
    </w:p>
    <w:p w:rsidR="00814C48" w:rsidRDefault="00D30424">
      <w:pPr>
        <w:jc w:val="both"/>
        <w:rPr>
          <w:rFonts w:ascii="Times New Roman" w:eastAsia="Calibri" w:hAnsi="Times New Roman" w:cs="Times New Roman"/>
          <w:noProof/>
          <w:sz w:val="24"/>
        </w:rPr>
      </w:pPr>
      <w:r>
        <w:rPr>
          <w:rFonts w:ascii="Times New Roman" w:hAnsi="Times New Roman"/>
          <w:noProof/>
          <w:sz w:val="24"/>
        </w:rPr>
        <w:t>vu l'avis de la Commission européenne,</w:t>
      </w:r>
    </w:p>
    <w:p w:rsidR="00814C48" w:rsidRDefault="00D30424">
      <w:pPr>
        <w:jc w:val="both"/>
        <w:rPr>
          <w:rFonts w:ascii="Times New Roman" w:eastAsia="Calibri" w:hAnsi="Times New Roman" w:cs="Times New Roman"/>
          <w:noProof/>
          <w:sz w:val="24"/>
        </w:rPr>
      </w:pPr>
      <w:r>
        <w:rPr>
          <w:rFonts w:ascii="Times New Roman" w:hAnsi="Times New Roman"/>
          <w:noProof/>
          <w:sz w:val="24"/>
        </w:rPr>
        <w:t>vu l'approbation du Parlement européen,</w:t>
      </w:r>
    </w:p>
    <w:p w:rsidR="00814C48" w:rsidRDefault="00D30424">
      <w:pPr>
        <w:jc w:val="both"/>
        <w:rPr>
          <w:rFonts w:ascii="Times New Roman" w:eastAsia="Calibri" w:hAnsi="Times New Roman" w:cs="Times New Roman"/>
          <w:noProof/>
          <w:sz w:val="24"/>
        </w:rPr>
      </w:pPr>
      <w:r>
        <w:rPr>
          <w:rFonts w:ascii="Times New Roman" w:hAnsi="Times New Roman"/>
          <w:noProof/>
          <w:sz w:val="24"/>
        </w:rPr>
        <w:t>considérant ce qui suit:</w:t>
      </w:r>
    </w:p>
    <w:p w:rsidR="00814C48" w:rsidRDefault="00814C48">
      <w:pPr>
        <w:jc w:val="both"/>
        <w:rPr>
          <w:rFonts w:ascii="Times New Roman" w:eastAsia="Calibri" w:hAnsi="Times New Roman" w:cs="Times New Roman"/>
          <w:noProof/>
          <w:sz w:val="24"/>
        </w:rPr>
      </w:pPr>
    </w:p>
    <w:p w:rsidR="00814C48" w:rsidRDefault="00D30424">
      <w:pPr>
        <w:jc w:val="both"/>
        <w:rPr>
          <w:rFonts w:ascii="Times New Roman" w:eastAsia="Calibri" w:hAnsi="Times New Roman" w:cs="Times New Roman"/>
          <w:noProof/>
          <w:sz w:val="24"/>
        </w:rPr>
      </w:pPr>
      <w:r>
        <w:rPr>
          <w:rFonts w:ascii="Times New Roman" w:hAnsi="Times New Roman"/>
          <w:noProof/>
          <w:sz w:val="24"/>
        </w:rPr>
        <w:t>(1)</w:t>
      </w:r>
      <w:r>
        <w:rPr>
          <w:noProof/>
        </w:rPr>
        <w:tab/>
      </w:r>
      <w:r>
        <w:rPr>
          <w:rFonts w:ascii="Times New Roman" w:hAnsi="Times New Roman"/>
          <w:noProof/>
          <w:sz w:val="24"/>
        </w:rPr>
        <w:t xml:space="preserve">L’article 86, paragraphe 4, du traité sur le fonctionnement de l’Union européenne (TFUE) habilite le Conseil européen, statuant à l'unanimité, après approbation du Parlement européen et après consultation de la Commission, à adopter une décision modifiant l’article 86, paragraphes 1 et 2, dudit traité afin d'étendre les attributions du Parquet européen à la lutte contre la criminalité grave ayant une dimension transfrontière. </w:t>
      </w:r>
    </w:p>
    <w:p w:rsidR="00814C48" w:rsidRDefault="00D30424">
      <w:pPr>
        <w:jc w:val="both"/>
        <w:rPr>
          <w:rFonts w:ascii="Times New Roman" w:eastAsia="Calibri" w:hAnsi="Times New Roman" w:cs="Times New Roman"/>
          <w:noProof/>
          <w:sz w:val="24"/>
        </w:rPr>
      </w:pPr>
      <w:r>
        <w:rPr>
          <w:rFonts w:ascii="Times New Roman" w:hAnsi="Times New Roman"/>
          <w:noProof/>
          <w:sz w:val="24"/>
        </w:rPr>
        <w:t xml:space="preserve">  </w:t>
      </w:r>
    </w:p>
    <w:p w:rsidR="00814C48" w:rsidRDefault="00D30424">
      <w:pPr>
        <w:jc w:val="both"/>
        <w:rPr>
          <w:rFonts w:ascii="Times New Roman" w:eastAsia="Calibri" w:hAnsi="Times New Roman" w:cs="Times New Roman"/>
          <w:noProof/>
          <w:sz w:val="24"/>
        </w:rPr>
      </w:pPr>
      <w:r>
        <w:rPr>
          <w:rFonts w:ascii="Times New Roman" w:hAnsi="Times New Roman"/>
          <w:noProof/>
          <w:sz w:val="24"/>
        </w:rPr>
        <w:t>(2)</w:t>
      </w:r>
      <w:r>
        <w:rPr>
          <w:noProof/>
        </w:rPr>
        <w:tab/>
      </w:r>
      <w:r>
        <w:rPr>
          <w:rFonts w:ascii="Times New Roman" w:hAnsi="Times New Roman"/>
          <w:noProof/>
          <w:sz w:val="24"/>
        </w:rPr>
        <w:t>Compte tenu du caractère transfrontière du terrorisme, et conscient de la nécessité d’une réaction globale, à l’échelle de l’Union, face au terrorisme, le Conseil européen estime qu’il est nécessaire de modifier l’article 86, paragraphes 1 et 2, du traité afin d’étendre les attributions du Parquet européen aux infractions terroristes concernant plusieurs États membres,</w:t>
      </w:r>
    </w:p>
    <w:p w:rsidR="00814C48" w:rsidRDefault="00814C48">
      <w:pPr>
        <w:jc w:val="both"/>
        <w:rPr>
          <w:rFonts w:ascii="Times New Roman" w:eastAsia="Calibri" w:hAnsi="Times New Roman" w:cs="Times New Roman"/>
          <w:noProof/>
          <w:sz w:val="24"/>
        </w:rPr>
      </w:pPr>
    </w:p>
    <w:p w:rsidR="00814C48" w:rsidRDefault="00D30424">
      <w:pPr>
        <w:jc w:val="both"/>
        <w:rPr>
          <w:rFonts w:ascii="Times New Roman" w:eastAsia="Calibri" w:hAnsi="Times New Roman" w:cs="Times New Roman"/>
          <w:noProof/>
          <w:sz w:val="24"/>
        </w:rPr>
      </w:pPr>
      <w:r>
        <w:rPr>
          <w:rFonts w:ascii="Times New Roman" w:hAnsi="Times New Roman"/>
          <w:noProof/>
          <w:sz w:val="24"/>
        </w:rPr>
        <w:t>A ADOPTÉ LA PRÉSENTE DÉCISION:</w:t>
      </w:r>
    </w:p>
    <w:p w:rsidR="00814C48" w:rsidRDefault="00D30424">
      <w:pPr>
        <w:jc w:val="both"/>
        <w:rPr>
          <w:rFonts w:ascii="Times New Roman" w:eastAsia="Calibri" w:hAnsi="Times New Roman" w:cs="Times New Roman"/>
          <w:noProof/>
          <w:sz w:val="24"/>
        </w:rPr>
      </w:pPr>
      <w:r>
        <w:rPr>
          <w:rFonts w:ascii="Times New Roman" w:hAnsi="Times New Roman"/>
          <w:noProof/>
          <w:sz w:val="24"/>
        </w:rPr>
        <w:t>Article premier</w:t>
      </w:r>
    </w:p>
    <w:p w:rsidR="00814C48" w:rsidRDefault="00D30424">
      <w:pPr>
        <w:jc w:val="both"/>
        <w:rPr>
          <w:rFonts w:ascii="Times New Roman" w:eastAsia="Calibri" w:hAnsi="Times New Roman" w:cs="Times New Roman"/>
          <w:noProof/>
          <w:sz w:val="24"/>
        </w:rPr>
      </w:pPr>
      <w:r>
        <w:rPr>
          <w:rFonts w:ascii="Times New Roman" w:hAnsi="Times New Roman"/>
          <w:noProof/>
          <w:sz w:val="24"/>
        </w:rPr>
        <w:t>L’article 86 du traité sur le fonctionnement de l’Union européenne (TFUE) est modifié comme suit:</w:t>
      </w:r>
    </w:p>
    <w:p w:rsidR="00814C48" w:rsidRDefault="00D30424">
      <w:pPr>
        <w:jc w:val="both"/>
        <w:rPr>
          <w:rFonts w:ascii="Times New Roman" w:eastAsia="Calibri" w:hAnsi="Times New Roman" w:cs="Times New Roman"/>
          <w:noProof/>
          <w:sz w:val="24"/>
        </w:rPr>
      </w:pPr>
      <w:r>
        <w:rPr>
          <w:rFonts w:ascii="Times New Roman" w:hAnsi="Times New Roman"/>
          <w:noProof/>
          <w:sz w:val="24"/>
        </w:rPr>
        <w:t>1) Au paragraphe 1, le premier alinéa est remplacé par le texte suivant:</w:t>
      </w:r>
    </w:p>
    <w:p w:rsidR="00814C48" w:rsidRDefault="00D30424">
      <w:pPr>
        <w:jc w:val="both"/>
        <w:rPr>
          <w:rFonts w:ascii="Times New Roman" w:eastAsia="Calibri" w:hAnsi="Times New Roman" w:cs="Times New Roman"/>
          <w:noProof/>
          <w:sz w:val="24"/>
        </w:rPr>
      </w:pPr>
      <w:r>
        <w:rPr>
          <w:rFonts w:ascii="Times New Roman" w:hAnsi="Times New Roman"/>
          <w:noProof/>
          <w:sz w:val="24"/>
        </w:rPr>
        <w:t xml:space="preserve">«1. Pour combattre le terrorisme et les infractions portant atteinte aux intérêts financiers de l'Union, le Conseil, statuant par voie de règlements conformément à une procédure législative </w:t>
      </w:r>
      <w:r>
        <w:rPr>
          <w:rFonts w:ascii="Times New Roman" w:hAnsi="Times New Roman"/>
          <w:noProof/>
          <w:sz w:val="24"/>
        </w:rPr>
        <w:lastRenderedPageBreak/>
        <w:t>spéciale, peut instituer un Parquet européen à partir d'Eurojust. Le Conseil statue à l'unanimité, après approbation du Parlement européen.»</w:t>
      </w:r>
    </w:p>
    <w:p w:rsidR="00814C48" w:rsidRDefault="00814C48">
      <w:pPr>
        <w:jc w:val="both"/>
        <w:rPr>
          <w:rFonts w:ascii="Times New Roman" w:eastAsia="Calibri" w:hAnsi="Times New Roman" w:cs="Times New Roman"/>
          <w:noProof/>
          <w:sz w:val="24"/>
        </w:rPr>
      </w:pPr>
    </w:p>
    <w:p w:rsidR="00814C48" w:rsidRDefault="00D30424">
      <w:pPr>
        <w:jc w:val="both"/>
        <w:rPr>
          <w:rFonts w:ascii="Times New Roman" w:eastAsia="Calibri" w:hAnsi="Times New Roman" w:cs="Times New Roman"/>
          <w:noProof/>
          <w:sz w:val="24"/>
        </w:rPr>
      </w:pPr>
      <w:r>
        <w:rPr>
          <w:rFonts w:ascii="Times New Roman" w:hAnsi="Times New Roman"/>
          <w:noProof/>
          <w:sz w:val="24"/>
        </w:rPr>
        <w:t xml:space="preserve">2) </w:t>
      </w:r>
      <w:r>
        <w:rPr>
          <w:noProof/>
        </w:rPr>
        <w:tab/>
      </w:r>
      <w:r>
        <w:rPr>
          <w:rFonts w:ascii="Times New Roman" w:hAnsi="Times New Roman"/>
          <w:noProof/>
          <w:sz w:val="24"/>
        </w:rPr>
        <w:t>Le paragraphe 2 est remplacé par le texte suivant:</w:t>
      </w:r>
    </w:p>
    <w:p w:rsidR="00814C48" w:rsidRDefault="00D30424">
      <w:pPr>
        <w:jc w:val="both"/>
        <w:rPr>
          <w:rFonts w:ascii="Times New Roman" w:eastAsia="Calibri" w:hAnsi="Times New Roman" w:cs="Times New Roman"/>
          <w:noProof/>
          <w:sz w:val="24"/>
        </w:rPr>
      </w:pPr>
      <w:r>
        <w:rPr>
          <w:rFonts w:ascii="Times New Roman" w:hAnsi="Times New Roman"/>
          <w:noProof/>
          <w:sz w:val="24"/>
        </w:rPr>
        <w:t>«2. Le Parquet européen est compétent pour rechercher, poursuivre et renvoyer en jugement, le cas échéant en liaison avec Europol, les auteurs et complices d'infractions terroristes concernant plusieurs États membres et les auteurs et complices d'infractions portant atteinte aux intérêts financiers de l'Union, tels que déterminés par le règlement prévu au paragraphe 1. Il exerce devant les juridictions compétentes des États membres l'action publique relative à ces infractions.»</w:t>
      </w:r>
    </w:p>
    <w:p w:rsidR="00814C48" w:rsidRDefault="00D30424">
      <w:pPr>
        <w:jc w:val="both"/>
        <w:rPr>
          <w:rFonts w:ascii="Times New Roman" w:eastAsia="Calibri" w:hAnsi="Times New Roman" w:cs="Times New Roman"/>
          <w:noProof/>
          <w:sz w:val="24"/>
        </w:rPr>
      </w:pPr>
      <w:r>
        <w:rPr>
          <w:rFonts w:ascii="Times New Roman" w:hAnsi="Times New Roman"/>
          <w:noProof/>
          <w:sz w:val="24"/>
        </w:rPr>
        <w:t>Article 2</w:t>
      </w:r>
    </w:p>
    <w:p w:rsidR="00814C48" w:rsidRDefault="00D30424">
      <w:pPr>
        <w:jc w:val="both"/>
        <w:rPr>
          <w:rFonts w:ascii="Times New Roman" w:eastAsia="Calibri" w:hAnsi="Times New Roman" w:cs="Times New Roman"/>
          <w:noProof/>
          <w:sz w:val="24"/>
        </w:rPr>
      </w:pPr>
      <w:r>
        <w:rPr>
          <w:rFonts w:ascii="Times New Roman" w:hAnsi="Times New Roman"/>
          <w:noProof/>
          <w:sz w:val="24"/>
        </w:rPr>
        <w:t>La présente décision entre en vigueur le vingtième jour suivant celui de sa publication.</w:t>
      </w:r>
    </w:p>
    <w:p w:rsidR="00814C48" w:rsidRDefault="00814C48">
      <w:pPr>
        <w:jc w:val="both"/>
        <w:rPr>
          <w:rFonts w:ascii="Times New Roman" w:eastAsia="Calibri" w:hAnsi="Times New Roman" w:cs="Times New Roman"/>
          <w:noProof/>
          <w:sz w:val="24"/>
        </w:rPr>
      </w:pPr>
    </w:p>
    <w:p w:rsidR="00814C48" w:rsidRDefault="00D30424">
      <w:pPr>
        <w:jc w:val="both"/>
        <w:rPr>
          <w:rFonts w:ascii="Times New Roman" w:eastAsia="Calibri" w:hAnsi="Times New Roman" w:cs="Times New Roman"/>
          <w:noProof/>
          <w:sz w:val="24"/>
        </w:rPr>
      </w:pPr>
      <w:r>
        <w:rPr>
          <w:rFonts w:ascii="Times New Roman" w:hAnsi="Times New Roman"/>
          <w:noProof/>
          <w:sz w:val="24"/>
        </w:rPr>
        <w:t>Fait à Bruxelles, le xx xxxxx 20xx.</w:t>
      </w:r>
    </w:p>
    <w:p w:rsidR="00814C48" w:rsidRDefault="00D30424">
      <w:pPr>
        <w:jc w:val="both"/>
        <w:rPr>
          <w:rFonts w:ascii="Times New Roman" w:eastAsia="Calibri" w:hAnsi="Times New Roman" w:cs="Times New Roman"/>
          <w:noProof/>
          <w:sz w:val="24"/>
        </w:rPr>
      </w:pPr>
      <w:r>
        <w:rPr>
          <w:rFonts w:ascii="Times New Roman" w:hAnsi="Times New Roman"/>
          <w:noProof/>
          <w:sz w:val="24"/>
        </w:rPr>
        <w:t xml:space="preserve">Par le Conseil européen </w:t>
      </w:r>
    </w:p>
    <w:p w:rsidR="00814C48" w:rsidRDefault="00D30424">
      <w:pPr>
        <w:jc w:val="both"/>
        <w:rPr>
          <w:rFonts w:ascii="Times New Roman" w:eastAsia="Calibri" w:hAnsi="Times New Roman" w:cs="Times New Roman"/>
          <w:noProof/>
          <w:sz w:val="24"/>
        </w:rPr>
      </w:pPr>
      <w:r>
        <w:rPr>
          <w:rFonts w:ascii="Times New Roman" w:hAnsi="Times New Roman"/>
          <w:noProof/>
          <w:sz w:val="24"/>
        </w:rPr>
        <w:t xml:space="preserve">Le président </w:t>
      </w:r>
    </w:p>
    <w:p w:rsidR="00814C48" w:rsidRDefault="00814C48">
      <w:pPr>
        <w:rPr>
          <w:rFonts w:ascii="Calibri" w:eastAsia="Calibri" w:hAnsi="Calibri" w:cs="Times New Roman"/>
          <w:noProof/>
        </w:rPr>
      </w:pPr>
    </w:p>
    <w:p w:rsidR="00814C48" w:rsidRDefault="00814C48">
      <w:pPr>
        <w:rPr>
          <w:rFonts w:ascii="Times New Roman" w:hAnsi="Times New Roman" w:cs="Times New Roman"/>
          <w:b/>
          <w:noProof/>
          <w:color w:val="000000" w:themeColor="text1"/>
          <w:sz w:val="24"/>
          <w:szCs w:val="24"/>
        </w:rPr>
      </w:pPr>
    </w:p>
    <w:p w:rsidR="00814C48" w:rsidRDefault="00814C48">
      <w:pPr>
        <w:jc w:val="center"/>
        <w:rPr>
          <w:noProof/>
        </w:rPr>
      </w:pPr>
    </w:p>
    <w:sectPr w:rsidR="00814C48">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741" w:left="1418" w:header="709" w:footer="113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95" w:rsidRDefault="00104095">
      <w:pPr>
        <w:spacing w:after="0" w:line="240" w:lineRule="auto"/>
      </w:pPr>
      <w:r>
        <w:separator/>
      </w:r>
    </w:p>
  </w:endnote>
  <w:endnote w:type="continuationSeparator" w:id="0">
    <w:p w:rsidR="00104095" w:rsidRDefault="0010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FooterCoverPage"/>
      <w:rPr>
        <w:rFonts w:ascii="Arial" w:hAnsi="Arial" w:cs="Arial"/>
        <w:b/>
        <w:sz w:val="48"/>
      </w:rPr>
    </w:pPr>
    <w:r w:rsidRPr="00201C37">
      <w:rPr>
        <w:rFonts w:ascii="Arial" w:hAnsi="Arial" w:cs="Arial"/>
        <w:b/>
        <w:sz w:val="48"/>
      </w:rPr>
      <w:t>FR</w:t>
    </w:r>
    <w:r w:rsidRPr="00201C37">
      <w:rPr>
        <w:rFonts w:ascii="Arial" w:hAnsi="Arial" w:cs="Arial"/>
        <w:b/>
        <w:sz w:val="48"/>
      </w:rPr>
      <w:tab/>
    </w:r>
    <w:r w:rsidRPr="00201C37">
      <w:rPr>
        <w:rFonts w:ascii="Arial" w:hAnsi="Arial" w:cs="Arial"/>
        <w:b/>
        <w:sz w:val="48"/>
      </w:rPr>
      <w:tab/>
    </w:r>
    <w:r w:rsidRPr="00201C37">
      <w:tab/>
    </w:r>
    <w:r w:rsidRPr="00201C37">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48" w:rsidRDefault="00814C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89884"/>
      <w:docPartObj>
        <w:docPartGallery w:val="Page Numbers (Bottom of Page)"/>
        <w:docPartUnique/>
      </w:docPartObj>
    </w:sdtPr>
    <w:sdtEndPr>
      <w:rPr>
        <w:noProof/>
      </w:rPr>
    </w:sdtEndPr>
    <w:sdtContent>
      <w:p w:rsidR="00814C48" w:rsidRDefault="00D30424">
        <w:pPr>
          <w:pStyle w:val="Footer"/>
          <w:jc w:val="center"/>
        </w:pPr>
        <w:r>
          <w:fldChar w:fldCharType="begin"/>
        </w:r>
        <w:r>
          <w:instrText xml:space="preserve"> PAGE   \* MERGEFORMAT </w:instrText>
        </w:r>
        <w:r>
          <w:fldChar w:fldCharType="separate"/>
        </w:r>
        <w:r w:rsidR="00201C37">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48" w:rsidRDefault="0081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95" w:rsidRDefault="00104095">
      <w:pPr>
        <w:spacing w:after="0" w:line="240" w:lineRule="auto"/>
      </w:pPr>
      <w:r>
        <w:separator/>
      </w:r>
    </w:p>
  </w:footnote>
  <w:footnote w:type="continuationSeparator" w:id="0">
    <w:p w:rsidR="00104095" w:rsidRDefault="0010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37" w:rsidRPr="00201C37" w:rsidRDefault="00201C37" w:rsidP="00201C3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48" w:rsidRDefault="00814C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48" w:rsidRDefault="00D30424">
    <w:pPr>
      <w:pStyle w:val="Header"/>
      <w:rPr>
        <w:rFonts w:ascii="Times New Roman" w:hAnsi="Times New Roman" w:cs="Times New Roman"/>
        <w:b/>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48" w:rsidRDefault="00814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 la"/>
    <w:docVar w:name="LW_ANNEX_NBR_FIRST" w:val="1"/>
    <w:docVar w:name="LW_ANNEX_NBR_LAST" w:val="1"/>
    <w:docVar w:name="LW_ANNEX_UNIQUE" w:val="1"/>
    <w:docVar w:name="LW_CORRIGENDUM" w:val="CORRIGENDUM_x000b_This document corrects document COM(2018) 641 final of 12.9.2018._x000b_Concerns the French language version._x000b_Error in the cover page._x000b_The text shall read as follows:"/>
    <w:docVar w:name="LW_COVERPAGE_EXISTS" w:val="True"/>
    <w:docVar w:name="LW_COVERPAGE_GUID" w:val="391C87DE-3E04-4CA3-BB83-1CBD9A8030E5"/>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Une Europe qui protège: une initiative pour étendre les compétences du Parquet européen aux infractions terroristes transfrontières_x000b__x000b__x000b__x000b__x000b__x000b__x000b__x000b__x000b_"/>
    <w:docVar w:name="LW_PART_NBR" w:val="1"/>
    <w:docVar w:name="LW_PART_NBR_TOTAL" w:val="1"/>
    <w:docVar w:name="LW_REF.INST.NEW" w:val="COM"/>
    <w:docVar w:name="LW_REF.INST.NEW_ADOPTED" w:val="final/2"/>
    <w:docVar w:name="LW_REF.INST.NEW_TEXT" w:val="(2018)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_x000b_"/>
    <w:docVar w:name="LW_TYPEACTEPRINCIPAL.CP" w:val="COMMUNICATION DE LA COMMISSION AU PARLEMENT EUROPÉEN ET AU CONSEIL EUROPÉEN"/>
  </w:docVars>
  <w:rsids>
    <w:rsidRoot w:val="00814C48"/>
    <w:rsid w:val="00104095"/>
    <w:rsid w:val="00201C37"/>
    <w:rsid w:val="00502C38"/>
    <w:rsid w:val="0066331E"/>
    <w:rsid w:val="00814C48"/>
    <w:rsid w:val="00D30424"/>
    <w:rsid w:val="00DB6B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B13704-D1D0-4872-96A1-29F23009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2308-9F84-4181-A521-A2475339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382</Words>
  <Characters>2189</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GEDEI Ottilia (ENER)</dc:creator>
  <cp:lastModifiedBy>ANDRIKAKIS Nikolaos (SG)</cp:lastModifiedBy>
  <cp:revision>3</cp:revision>
  <cp:lastPrinted>2018-09-07T13:25:00Z</cp:lastPrinted>
  <dcterms:created xsi:type="dcterms:W3CDTF">2018-12-07T10:36:00Z</dcterms:created>
  <dcterms:modified xsi:type="dcterms:W3CDTF">2018-12-07T10:42:00Z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