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CA618EA4-C65B-490B-9D66-80D43C4860DD" style="width:450.8pt;height:320.8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>RAPPORT INTERIM TAL-KUMMISSJONI LILL-PARLAMENT EWROPEW U LILL-KUNSILL</w:t>
      </w:r>
    </w:p>
    <w:p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dwar l-applikazzjoni tal-Anness XII tar-Regolamenti tal-Persunal</w:t>
      </w:r>
    </w:p>
    <w:p>
      <w:pPr>
        <w:keepNext/>
        <w:numPr>
          <w:ilvl w:val="0"/>
          <w:numId w:val="2"/>
        </w:numPr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32"/>
        </w:rPr>
      </w:pPr>
      <w:bookmarkStart w:id="2" w:name="_Toc187831116"/>
      <w:r>
        <w:rPr>
          <w:rFonts w:ascii="Times New Roman" w:hAnsi="Times New Roman"/>
          <w:b/>
          <w:smallCaps/>
          <w:noProof/>
          <w:sz w:val="24"/>
        </w:rPr>
        <w:t>Bażi ġuridika</w:t>
      </w:r>
      <w:bookmarkEnd w:id="2"/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Skont l-Artikolu 14(2) tal-Anness XII tar-Regolamenti tal-Persunal (RP), fl-2018, il-Kummissjoni għandha tippreżenta rapport interim lill-Parlament Ewropew u lill-Kunsill dwar l-applikazzjoni tal-Anness XII tar-Regolamenti tal-Persunal.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L-għan ta’ dan ir-rapport interim huwa li jagħti ħarsa ġenerali lejn l-implimentazzjoni tar-regoli biex l-Iskema tal-Pensjonijiet għall-Uffiċjali tal-UE (PSEO - Pension Scheme for EU Officials) tibqa’ f’bilanċ fil-perjodu 2014-2018. Dawn ir-regoli huma stabbiliti fl-Artikolu 83a tar-RP u fl-Anness XII tiegħu</w:t>
      </w:r>
      <w:r>
        <w:rPr>
          <w:rFonts w:ascii="Times New Roman" w:hAnsi="Times New Roman"/>
          <w:noProof/>
          <w:sz w:val="24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</w:rPr>
        <w:t>.</w:t>
      </w:r>
    </w:p>
    <w:p>
      <w:pPr>
        <w:keepNext/>
        <w:numPr>
          <w:ilvl w:val="0"/>
          <w:numId w:val="2"/>
        </w:numPr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32"/>
        </w:rPr>
      </w:pPr>
      <w:r>
        <w:rPr>
          <w:rFonts w:ascii="Times New Roman" w:hAnsi="Times New Roman"/>
          <w:b/>
          <w:smallCaps/>
          <w:noProof/>
          <w:sz w:val="24"/>
        </w:rPr>
        <w:t>Karatteristiċi bażiċi tal-PSEO</w:t>
      </w:r>
    </w:p>
    <w:p>
      <w:pPr>
        <w:keepNext/>
        <w:numPr>
          <w:ilvl w:val="1"/>
          <w:numId w:val="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</w:rPr>
      </w:pPr>
      <w:bookmarkStart w:id="3" w:name="_Toc187831118"/>
      <w:r>
        <w:rPr>
          <w:rFonts w:ascii="Times New Roman" w:hAnsi="Times New Roman"/>
          <w:b/>
          <w:noProof/>
        </w:rPr>
        <w:t>Bażi Ġuridika tal-PSEO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Skont l-Artikolu 83 tar-Regolamenti tal-Persunal:</w:t>
      </w:r>
    </w:p>
    <w:p>
      <w:pPr>
        <w:numPr>
          <w:ilvl w:val="1"/>
          <w:numId w:val="4"/>
        </w:numPr>
        <w:tabs>
          <w:tab w:val="clear" w:pos="1417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Il-benefiċċji mħallsa permezz tal-iskema tal-pensjonijiet</w:t>
      </w:r>
      <w:r>
        <w:rPr>
          <w:rFonts w:ascii="Times New Roman" w:hAnsi="Times New Roman"/>
          <w:noProof/>
          <w:sz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</w:rPr>
        <w:t xml:space="preserve"> jiġu ddebitati lill-baġit tal-Unjoni;</w:t>
      </w:r>
    </w:p>
    <w:p>
      <w:pPr>
        <w:numPr>
          <w:ilvl w:val="1"/>
          <w:numId w:val="4"/>
        </w:numPr>
        <w:tabs>
          <w:tab w:val="clear" w:pos="1417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L-Istati Membri għandhom flimkien jiggarantixxu l-pagament tal-benefiċċji; kif ukoll</w:t>
      </w:r>
    </w:p>
    <w:p>
      <w:pPr>
        <w:numPr>
          <w:ilvl w:val="1"/>
          <w:numId w:val="4"/>
        </w:numPr>
        <w:tabs>
          <w:tab w:val="clear" w:pos="1417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L-uffiċjali għandhom jikkontribwixxu terz tal-ispiża biex l-iskema tiġi ffinanzjata.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L-Artikolu 83a jipprevedi li l-bilanċ tal-iskema tal-pensjonijiet għandu jiġi żgurat permezz tal-età tal-irtirar u tar-rata ta’ kontribuzzjoni għall-iskema. Jistipula wkoll il-proċeduri biex ir-rata tal-kontribuzzjoni għall-iskema tal-pensjonijiet tkun aġġornata ta’ kull sena kif ukoll kull ħames snin.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L-Anness XII tar-RP jistabbilixxi r-regoli attwarjali għall-komputazzjoni tar-rata ta’ kontribuzzjoni, sabiex jiġi żgurat li l-iskema tkun f’bilanċ. </w:t>
      </w:r>
    </w:p>
    <w:p>
      <w:pPr>
        <w:keepNext/>
        <w:numPr>
          <w:ilvl w:val="1"/>
          <w:numId w:val="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</w:rPr>
      </w:pPr>
      <w:r>
        <w:rPr>
          <w:rFonts w:ascii="Times New Roman" w:hAnsi="Times New Roman"/>
          <w:b/>
          <w:noProof/>
        </w:rPr>
        <w:t>Il-prinċipju tal-fond nozzjonali (virtwali)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Il-PSEO hija fond nozzjonali (virtwali) b’benefiċċji definiti, fejn il-kontribuzzjonijiet tal-persunal jservu biex jiġu ffinanzjati l-pensjonijiet futuri tagħhom. Għalkemm fir-realtà ma hemm l-ebda fond ta’ investiment, l-ammont li kien ikun inġabar minn dan il-fond jitqies li ġie investit f’bonds fit-tul tal-Istati Membri, u jiġi rifless fl-obbligazzjoni tal-pensjoni li hija rreġistrata fil-kontijiet annwali tal-Unjoni Ewropea. L-Istati Membri flimkien jiggarantixxu l-pagament tal-benefiċċji skont l-Artikolu 83 tar-Regolamenti tal-Persunal u l-Artikolu 4(3) tat-Trattat dwar l-Unjoni Ewropea.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Peress li l-PSEO hija mfassla bħala fond nozzjonali, il-kontribuzzjonijiet tal-persunal jservu biex jiffinanzjaw l-pensjonijiet futuri ta’ dawk li jikkontribwixxu. Il-kontribuzzjonijiet effettivament ikopru l-ispiża tad-drittijiet tal-pensjoni miksuba f’sena partikolari, u bl-ebda mod ma huma marbutin man-nefqa tal-pensjonijiet ta' dik is-sena. Il-ġurisprudenza tal-UE kkonfermat li l-PSEO hija fond nozzjonali, minkejja li kkonkludiet li turi wkoll xi karatteristiċi ta’ skema ta’ solidarjetà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Il-PSEO hija differenti mill-biċċa l-kbira tal-iskemi tal-pensjonijiet tal-Istati Membri għall-uffiċjali pubbliċi, fejn ir-rata tal-kontribuzzjoni jew tal-benefiċċji tkun aġġustata sabiex ta’ kull sena jiġi żgurat bilanċ bejn il-kontribuzzjonijiet miġbura u n-nefqa tal-pensjonijiet. F’dawn it-tip ta’ skemi, jekk ma jkunx possibbli li jintlaħaq bilanċ, id-differenza tkun koperta mill-baġit (it-taxxi).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Il-fond nozzjonali tal-PSEO huwa vvalutat ta’ kull sena kif ukoll kull ħames snin, daqslikieku kien jeżisti fond reali; b’hekk tkompli tiġi ggarantita s-sostenibbiltà fit-tul tiegħu.</w:t>
      </w:r>
    </w:p>
    <w:p>
      <w:pPr>
        <w:keepNext/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</w:rPr>
      </w:pPr>
    </w:p>
    <w:p>
      <w:pPr>
        <w:keepNext/>
        <w:numPr>
          <w:ilvl w:val="1"/>
          <w:numId w:val="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</w:rPr>
      </w:pPr>
      <w:r>
        <w:rPr>
          <w:rFonts w:ascii="Times New Roman" w:hAnsi="Times New Roman"/>
          <w:b/>
          <w:noProof/>
        </w:rPr>
        <w:t>Il-prinċipju ta’ bilanċ attwarjali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Il-bilanċ tal-PSEO b’mod regolari jiġi żgurat billi jiġu aġġoranti r-rati ta’ kontribuzzjoni u, fejn rilevanti, l-età tal-irtirar.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Il-PSEO ssegwi l-prinċipju ta’ bilanċ attwarjali fejn il-kontribuzzjonijiet annwali tal-persunal jridu jkopru terz tad-drittijiet miksuba matul is-sena inkwistjoni</w:t>
      </w:r>
      <w:r>
        <w:rPr>
          <w:rFonts w:ascii="Times New Roman" w:hAnsi="Times New Roman"/>
          <w:noProof/>
          <w:sz w:val="24"/>
          <w:vertAlign w:val="superscript"/>
        </w:rPr>
        <w:footnoteReference w:id="4"/>
      </w:r>
      <w:r>
        <w:rPr>
          <w:rFonts w:ascii="Times New Roman" w:hAnsi="Times New Roman"/>
          <w:noProof/>
          <w:sz w:val="24"/>
        </w:rPr>
        <w:t>, u jkunu jikkorrispondu għall-pensjonijiet futuri li l-istess persunal jkun se jirċievi wara li jirtira, inklużi (b’ċerti kundizzjonijiet) il-gratifiki tal-invalidità u l-pensjonijiet tas-superstiti u tal-orfni. Sabiex din il-komputazzjoni</w:t>
      </w:r>
      <w:r>
        <w:rPr>
          <w:rFonts w:ascii="Times New Roman" w:hAnsi="Times New Roman"/>
          <w:noProof/>
          <w:sz w:val="24"/>
          <w:vertAlign w:val="superscript"/>
        </w:rPr>
        <w:footnoteReference w:id="5"/>
      </w:r>
      <w:r>
        <w:rPr>
          <w:rFonts w:ascii="Times New Roman" w:hAnsi="Times New Roman"/>
          <w:noProof/>
          <w:sz w:val="24"/>
        </w:rPr>
        <w:t xml:space="preserve"> tkun possibbli, il-kontribuzzjonijiet huma evalwati bil-valur attwali billi tintuża rata tal-imgħax (ta’ skont). Għaldaqstant il-komputazzjoni hija valutazzjoni attwarjali. </w:t>
      </w:r>
    </w:p>
    <w:p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Ir-rata ta’ kontribuzzjoni tal-pensjoni hija l-mekkaniżmu li jżomm l-iskema f’bilanċ minn sena għal sena. Tiġi aġġornata awtomatikament jekk il-valutazzjoni attwarjali prevista mill-Artikolu 83a tar-Regolamenti tal-Persunal turi li dan huwa meħtieġ sabiex jiġu koperti d-drittijiet tal-pensjoni kollha miksuba f’sena partikolari. Konsegwentement, meta l-membri tal-persunal jħallsu r-rata ta’ kontribuzzjoni aġġornata, jiksbu d-drittijiet tal-pensjoni għal sena partikolari, li tkun protetta mill-prinċipju tad-drittijiet miksuba.</w:t>
      </w:r>
    </w:p>
    <w:p>
      <w:pPr>
        <w:keepNext/>
        <w:numPr>
          <w:ilvl w:val="0"/>
          <w:numId w:val="2"/>
        </w:numPr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32"/>
        </w:rPr>
      </w:pPr>
      <w:r>
        <w:rPr>
          <w:rFonts w:ascii="Times New Roman" w:hAnsi="Times New Roman"/>
          <w:b/>
          <w:smallCaps/>
          <w:noProof/>
        </w:rPr>
        <w:t>Ir-Riforma tal-2013 tar-RP</w:t>
      </w:r>
      <w:bookmarkEnd w:id="3"/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F’dawn l-aħħar snin, l-amministrazzjoni pubblika Ewropea għaddiet minn żewġ riformi estensivi suċċessivi. Ir-riforma tal-2013 tar-Regolamenti tal-Persunal kienet tinkludi għadd ta’ miżuri li ħallew impatt fuq il-funzjonament tal-PSEO u rriżultaw fi ffrankar sinifikanti: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iż-żieda fl-età tal-irtirar (sa 66 snin), 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it-tnaqqis fir-rata tad-dovuti tal-pensjoni (minn 1,9 % għal 1,8 %), 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l-iffriżar għal sentejn tas-salarji, il-pensjonijiet u l-benefiċċji fl-2013 u 2014, u d-deċiżjoni retroattiva sabiex jitnaqqsu sal-minimu l-aġġustamenti tas-salarji fl-2011 u fl-2012</w:t>
      </w:r>
      <w:r>
        <w:rPr>
          <w:rFonts w:ascii="Times New Roman" w:hAnsi="Times New Roman"/>
          <w:noProof/>
          <w:sz w:val="24"/>
          <w:vertAlign w:val="superscript"/>
        </w:rPr>
        <w:footnoteReference w:id="6"/>
      </w:r>
      <w:r>
        <w:rPr>
          <w:rFonts w:ascii="Times New Roman" w:hAnsi="Times New Roman"/>
          <w:noProof/>
          <w:sz w:val="24"/>
        </w:rPr>
        <w:t xml:space="preserve">. Bħala riżultat tan-nuqqas ta’ applikazzjoni tal-metodu tal-aġġornament tas-salarji, l-evoluzzjoni parallela tal-poter tal-akkwist fil-konfront tal-impjegati taċ-ċivil nazzjonali ma seħħittx matul dawn is-snin, 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Tnaqqas l-avvanz fil-karriera għall-persunal AD u AST, b’aċċess limitat għall-ogħla gradi,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Il-ħolqien ta’ skala ta’ salarju aktar baxxa għal impjiegi klerikali u segretarjali, u dan effettivament inaqqas ir-remunerazzjoni tagħhom b’minn 13 sa 40 %, 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Żieda fil-ħin tax-xogħol għall-persunal kollu b’sagħtejn u nofs fil-ġimgħa, għal 40 siegħa, mingħajr l-ebda kumpens finanzjarju.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Barra minn hekk, ir-riforma tal-2013 tar-Regolamenti tal-Persunal introduċiet għadd ta’ </w:t>
      </w:r>
      <w:bookmarkStart w:id="4" w:name="_Toc187831122"/>
      <w:bookmarkStart w:id="5" w:name="_Toc179711971"/>
      <w:bookmarkStart w:id="6" w:name="_Toc181001367"/>
      <w:bookmarkStart w:id="7" w:name="_Toc179881911"/>
      <w:r>
        <w:rPr>
          <w:rFonts w:ascii="Times New Roman" w:hAnsi="Times New Roman"/>
          <w:noProof/>
          <w:sz w:val="24"/>
        </w:rPr>
        <w:t>miżuri mfassla biex itejbu l-funzjonament tas-sistema: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Skont l-istandards</w:t>
      </w:r>
      <w:r>
        <w:rPr>
          <w:rFonts w:ascii="Times New Roman" w:hAnsi="Times New Roman"/>
          <w:noProof/>
          <w:sz w:val="24"/>
          <w:vertAlign w:val="superscript"/>
        </w:rPr>
        <w:footnoteReference w:id="7"/>
      </w:r>
      <w:r>
        <w:rPr>
          <w:rFonts w:ascii="Times New Roman" w:hAnsi="Times New Roman"/>
          <w:noProof/>
          <w:sz w:val="24"/>
        </w:rPr>
        <w:t xml:space="preserve"> ta’ kontabbiltà rilevanti u l-aħjar prattiki attwarjali, li jirrikjedu perjodu ta’ osservazzjonijiet tal-passat f’konformità mat-terminu stmat tal-obbligi tal-benefiċċji ta’ wara l-impjieg li għandhom jintużaw għar-rati tal-imgħax u għaż-żieda tas-salarji, bil-għan li jinstab bilanċ fl-iskemi tal-pensjonijiet, il-medji mobbli biex jiġu osservati r-rati tal-imgħax tal-PSEO u t-tkabbir tal-pagi ġew estiżi għal 30 sena, b’perjodu tranżitorju ta’ seba’ snin,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Bil-għan li jingħelbu d-diffikultajiet bl-applikazzjoni tal-metodu ta’ aġġustament fil-passat, saru dispożizzjonijiet għal metodu li jippermetti l-aġġornament annwali awtomatiku tar-rata ta’ kontribuzzjoni tal-pensjoni. Għal dan il-għan, ir-rata ta’ kontribuzzjoni tal-pensjoni hija aġġornata regolarment mingħajr l-intervent ta’ att legali. Il-Kummissjoni mbagħad tippubblika r-rata aġġornata fi żmien ġimagħtejn wara l-aġġornament fis-serje C ta' </w:t>
      </w:r>
      <w:r>
        <w:rPr>
          <w:rFonts w:ascii="Times New Roman" w:hAnsi="Times New Roman"/>
          <w:i/>
          <w:noProof/>
          <w:sz w:val="24"/>
        </w:rPr>
        <w:t>Il-Ġurnal Uffiċjali tal-Unjoni Ewropea</w:t>
      </w:r>
      <w:r>
        <w:rPr>
          <w:rFonts w:ascii="Times New Roman" w:hAnsi="Times New Roman"/>
          <w:noProof/>
          <w:sz w:val="24"/>
        </w:rPr>
        <w:t xml:space="preserve"> għall-finijiet informattivi,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Ir-riforma tal-2013 tar-Regolamenti tal-Persunal stabbiliet l-età tal-irtirar bħala t-tieni fattur varjabbli għall-ibbilanċjar tas-sistema, sabiex ikunu kkunsidrati b'mod dovut il-bidliet demografiċi fil-ġejjieni. B’mod partikolari, il-Kummissjoni ngħatat mandat biex twettaq valutazzjoni ta’ kull ħames snin dwar l-età tal-irtirar, filwaqt li jitqiesu l-iżviluppi li jaffettwaw l-istennija tal-għomor tal-impjegati taċ-ċivil tal-Istati Membri u tal-persunal tal-UE</w:t>
      </w:r>
      <w:r>
        <w:rPr>
          <w:rFonts w:ascii="Times New Roman" w:hAnsi="Times New Roman"/>
          <w:noProof/>
          <w:sz w:val="24"/>
          <w:vertAlign w:val="superscript"/>
        </w:rPr>
        <w:footnoteReference w:id="8"/>
      </w:r>
      <w:r>
        <w:rPr>
          <w:rFonts w:ascii="Times New Roman" w:hAnsi="Times New Roman"/>
          <w:noProof/>
          <w:sz w:val="24"/>
        </w:rPr>
        <w:t>. Il-Kummissjoni hija mistennija tippreżenta l-ewwel rapport tagħha lill-Parlament Ewropew u lill-Kunsill fl-2019.</w:t>
      </w:r>
    </w:p>
    <w:p>
      <w:pPr>
        <w:spacing w:before="120" w:after="120" w:line="240" w:lineRule="auto"/>
        <w:ind w:left="1210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</w:p>
    <w:p>
      <w:pPr>
        <w:keepNext/>
        <w:numPr>
          <w:ilvl w:val="0"/>
          <w:numId w:val="2"/>
        </w:numPr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32"/>
        </w:rPr>
      </w:pPr>
      <w:bookmarkStart w:id="8" w:name="_Toc187831127"/>
      <w:bookmarkEnd w:id="4"/>
      <w:bookmarkEnd w:id="5"/>
      <w:bookmarkEnd w:id="6"/>
      <w:bookmarkEnd w:id="7"/>
      <w:r>
        <w:rPr>
          <w:rFonts w:ascii="Times New Roman" w:hAnsi="Times New Roman"/>
          <w:b/>
          <w:smallCaps/>
          <w:noProof/>
          <w:sz w:val="24"/>
        </w:rPr>
        <w:t>L-implimentazzjoni teknika tar-regoli tekniċi sabiex il-PSEO jinżamm f’Bilanċ (2014–2018)</w:t>
      </w:r>
    </w:p>
    <w:p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L-Eurostat huwa l-awtorità responsabbli għall-implimentazzjoni teknika tal-Anness XII tar-Regolamenti tal-Persunal. Huwa assistit minn espert wieħed indipendenti kkwalifikat jew aktar, biex iwettaq il-valutazzjonijiet attwarjali tal-PSEO. Il-mistoqsijiet dwar il-metodoloġija mqajma bl-implementazzjoni tal-Anness huma ttrattati mill-Eurostat bil-koperazzjoni ta’ esperti nazzjonali mill-Istati Membri, li jiltaqgħu fi grupp (il-Grupp ta’ Ħidma tal-Artikolu 83) mill-inqas darba fis-sena. 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keepNext/>
        <w:numPr>
          <w:ilvl w:val="1"/>
          <w:numId w:val="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</w:rPr>
      </w:pPr>
      <w:r>
        <w:rPr>
          <w:rFonts w:ascii="Times New Roman" w:hAnsi="Times New Roman"/>
          <w:b/>
          <w:noProof/>
          <w:sz w:val="24"/>
        </w:rPr>
        <w:t>L-attività tal-Grupp ta’ Ħidma tal-Artikolu 83 fil-perjodu 2014-18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Fil-perjodu 2014-2018, il-grupp ta’ Ħidma tal-Artikolu 83 iltaqa’ kull sena kif mitlub mir-Regolamenti tal-Persunal. Il-grupp iddiskuta u vvalida d-dokumenti dwar il-metodoloġija mfasslin mill-Eurostat.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L-Eurostat jagħmel ukoll skambju ta’ informazzjoni relevanti dwar kwistjonijiet attwarjali ma’ organizzazzjonijiet internazzjonali bħalma huma l-ISRP (Servizz Internazzjonali għar-Remunerazzjonijiet u l-Pensjonijiet tal-Organizzazzjonijiet Koordinati, inklużi l-OECD, in-NATO, l-ESA, il-Kunsill tal-Ewropa, u oħrajn), il-Bank Ċentrali Ewropew, il-Bank Ewropew tal-Investiment, il-Fond Ewropew tal-Investiment, l-Uffiċċju Ewropew tal-Privattivi u l-Eurocontrol.</w:t>
      </w:r>
    </w:p>
    <w:p>
      <w:pPr>
        <w:keepNext/>
        <w:numPr>
          <w:ilvl w:val="1"/>
          <w:numId w:val="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Valutazzjonijiet mill-espert indipendenti kkwalifikat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F’konformità mal-Artikolu 13(2) tal-Anness XII tar-Regolamenti tal-Persunal, l-Eurostat huwa megħjun minn espert indipendenti kkwalifikat għall-implementazzjoni metodoloġika u għad-definizzjoni u l-kalkolu tas-suppożizzjonijiet attwarjali li jikkorrispondu.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Wara l-eżiti ta’ proċedura miftuħa għall-offerti, l-Eurostat kien assistit minn:</w:t>
      </w:r>
    </w:p>
    <w:p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EY Actuaires Conseils għall-valutazzjojnijiet tal-PSEO mill-2014 sal-2016;</w:t>
      </w:r>
    </w:p>
    <w:p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il-konsorzju ta’ Agilis S.A. u Prudential Ltd., għall-valutazzjojnijiet tal-PSEO għall-2017 u l-2018.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Iż-żewġ attwarji rrivedew u vvalidaw il-metodoloġija, il-kalkoli u r-rapporti relatati mal-valutazzjoni tal-PSEO. B’mod partikolari, l-inputs għall-kalkoli, bħalma hija l-popolazzjoni tal-PSEO u suppożizzjonijiet attwarjali, ġew miftiehma ma’ dawk li kienu l-esperti esterni.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Ir-rapporti ta’ valutazzjoni finali mogħtija mill-Eurostat fihom ir-rakkomandazzjoni ta’ dawn l-attwarji.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L-attwarji jwettqu kalkoli paralleli indipendenti tar-rata ta’ kontribuzzjoni tal-pensjoni tal-PSEO u jagħtu opinjoni attwarjali, li tista’ tkun jew “mhux kwalifikata” jew “kwalifikata” (din tal-aħħar isseħħ meta r-riżultati tal-attwarji jkunu differenti mir-riżultati tal-Eurostat b’aktar mil-livell limitu ta’ 3 % ta’ materjalità ttollerata).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Fil-każ tar-rapporti ta’ valutazzjoni tal-PSEO kollha maħruġa bejn l-2014 u l-2018, l-attwarji taw opinjoni “mhux kwalifikata”. </w:t>
      </w:r>
    </w:p>
    <w:p>
      <w:pPr>
        <w:keepNext/>
        <w:numPr>
          <w:ilvl w:val="0"/>
          <w:numId w:val="2"/>
        </w:numPr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32"/>
        </w:rPr>
      </w:pPr>
      <w:bookmarkStart w:id="9" w:name="_Toc182799853"/>
      <w:bookmarkStart w:id="10" w:name="_Toc182920241"/>
      <w:bookmarkStart w:id="11" w:name="_Toc179881920"/>
      <w:bookmarkStart w:id="12" w:name="_Toc187831135"/>
      <w:bookmarkEnd w:id="8"/>
      <w:bookmarkEnd w:id="9"/>
      <w:bookmarkEnd w:id="10"/>
      <w:r>
        <w:rPr>
          <w:rFonts w:ascii="Times New Roman" w:hAnsi="Times New Roman"/>
          <w:b/>
          <w:smallCaps/>
          <w:noProof/>
          <w:sz w:val="24"/>
        </w:rPr>
        <w:t>Parametri u suppożizzjonijiet attwarjali</w:t>
      </w:r>
      <w:bookmarkEnd w:id="11"/>
      <w:bookmarkEnd w:id="12"/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keepNext/>
        <w:numPr>
          <w:ilvl w:val="1"/>
          <w:numId w:val="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4"/>
          <w:szCs w:val="28"/>
        </w:rPr>
      </w:pPr>
      <w:bookmarkStart w:id="13" w:name="_Toc182799858"/>
      <w:bookmarkStart w:id="14" w:name="_Toc182920246"/>
      <w:bookmarkStart w:id="15" w:name="_Toc187831137"/>
      <w:bookmarkStart w:id="16" w:name="_Toc104361866"/>
      <w:bookmarkStart w:id="17" w:name="_Toc104369859"/>
      <w:bookmarkStart w:id="18" w:name="_Toc111969037"/>
      <w:bookmarkStart w:id="19" w:name="_Toc104106001"/>
      <w:bookmarkStart w:id="20" w:name="_Toc104361867"/>
      <w:bookmarkStart w:id="21" w:name="_Toc104369860"/>
      <w:bookmarkStart w:id="22" w:name="_Toc111969038"/>
      <w:bookmarkStart w:id="23" w:name="_Toc139867546"/>
      <w:bookmarkStart w:id="24" w:name="_Toc139874576"/>
      <w:bookmarkStart w:id="25" w:name="_Toc144799696"/>
      <w:bookmarkStart w:id="26" w:name="_Toc104106000"/>
      <w:bookmarkEnd w:id="13"/>
      <w:bookmarkEnd w:id="14"/>
      <w:r>
        <w:rPr>
          <w:rFonts w:ascii="Times New Roman" w:hAnsi="Times New Roman"/>
          <w:b/>
          <w:noProof/>
          <w:sz w:val="24"/>
        </w:rPr>
        <w:t>Parametri statutorji</w:t>
      </w:r>
      <w:bookmarkEnd w:id="15"/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Dawn huma valuri prinċipalment marbutin mal-applikazzjoni tar-Regolamenti tal-Persunal, inklużi r-regoli dwar il-kalkolu tal-benefiċċji tal-pensjoni.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Xi wħud minn dawn il-parametri jinbidlu skont ċerti kundizzjonijiet relatati mas-sitwazzjoni individwali ta’ kull uffiċjal</w:t>
      </w:r>
      <w:r>
        <w:rPr>
          <w:rFonts w:ascii="Times New Roman" w:hAnsi="Times New Roman"/>
          <w:noProof/>
          <w:sz w:val="24"/>
          <w:vertAlign w:val="superscript"/>
        </w:rPr>
        <w:footnoteReference w:id="9"/>
      </w:r>
      <w:r>
        <w:rPr>
          <w:rFonts w:ascii="Times New Roman" w:hAnsi="Times New Roman"/>
          <w:noProof/>
          <w:sz w:val="24"/>
        </w:rPr>
        <w:t>, pereż.: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Ir-rata tad-dovuti annwali hija ta’ 1,8 % għall-persunal impjegat mill-1 ta’ Jannar 2014, ta’ 1,9 % għal persunal impjegat bejn l-1 ta’ Mejju 2004 u l-31 ta’ Diċembru 2013 u ta’ 2 % għal dawk impjegati sat-30 ta’ April 2004,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L-età tal-irtirar “normali”, meta l-persunal jista’ jirtira mingħajr tnaqqis fil-benefiċċji tal-pensjoni, tvarja minn 60 sa 66 sena,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Hija prevista remunerazzjoni għall-membri tal-persunal li jibqgħu fis-servizz wara li jilħqu l-età tal-irtirar (l-inċentiv ta’ Barċellona), filwaqt li japplikaw penali fil-każ ta’ rtirar kmieni, qabel ma tintlaħaq l-età tal-irtirar.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It-tabella 1 tipprovdi l-lista tal-parametri statutorji prinċipali użati għall-aħħar valutazzjoni tal-pensjonijiet fl-2018.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Tabella 1 - Parametri statutorji prinċipali użati fil-valutazzjoni attwarjali fl-2018</w:t>
      </w: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3442"/>
        <w:gridCol w:w="584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>
            <w:pPr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Parametru</w:t>
            </w:r>
          </w:p>
        </w:tc>
        <w:tc>
          <w:tcPr>
            <w:tcW w:w="0" w:type="auto"/>
            <w:noWrap/>
            <w:vAlign w:val="center"/>
            <w:hideMark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Valur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Sors legali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Ir-Regolamenti tal-Persunal fis-seħħ mill-01.01.2014</w:t>
            </w:r>
          </w:p>
        </w:tc>
      </w:tr>
      <w:tr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Data ta’ referenza għall-popolazzjoni (l-Anness XII, l-Artikolu 1)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noProof/>
              </w:rPr>
            </w:pPr>
            <w:r>
              <w:rPr>
                <w:rFonts w:ascii="Verdana" w:hAnsi="Verdana"/>
                <w:noProof/>
              </w:rPr>
              <w:t>31.12.2017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L-età massima uffiċjali tal-irtirar (l-Artikolu 52 tar-Regolamenti tal-Persunal)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65 sena (awtomatikament - uffiċjali fis-servizz qabel l-01.01.2014), 66 sena (awtomatikament għall-uffiċjali ġodda) jew 67 sena (fuq talba tal-persunal) jew sa 70 sena (b’mod eċċezzjonali)</w:t>
            </w:r>
          </w:p>
        </w:tc>
      </w:tr>
      <w:tr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Età tal-irtirar normali (Ir-Regolamenti tal-Persunal</w:t>
            </w:r>
            <w:r>
              <w:rPr>
                <w:rFonts w:ascii="Verdana" w:eastAsia="Times New Roman" w:hAnsi="Verdana" w:cs="Arial"/>
                <w:b w:val="0"/>
                <w:noProof/>
              </w:rPr>
              <w:br/>
            </w:r>
            <w:r>
              <w:rPr>
                <w:rFonts w:ascii="Verdana" w:hAnsi="Verdana"/>
                <w:b w:val="0"/>
                <w:noProof/>
              </w:rPr>
              <w:t>l-Artikolu 52 u l-Artikolu 22 tal-Anness XIII)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minn 60 sa 66 sena skont is-snin ta’ servizz, l-età u data tad-dħul fis-servizz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Età minima tal-irtirar (ir-Regolamenti tal-Persunal</w:t>
            </w:r>
            <w:r>
              <w:rPr>
                <w:rFonts w:ascii="Verdana" w:eastAsia="Times New Roman" w:hAnsi="Verdana" w:cs="Arial"/>
                <w:b w:val="0"/>
                <w:noProof/>
              </w:rPr>
              <w:br/>
            </w:r>
            <w:r>
              <w:rPr>
                <w:rFonts w:ascii="Verdana" w:hAnsi="Verdana"/>
                <w:b w:val="0"/>
                <w:noProof/>
              </w:rPr>
              <w:t>l-Artikolu 52(b), l-Artikolu 9 tal-Anness VIII, u l-Artikolu 23</w:t>
            </w:r>
            <w:r>
              <w:rPr>
                <w:rFonts w:ascii="Verdana" w:eastAsia="Times New Roman" w:hAnsi="Verdana" w:cs="Arial"/>
                <w:b w:val="0"/>
                <w:noProof/>
              </w:rPr>
              <w:br/>
            </w:r>
            <w:r>
              <w:rPr>
                <w:rFonts w:ascii="Verdana" w:hAnsi="Verdana"/>
                <w:b w:val="0"/>
                <w:noProof/>
              </w:rPr>
              <w:t>tal-Anness XIII)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58 sena</w:t>
            </w:r>
          </w:p>
        </w:tc>
      </w:tr>
      <w:tr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Kategorija u grad għaċ-ċifra minima ta’ sussistenza (l-Artikolu 6 tal-Anness VIII)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l-ewwel skala tal-grad 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Pensjoni massima tal-irtirar (l-Artikolu 77 tar-Regolamenti tal-Persunal)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70 % tas-salarju bażiku fid-data tal-irtirar</w:t>
            </w:r>
          </w:p>
        </w:tc>
      </w:tr>
      <w:tr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Ir-rata tad-dovuti annwali (l-Artikolu 77 tar-Regolamenti tal-Persunal u l-Artikolu 21 tal-Anness XIII)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1,8 % (l-uffiċjali fis-servizz mill-01.01.2014), 1,9 % (l-uffiċjali fis-servizz mill-1.05.2004), jew 2 % (l-uffiċjali fis-servizz qabel l-01.05.2004), tas-SB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Bonus għal uffiċjali fis-servizz wara l-età tal-irtirar normali (l-Artikolu 5 tal-Anness VIII u l-Artikolu 2 tal-Anness XIII)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1,5 % (l-uffiċjali l-ġodda) jew 2,5 % tas-SB, jew 5 % tal-ammont tad-drittijiet għall-pensjoni akkwistati fl-età ta’ 60 sena, skont id-data tad-dħul fis-servizz, is-snin ta’ servizz fl-01.05.2004 u l-età tal-uffiċjal nhar l-01.05.2004</w:t>
            </w:r>
          </w:p>
        </w:tc>
      </w:tr>
      <w:tr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Pensjoni minima tal-irtirar (l-Artikolu 77 tar-Regolamenti tal-Persunal)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4 % taċ-ċifra minima ta’ sussistenza għal kull sena ta’ servizz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Il-gratifika tal-invalidità (l-Artikolu 78 tar-Regolamenti tal-Persunal)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70 % tas-salarju bażiku</w:t>
            </w:r>
          </w:p>
        </w:tc>
      </w:tr>
      <w:tr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Il-gratifika minima tal-invalidità (l-Artikolu 78 tar-Regolamenti tal-Persunal)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100 % taċ-ċifra minima ta’ sussistenza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Pensjoni tar-riverżjoni (l-Artikolu 79 tar-Regolamenti tal-Persunal u l-Artikolu 18 tal-Anness VIII)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60 % tal-pensjoni tal-irtirar</w:t>
            </w:r>
          </w:p>
        </w:tc>
      </w:tr>
      <w:tr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Pensjoni minima tar-riverżjoni (l-Artikolu 79 tar-Regolamenti tal-Persunal u l-Artikolu 18 tal-Anness VIII)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35 % tal-aħħar salarju bażiku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Pensjoni tas-superstiti (l-Artikolu 79 tar-Regolamenti tal-Persunal u l-Artikolu 17 tal-Anness VIII)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60 % tal-pensjoni tal-irtirar li kienet tkun pagabbli lil uffiċjal</w:t>
            </w:r>
          </w:p>
        </w:tc>
      </w:tr>
      <w:tr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ind w:firstLineChars="100" w:firstLine="220"/>
              <w:jc w:val="center"/>
              <w:rPr>
                <w:rFonts w:ascii="Verdana" w:eastAsia="Times New Roman" w:hAnsi="Verdana" w:cs="Arial"/>
                <w:b w:val="0"/>
                <w:noProof/>
              </w:rPr>
            </w:pPr>
            <w:r>
              <w:rPr>
                <w:rFonts w:ascii="Verdana" w:hAnsi="Verdana"/>
                <w:b w:val="0"/>
                <w:noProof/>
              </w:rPr>
              <w:t>Pensjoni minima tas-superstiti (l-Artikolu 79 tar-Regolamenti tal-Persunal)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35 % tal-aħħar salarju bażiku jew iċ-ċifra minima ta’ sussistenza</w:t>
            </w:r>
          </w:p>
        </w:tc>
      </w:tr>
    </w:tbl>
    <w:p>
      <w:pPr>
        <w:spacing w:before="120" w:after="120" w:line="240" w:lineRule="auto"/>
        <w:ind w:left="85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keepNext/>
        <w:numPr>
          <w:ilvl w:val="1"/>
          <w:numId w:val="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4"/>
          <w:szCs w:val="28"/>
        </w:rPr>
      </w:pPr>
      <w:bookmarkStart w:id="27" w:name="_Toc187831138"/>
      <w:r>
        <w:rPr>
          <w:rFonts w:ascii="Times New Roman" w:hAnsi="Times New Roman"/>
          <w:b/>
          <w:noProof/>
          <w:sz w:val="24"/>
        </w:rPr>
        <w:t>Suppożizzjonijiet attwarjal</w:t>
      </w:r>
      <w:bookmarkEnd w:id="27"/>
      <w:r>
        <w:rPr>
          <w:rFonts w:ascii="Times New Roman" w:hAnsi="Times New Roman"/>
          <w:b/>
          <w:noProof/>
          <w:sz w:val="24"/>
        </w:rPr>
        <w:t>i</w:t>
      </w:r>
    </w:p>
    <w:p>
      <w:pPr>
        <w:keepNext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</w:rPr>
        <w:t>Dawn huma valuri li jridu jiġu previsti skont id-dispożizzjonijiet tar-Regolamenti tal-Persunal u l-aħjar prattiki attwarjali komunement aċċettati.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Il-valuri ta’ dawn is-suppożizzjonijiet attwarjali ġew stmati skont il-prattiki attwarjali ġenerali u bi qbil mal-esperti nazzjonali mid-dipartimenti relevanti tal-Istati Membri waqt laqgħat tal-Grupp ta’ Ħidma tal-Artikolu 83.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Skont id-dispożizzjonijiet tal-Anness XII tar-Regolamenti tal-Persunal u d-deċiżjonijiet meħuda mill-Grupp ta’ Ħidma, uħud minn dawn is-suppożizzjonijiet (pereż. it-tabella ta’ mortalità) jiġu aġġornati biss fl-okkażjoni tal-valutazzjoni tal-iskema li ssir kull ħames snin, filwaqt li oħrajn jiġu aġġornati ta’ kull sena. L-aħħar valutazzjoni ta’ kull ħames snin saret fl-2018.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keepNext/>
        <w:numPr>
          <w:ilvl w:val="1"/>
          <w:numId w:val="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4"/>
          <w:szCs w:val="28"/>
        </w:rPr>
      </w:pPr>
      <w:r>
        <w:rPr>
          <w:rFonts w:ascii="Times New Roman" w:hAnsi="Times New Roman"/>
          <w:b/>
          <w:noProof/>
          <w:sz w:val="24"/>
        </w:rPr>
        <w:t>Suppożizzjonijiet demografiċi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8" w:name="_Toc179881923"/>
      <w:bookmarkStart w:id="29" w:name="_Toc187831139"/>
      <w:r>
        <w:rPr>
          <w:rFonts w:ascii="Times New Roman" w:hAnsi="Times New Roman"/>
          <w:noProof/>
          <w:sz w:val="24"/>
        </w:rPr>
        <w:t>Suppożizzjonijiet attwarjali demografiċi ewlenin huma kif ġej: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It-tabelli ta’ mortalità: It-tabella tal-Ħajja tal-UE għall-2018 (EULT - EU Life Table), żviluppata mill-Eurostat, hija tabella prospettiva li tinkorpora xejra ta’ stennija tal-għomor fuq perjodu ta’ 20 sena (l-istess medda ta’ żmien bħat-tul ta’ żmien tal-PSEO) abbażi tal-evoluzzjoni tal-mortalità tal-popolazzjoni tal-PSEO. L-EULT tal-2018 hija għaldaqstant tabella tal-ħajja mibnija fuq popolazzjoni li hija għal kollox rilevanti għall-PSEO.</w:t>
      </w:r>
    </w:p>
    <w:p>
      <w:pPr>
        <w:spacing w:before="120" w:after="120" w:line="240" w:lineRule="auto"/>
        <w:ind w:left="1210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</w:p>
    <w:p>
      <w:pPr>
        <w:spacing w:before="120" w:after="120" w:line="240" w:lineRule="auto"/>
        <w:ind w:left="1210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It-tabella 2 hija misluta mill-EULT.</w:t>
      </w:r>
    </w:p>
    <w:p>
      <w:pPr>
        <w:spacing w:before="120" w:after="120" w:line="240" w:lineRule="auto"/>
        <w:ind w:left="85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4371975" cy="2592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59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 w:after="120" w:line="240" w:lineRule="auto"/>
        <w:ind w:left="157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It-tabelli dwar l-invalidità, żviluppati mill-Eurostat, huma abbażi ta’ osservazzjonijiet tal-passat,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L-età preżunta tal-irtirar; skont l-Artikolu 4(3) tal-Anness XII tar-Regolamenti tal-Persunal, huwa preżunt li l-irtirar se jseħħ b’rata medja fissa li tvarja abbażi tad-data tad-dħul fis-servizz ta’ kull membru tal-persunal,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Il-probabbiltà li persuna tkun miżżewġa fid-data tal-irtirar, 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Il-koeffiċjenti għal orfni u konjuġi divorzjati, eċċ.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It-Tabella 3 tipprovdi l-lista tas-suppożizzjonijiet demografiċi użati għall-aħħar valutazzjoni tal-pensjonijiet fl-2018.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Tabella 3 - Suppożizzjonijiet demografiċi użati għall-valutazzjoni attwarjali fl-2018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LightList1"/>
        <w:tblW w:w="0" w:type="auto"/>
        <w:jc w:val="center"/>
        <w:tblLook w:val="0620" w:firstRow="1" w:lastRow="0" w:firstColumn="0" w:lastColumn="0" w:noHBand="1" w:noVBand="1"/>
      </w:tblPr>
      <w:tblGrid>
        <w:gridCol w:w="5900"/>
        <w:gridCol w:w="338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FFFFFF"/>
                <w:kern w:val="24"/>
              </w:rPr>
              <w:t>Suppożizzjonijiet demografiċi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FFFFFF"/>
                <w:kern w:val="24"/>
              </w:rPr>
              <w:t>31/12/2017</w:t>
            </w:r>
          </w:p>
        </w:tc>
      </w:tr>
      <w:tr>
        <w:trPr>
          <w:trHeight w:val="443"/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Tabella tal-ħajja (membri b’saħħithom)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2018 EULT</w:t>
            </w:r>
          </w:p>
        </w:tc>
      </w:tr>
      <w:tr>
        <w:trPr>
          <w:trHeight w:val="443"/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Tabella tal-ħajja (membri b’diżabilità)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2018 EULT+3 snin</w:t>
            </w:r>
          </w:p>
        </w:tc>
      </w:tr>
      <w:tr>
        <w:trPr>
          <w:trHeight w:val="443"/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Tabella tal-Invalidità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Tabella tal-Invalidità għall-2018</w:t>
            </w:r>
          </w:p>
        </w:tc>
      </w:tr>
      <w:tr>
        <w:trPr>
          <w:trHeight w:val="443"/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Stat Ċivili Attwali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Stat ċivili attwali</w:t>
            </w:r>
          </w:p>
        </w:tc>
      </w:tr>
      <w:tr>
        <w:trPr>
          <w:trHeight w:val="661"/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 xml:space="preserve">Il-probabbiltà li persuna tkun miżżewġa fid-data tal-irtirar, </w:t>
            </w:r>
            <w:r>
              <w:rPr>
                <w:rFonts w:ascii="Verdana" w:eastAsia="Times New Roman" w:hAnsi="Verdana" w:cs="Arial"/>
                <w:noProof/>
                <w:color w:val="000000"/>
                <w:kern w:val="24"/>
              </w:rPr>
              <w:br/>
            </w:r>
            <w:r>
              <w:rPr>
                <w:rFonts w:ascii="Verdana" w:hAnsi="Verdana"/>
                <w:noProof/>
                <w:color w:val="000000"/>
                <w:kern w:val="24"/>
              </w:rPr>
              <w:t>għall-irġiel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82 %</w:t>
            </w:r>
          </w:p>
        </w:tc>
      </w:tr>
      <w:tr>
        <w:trPr>
          <w:trHeight w:val="661"/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 xml:space="preserve">Il-probabbiltà li persuna tkun miżżewġa fid-data tal-irtirar, </w:t>
            </w:r>
            <w:r>
              <w:rPr>
                <w:rFonts w:ascii="Verdana" w:eastAsia="Times New Roman" w:hAnsi="Verdana" w:cs="Arial"/>
                <w:noProof/>
                <w:color w:val="000000"/>
                <w:kern w:val="24"/>
              </w:rPr>
              <w:br/>
            </w:r>
            <w:r>
              <w:rPr>
                <w:rFonts w:ascii="Verdana" w:hAnsi="Verdana"/>
                <w:noProof/>
                <w:color w:val="000000"/>
                <w:kern w:val="24"/>
              </w:rPr>
              <w:t>għan-nisa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52 %</w:t>
            </w:r>
          </w:p>
        </w:tc>
      </w:tr>
      <w:tr>
        <w:trPr>
          <w:trHeight w:val="661"/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Differenza medja fl-età bejn uffiċjal</w:t>
            </w:r>
            <w:r>
              <w:rPr>
                <w:rFonts w:ascii="Verdana" w:eastAsia="Times New Roman" w:hAnsi="Verdana" w:cs="Arial"/>
                <w:noProof/>
                <w:color w:val="000000"/>
                <w:kern w:val="24"/>
              </w:rPr>
              <w:br/>
            </w:r>
            <w:r>
              <w:rPr>
                <w:rFonts w:ascii="Verdana" w:hAnsi="Verdana"/>
                <w:noProof/>
                <w:color w:val="000000"/>
                <w:kern w:val="24"/>
              </w:rPr>
              <w:t>u s-sieħeb / s-sieħba tiegħu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Sena (1)</w:t>
            </w:r>
          </w:p>
        </w:tc>
      </w:tr>
      <w:tr>
        <w:trPr>
          <w:trHeight w:val="600"/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Età preżunta tal-irtirar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minn 63 sena sa 66 sena</w:t>
            </w:r>
          </w:p>
        </w:tc>
      </w:tr>
      <w:tr>
        <w:trPr>
          <w:trHeight w:val="443"/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Fatturat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Fatturat għall-2018</w:t>
            </w:r>
          </w:p>
        </w:tc>
      </w:tr>
    </w:tbl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8"/>
    <w:bookmarkEnd w:id="29"/>
    <w:p>
      <w:pPr>
        <w:keepNext/>
        <w:numPr>
          <w:ilvl w:val="1"/>
          <w:numId w:val="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8"/>
        </w:rPr>
      </w:pPr>
      <w:r>
        <w:rPr>
          <w:rFonts w:ascii="Times New Roman" w:hAnsi="Times New Roman"/>
          <w:b/>
          <w:noProof/>
          <w:sz w:val="24"/>
        </w:rPr>
        <w:t>Suppożizzjonijiet finanzjarji u ekonomiċi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30" w:name="_Toc139867547"/>
      <w:bookmarkStart w:id="31" w:name="_Toc139874577"/>
      <w:bookmarkStart w:id="32" w:name="_Toc144799697"/>
      <w:bookmarkStart w:id="33" w:name="_Toc179881924"/>
      <w:bookmarkStart w:id="34" w:name="_Toc187831140"/>
      <w:bookmarkEnd w:id="26"/>
      <w:r>
        <w:rPr>
          <w:rFonts w:ascii="Times New Roman" w:hAnsi="Times New Roman"/>
          <w:noProof/>
          <w:sz w:val="24"/>
        </w:rPr>
        <w:t xml:space="preserve">Skont l-Artikoli 10 u 11 tal-Anness XII tar-RP, ir-Rata ta’ Skont Reali (RDR - (Real Discount Rate) - ir-rati tal-imgħax tad-dejn pubbliku fuq terminu twil tal-Istati Membri) u t-Tkabbir Ġenerali fis-Salarju (GSG - (General Salary Growth) - ir-rata ta’ bidla annwali fl-iskali tas-salarji) huma kkalkulati bħala l-medja mobbli tar-rati korrespondenti fuq it-30 sena preċedenti. Madankollu, sal-2020, skont l-Artikolu 11a tal-Anness XII, il-medja mobbli għandha tiġi kkalkulata abbażi ta’ skala speċifika ta’ żmien.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Fl-2018, l-RDR u l-GSG ġew ikkalkulati bħala l-medja tar-rati relevanti għall-24 sena preċedenti, mill-1994 sal-2017: bħala riżultat, fl-aġġornament tal-2018 il-valuri tal-RDR u tal-GSG kienu rispettivament 2,9 % u - 0,1 %.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Suppożizzjoni ekonomika importanti oħra hija t-tabella tal-ISP (l-avvanz individwali tas-salarji (individual salary progression)) li tirreferi għaż-żieda fis-salarji li tirrifletti l-avvanz fil-karriera tal-uffiċjali tal-UE (jiġifieri l-promozzjonijiet u l-iskali ta’ senjorità). Bid-dħul fis-seħħ fl-1 ta’ Jannar 2014 tar-Regolamenti tal-Persunal il-ġodda, l-avvanz fil-karriera tal-uffiċjali tal-UE evolva, u r-rabta bejn il-grad u l-funzjoni ssaħħet; l-aċċess għall-ogħla gradi fil-gruppi ta’ funzjonijiet AD u AST issa huwa limitat b’ċerti kundizzjonijiet. Barra minn hekk, tnieda l-grupp ta’ funzjonijiet AST/SC.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It-tabella 4 tipprovdi l-lista tas-suppożizzjonijiet ekonomiċi u finanzjarji użati għall-aħħar valutazzjoni tal-pensjonijiet fl-2018.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Tabella 4 - Suppożizzjonijiet ekonomiċi u finanzjarji użati għall-valutazzjoni attwarjali fl-2018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LightList1"/>
        <w:tblW w:w="0" w:type="auto"/>
        <w:jc w:val="center"/>
        <w:tblLook w:val="0620" w:firstRow="1" w:lastRow="0" w:firstColumn="0" w:lastColumn="0" w:noHBand="1" w:noVBand="1"/>
      </w:tblPr>
      <w:tblGrid>
        <w:gridCol w:w="6588"/>
        <w:gridCol w:w="27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tcW w:w="6588" w:type="dxa"/>
            <w:vAlign w:val="center"/>
            <w:hideMark/>
          </w:tcPr>
          <w:p>
            <w:pPr>
              <w:spacing w:line="315" w:lineRule="atLeast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FFFFFF"/>
                <w:kern w:val="24"/>
              </w:rPr>
              <w:t>Suppożizzjonijiet Finanzjarji</w:t>
            </w:r>
          </w:p>
        </w:tc>
        <w:tc>
          <w:tcPr>
            <w:tcW w:w="2701" w:type="dxa"/>
            <w:vAlign w:val="center"/>
            <w:hideMark/>
          </w:tcPr>
          <w:p>
            <w:pPr>
              <w:spacing w:line="315" w:lineRule="atLeast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FFFFFF"/>
                <w:kern w:val="24"/>
              </w:rPr>
              <w:t>31/12/2017</w:t>
            </w:r>
          </w:p>
        </w:tc>
      </w:tr>
      <w:tr>
        <w:trPr>
          <w:trHeight w:val="300"/>
          <w:jc w:val="center"/>
        </w:trPr>
        <w:tc>
          <w:tcPr>
            <w:tcW w:w="6588" w:type="dxa"/>
            <w:vAlign w:val="center"/>
            <w:hideMark/>
          </w:tcPr>
          <w:p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Tabella tas-salarji</w:t>
            </w:r>
          </w:p>
        </w:tc>
        <w:tc>
          <w:tcPr>
            <w:tcW w:w="2701" w:type="dxa"/>
            <w:vAlign w:val="center"/>
            <w:hideMark/>
          </w:tcPr>
          <w:p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Fis-seħħ mill-01.07.2017</w:t>
            </w:r>
          </w:p>
        </w:tc>
      </w:tr>
      <w:tr>
        <w:trPr>
          <w:trHeight w:val="300"/>
          <w:jc w:val="center"/>
        </w:trPr>
        <w:tc>
          <w:tcPr>
            <w:tcW w:w="6588" w:type="dxa"/>
            <w:vAlign w:val="center"/>
            <w:hideMark/>
          </w:tcPr>
          <w:p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Tul ta' żmien</w:t>
            </w:r>
          </w:p>
        </w:tc>
        <w:tc>
          <w:tcPr>
            <w:tcW w:w="2701" w:type="dxa"/>
            <w:vAlign w:val="center"/>
            <w:hideMark/>
          </w:tcPr>
          <w:p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20 sena</w:t>
            </w:r>
          </w:p>
        </w:tc>
      </w:tr>
      <w:tr>
        <w:trPr>
          <w:trHeight w:val="300"/>
          <w:jc w:val="center"/>
        </w:trPr>
        <w:tc>
          <w:tcPr>
            <w:tcW w:w="6588" w:type="dxa"/>
            <w:vAlign w:val="center"/>
            <w:hideMark/>
          </w:tcPr>
          <w:p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Rata ta’ Skont Nominali (NDR - Nominal Discount Rate)</w:t>
            </w:r>
          </w:p>
        </w:tc>
        <w:tc>
          <w:tcPr>
            <w:tcW w:w="2701" w:type="dxa"/>
            <w:vAlign w:val="center"/>
            <w:hideMark/>
          </w:tcPr>
          <w:p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4,8 %</w:t>
            </w:r>
          </w:p>
        </w:tc>
      </w:tr>
      <w:tr>
        <w:trPr>
          <w:trHeight w:val="300"/>
          <w:jc w:val="center"/>
        </w:trPr>
        <w:tc>
          <w:tcPr>
            <w:tcW w:w="6588" w:type="dxa"/>
            <w:vAlign w:val="center"/>
            <w:hideMark/>
          </w:tcPr>
          <w:p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Rata tal-inflazzjoni (IR - Inflation Rate)</w:t>
            </w:r>
          </w:p>
        </w:tc>
        <w:tc>
          <w:tcPr>
            <w:tcW w:w="2701" w:type="dxa"/>
            <w:vAlign w:val="center"/>
            <w:hideMark/>
          </w:tcPr>
          <w:p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1,8 %</w:t>
            </w:r>
          </w:p>
        </w:tc>
      </w:tr>
      <w:tr>
        <w:trPr>
          <w:trHeight w:val="300"/>
          <w:jc w:val="center"/>
        </w:trPr>
        <w:tc>
          <w:tcPr>
            <w:tcW w:w="6588" w:type="dxa"/>
            <w:vAlign w:val="center"/>
            <w:hideMark/>
          </w:tcPr>
          <w:p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Rata ta’ Skont Reali (RDR - Real Discount Rate)</w:t>
            </w:r>
          </w:p>
        </w:tc>
        <w:tc>
          <w:tcPr>
            <w:tcW w:w="2701" w:type="dxa"/>
            <w:vAlign w:val="center"/>
            <w:hideMark/>
          </w:tcPr>
          <w:p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2,9 %</w:t>
            </w:r>
          </w:p>
        </w:tc>
      </w:tr>
      <w:tr>
        <w:trPr>
          <w:trHeight w:val="300"/>
          <w:jc w:val="center"/>
        </w:trPr>
        <w:tc>
          <w:tcPr>
            <w:tcW w:w="6588" w:type="dxa"/>
            <w:vAlign w:val="center"/>
            <w:hideMark/>
          </w:tcPr>
          <w:p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Tkabbir Ġenerali fis-Salarju (GSG)</w:t>
            </w:r>
          </w:p>
        </w:tc>
        <w:tc>
          <w:tcPr>
            <w:tcW w:w="2701" w:type="dxa"/>
            <w:vAlign w:val="center"/>
            <w:hideMark/>
          </w:tcPr>
          <w:p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-0,1 %</w:t>
            </w:r>
          </w:p>
        </w:tc>
      </w:tr>
      <w:tr>
        <w:trPr>
          <w:trHeight w:val="600"/>
          <w:jc w:val="center"/>
        </w:trPr>
        <w:tc>
          <w:tcPr>
            <w:tcW w:w="6588" w:type="dxa"/>
            <w:vAlign w:val="center"/>
            <w:hideMark/>
          </w:tcPr>
          <w:p>
            <w:pPr>
              <w:tabs>
                <w:tab w:val="left" w:pos="420"/>
              </w:tabs>
              <w:ind w:left="418" w:hanging="418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Rivalutazzjoni Ġenerali tal-Pensjonijiet (GPR - General Pension Revaluation) (ekwivalenti għall-GSG)</w:t>
            </w:r>
          </w:p>
        </w:tc>
        <w:tc>
          <w:tcPr>
            <w:tcW w:w="2701" w:type="dxa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-0,1 %</w:t>
            </w:r>
          </w:p>
        </w:tc>
      </w:tr>
      <w:tr>
        <w:trPr>
          <w:trHeight w:val="600"/>
          <w:jc w:val="center"/>
        </w:trPr>
        <w:tc>
          <w:tcPr>
            <w:tcW w:w="6588" w:type="dxa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Avvanz Individwali tas-Salarji (ISP)</w:t>
            </w:r>
          </w:p>
        </w:tc>
        <w:tc>
          <w:tcPr>
            <w:tcW w:w="2701" w:type="dxa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Tabella tal-ISP għall-2018</w:t>
            </w:r>
          </w:p>
        </w:tc>
      </w:tr>
      <w:tr>
        <w:trPr>
          <w:trHeight w:val="600"/>
          <w:jc w:val="center"/>
        </w:trPr>
        <w:tc>
          <w:tcPr>
            <w:tcW w:w="6588" w:type="dxa"/>
            <w:vAlign w:val="center"/>
            <w:hideMark/>
          </w:tcPr>
          <w:p>
            <w:pPr>
              <w:ind w:left="288" w:hanging="288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Koeffiċjent għall-pensjonijiet tal-orfni u tal-konjuġi divorzjati</w:t>
            </w:r>
          </w:p>
        </w:tc>
        <w:tc>
          <w:tcPr>
            <w:tcW w:w="2701" w:type="dxa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13 %</w:t>
            </w:r>
          </w:p>
        </w:tc>
      </w:tr>
      <w:tr>
        <w:trPr>
          <w:trHeight w:val="915"/>
          <w:jc w:val="center"/>
        </w:trPr>
        <w:tc>
          <w:tcPr>
            <w:tcW w:w="6588" w:type="dxa"/>
            <w:vAlign w:val="center"/>
            <w:hideMark/>
          </w:tcPr>
          <w:p>
            <w:pPr>
              <w:ind w:left="288" w:hanging="288"/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 xml:space="preserve">Koeffiċjenti ta’ korrezzjoni </w:t>
            </w:r>
            <w:r>
              <w:rPr>
                <w:rFonts w:ascii="Verdana" w:eastAsia="Times New Roman" w:hAnsi="Verdana" w:cs="Arial"/>
                <w:noProof/>
                <w:color w:val="000000"/>
                <w:kern w:val="24"/>
                <w:szCs w:val="28"/>
              </w:rPr>
              <w:br/>
            </w:r>
            <w:r>
              <w:rPr>
                <w:rFonts w:ascii="Verdana" w:hAnsi="Verdana"/>
                <w:noProof/>
                <w:color w:val="000000"/>
                <w:kern w:val="24"/>
              </w:rPr>
              <w:t>(l-Art. 3(5) tal-Anness XI u l-Art. 20 tal-Anness XIII)</w:t>
            </w:r>
          </w:p>
        </w:tc>
        <w:tc>
          <w:tcPr>
            <w:tcW w:w="2701" w:type="dxa"/>
            <w:vAlign w:val="center"/>
            <w:hideMark/>
          </w:tcPr>
          <w:p>
            <w:pPr>
              <w:jc w:val="center"/>
              <w:textAlignment w:val="center"/>
              <w:rPr>
                <w:rFonts w:ascii="Arial" w:eastAsia="Times New Roman" w:hAnsi="Arial" w:cs="Arial"/>
                <w:noProof/>
                <w:szCs w:val="36"/>
              </w:rPr>
            </w:pPr>
            <w:r>
              <w:rPr>
                <w:rFonts w:ascii="Verdana" w:hAnsi="Verdana"/>
                <w:noProof/>
                <w:color w:val="000000"/>
                <w:kern w:val="24"/>
              </w:rPr>
              <w:t>0.0 %</w:t>
            </w:r>
          </w:p>
        </w:tc>
      </w:tr>
    </w:tbl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35" w:name="_Toc187831150"/>
      <w:bookmarkStart w:id="36" w:name="_Toc179881933"/>
      <w:bookmarkEnd w:id="30"/>
      <w:bookmarkEnd w:id="31"/>
      <w:bookmarkEnd w:id="32"/>
      <w:bookmarkEnd w:id="33"/>
      <w:bookmarkEnd w:id="34"/>
    </w:p>
    <w:p>
      <w:pPr>
        <w:keepNext/>
        <w:numPr>
          <w:ilvl w:val="0"/>
          <w:numId w:val="2"/>
        </w:numPr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32"/>
        </w:rPr>
      </w:pPr>
      <w:bookmarkStart w:id="37" w:name="_Toc187831152"/>
      <w:bookmarkStart w:id="38" w:name="_Toc179881935"/>
      <w:bookmarkEnd w:id="35"/>
      <w:bookmarkEnd w:id="36"/>
      <w:r>
        <w:rPr>
          <w:rFonts w:ascii="Times New Roman" w:hAnsi="Times New Roman"/>
          <w:b/>
          <w:smallCaps/>
          <w:noProof/>
          <w:sz w:val="24"/>
        </w:rPr>
        <w:t>Ir-riżultati: evoluzzjoni tar-rata ta’ kontribuzzjoni tal-pensjoni</w:t>
      </w:r>
      <w:bookmarkEnd w:id="37"/>
    </w:p>
    <w:p>
      <w:pPr>
        <w:keepNext/>
        <w:numPr>
          <w:ilvl w:val="1"/>
          <w:numId w:val="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4"/>
          <w:szCs w:val="28"/>
        </w:rPr>
      </w:pPr>
      <w:r>
        <w:rPr>
          <w:rFonts w:ascii="Times New Roman" w:hAnsi="Times New Roman"/>
          <w:b/>
          <w:noProof/>
          <w:sz w:val="24"/>
        </w:rPr>
        <w:t>Valutazzjonijiet tal-pensjonijiet bejn l-2014 u l-2018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Matul il-perjodu 2014-2018, sabiex jiġi ggarantit il-bilanċ tal-iskema, ir-rata ta’ kontribuzzjoni tal-pensjoni ġiet ikkalkulata bħala terz tal-proporzjon bejn it-total tal-ispiża tas-servizz u t-total tas-salarji bażiċi annwali, f’konformità mal-Artikolu 83(2) tar-Regolamenti tal-Persunal.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It-tabella 5 tipprovdi r-riżultati ta’ kull valutazzjoni sa mill-2014.</w:t>
      </w:r>
    </w:p>
    <w:p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Tabella 5 – Kontribuzzjoni tal-Pensjoni skont is-sena bejn l-2014 u l-2018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1397"/>
        <w:gridCol w:w="1385"/>
        <w:gridCol w:w="1418"/>
        <w:gridCol w:w="1275"/>
        <w:gridCol w:w="1276"/>
      </w:tblGrid>
      <w:tr>
        <w:trPr>
          <w:trHeight w:val="300"/>
        </w:trPr>
        <w:tc>
          <w:tcPr>
            <w:tcW w:w="2463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 </w:t>
            </w:r>
          </w:p>
        </w:tc>
        <w:tc>
          <w:tcPr>
            <w:tcW w:w="675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Valutazzjonijiet tal-pensjonijiet</w:t>
            </w:r>
          </w:p>
        </w:tc>
      </w:tr>
      <w:tr>
        <w:trPr>
          <w:trHeight w:val="300"/>
        </w:trPr>
        <w:tc>
          <w:tcPr>
            <w:tcW w:w="246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2014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2016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2018</w:t>
            </w:r>
          </w:p>
        </w:tc>
      </w:tr>
      <w:tr>
        <w:trPr>
          <w:trHeight w:val="457"/>
        </w:trPr>
        <w:tc>
          <w:tcPr>
            <w:tcW w:w="246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Entrati</w:t>
            </w:r>
          </w:p>
        </w:tc>
        <w:tc>
          <w:tcPr>
            <w:tcW w:w="6751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Data ta' referenza</w:t>
            </w:r>
          </w:p>
        </w:tc>
      </w:tr>
      <w:tr>
        <w:trPr>
          <w:trHeight w:val="43"/>
        </w:trPr>
        <w:tc>
          <w:tcPr>
            <w:tcW w:w="24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31-12-2013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31-12-2014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31-12-2015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31-12-2016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31-12-2017</w:t>
            </w:r>
          </w:p>
        </w:tc>
      </w:tr>
      <w:tr>
        <w:trPr>
          <w:trHeight w:val="600"/>
        </w:trPr>
        <w:tc>
          <w:tcPr>
            <w:tcW w:w="246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Chars="100" w:firstLine="220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Spiża tas-servizz għall-irtirar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28,3 %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28,2 %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27,2 %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27,1 %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27,4 %</w:t>
            </w:r>
          </w:p>
        </w:tc>
      </w:tr>
      <w:tr>
        <w:trPr>
          <w:trHeight w:val="600"/>
        </w:trPr>
        <w:tc>
          <w:tcPr>
            <w:tcW w:w="246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Chars="100" w:firstLine="220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Spiża tas-servizz għall-invalidità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1,3 %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1,3 %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1,3 %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1,3 %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1,7 %</w:t>
            </w:r>
          </w:p>
        </w:tc>
      </w:tr>
      <w:tr>
        <w:trPr>
          <w:trHeight w:val="600"/>
        </w:trPr>
        <w:tc>
          <w:tcPr>
            <w:tcW w:w="24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Chars="100" w:firstLine="220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Spiża tas-servizz għall-mewt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0,9 %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0,9 %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1,0 %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0,9 %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t>0,9 %</w:t>
            </w:r>
          </w:p>
        </w:tc>
      </w:tr>
      <w:tr>
        <w:trPr>
          <w:trHeight w:val="600"/>
        </w:trPr>
        <w:tc>
          <w:tcPr>
            <w:tcW w:w="24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ind w:firstLineChars="100" w:firstLine="221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Proporzjon tal-ispiża tas-servizz / SB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30,4 %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30,5 %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29,5 %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29,3 %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30,0 %</w:t>
            </w:r>
          </w:p>
        </w:tc>
      </w:tr>
      <w:tr>
        <w:trPr>
          <w:trHeight w:val="600"/>
        </w:trPr>
        <w:tc>
          <w:tcPr>
            <w:tcW w:w="24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ind w:firstLineChars="100" w:firstLine="221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Ir-rata ta’ kontribuzzjoni tal-uffiċjali (wieħed minn tlieta tal-proporzjon totali)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10,1 %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10,2 %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9,8 %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9,8 %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10,0 %</w:t>
            </w:r>
          </w:p>
        </w:tc>
      </w:tr>
      <w:tr>
        <w:trPr>
          <w:trHeight w:val="600"/>
        </w:trPr>
        <w:tc>
          <w:tcPr>
            <w:tcW w:w="246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>
            <w:pPr>
              <w:spacing w:after="0" w:line="240" w:lineRule="auto"/>
              <w:ind w:firstLineChars="100" w:firstLine="221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Ir-rata ta’ kontribuzzjoni tal-uffiċjali applikata</w:t>
            </w:r>
          </w:p>
        </w:tc>
        <w:tc>
          <w:tcPr>
            <w:tcW w:w="1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10,1 %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10,1 %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9,80 %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9,80 %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</w:rPr>
            </w:pPr>
            <w:r>
              <w:rPr>
                <w:rFonts w:ascii="Verdana" w:hAnsi="Verdana"/>
                <w:b/>
                <w:noProof/>
              </w:rPr>
              <w:t>10,0 %</w:t>
            </w:r>
          </w:p>
        </w:tc>
      </w:tr>
    </w:tbl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39" w:name="_Toc187831155"/>
      <w:bookmarkStart w:id="40" w:name="_Toc179881943"/>
      <w:bookmarkEnd w:id="38"/>
    </w:p>
    <w:p>
      <w:pPr>
        <w:keepNext/>
        <w:numPr>
          <w:ilvl w:val="1"/>
          <w:numId w:val="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4"/>
          <w:szCs w:val="28"/>
        </w:rPr>
      </w:pPr>
      <w:r>
        <w:rPr>
          <w:rFonts w:ascii="Times New Roman" w:hAnsi="Times New Roman"/>
          <w:b/>
          <w:noProof/>
          <w:sz w:val="24"/>
        </w:rPr>
        <w:t>Riżultati tal-aħħar valutazzjoni tal-pensjonijiet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Il-valutazzjoni attwarjali tal-2018 tal-PSEO tindika li, sabiex jiġi żgurat il-bilanċ ta’ din l-iskema tal-pensjonijiet, ir-rata ta’ kontribuzzjoni neċessarja sabiex jiġu ffinanzjatai terz tal-benefiċċji pagabbli hija ta’ 10,0 % tas-salarju bażiku (jew tal-gratifika tal-invalidità).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Ir-rata ta’ kontribuzzjoni kkalkulata indikata hawn fuq (10 %) hija terz tal-proporzjon bejn it-total tal-ispiża tas-servizz (EUR 1 424,8 miljun) u t-total tas-salarji bażiċi annwali (EUR 4 749,2 miljun). Din ir-rata hija </w:t>
      </w:r>
      <w:r>
        <w:rPr>
          <w:rFonts w:ascii="Times New Roman" w:hAnsi="Times New Roman"/>
          <w:i/>
          <w:noProof/>
          <w:sz w:val="24"/>
        </w:rPr>
        <w:t>ogħla</w:t>
      </w:r>
      <w:r>
        <w:rPr>
          <w:rFonts w:ascii="Times New Roman" w:hAnsi="Times New Roman"/>
          <w:noProof/>
          <w:sz w:val="24"/>
        </w:rPr>
        <w:t xml:space="preserve"> (+ 0,2 %) minn dik ikkalkulata fl-2017 (9,8 %).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Skont l-Artikolu 83a(3) tar-Regolamenti tal-Persunal, iċ-ċifra ta’ riferiment stabbilita fl-Artikolu 83(2) għandha tiġi aġġornata. Il-Kummissjoni għandha tippubblika r-rata aġġornata li tirriżulta tal-kontribuzzjoni (10,0 %) fi żmien ġimagħtejn wara l-aġġornament fis-serje C ta' </w:t>
      </w:r>
      <w:r>
        <w:rPr>
          <w:rFonts w:ascii="Times New Roman" w:hAnsi="Times New Roman"/>
          <w:i/>
          <w:noProof/>
          <w:sz w:val="24"/>
        </w:rPr>
        <w:t>Il-Ġurnal Uffiċjali tal-Unjoni Ewropea</w:t>
      </w:r>
      <w:r>
        <w:rPr>
          <w:rFonts w:ascii="Times New Roman" w:hAnsi="Times New Roman"/>
          <w:noProof/>
          <w:sz w:val="24"/>
        </w:rPr>
        <w:t xml:space="preserve">, għal finijiet ta’ informazzjoni.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L-aġġornament għandu jidħol fis-seħħ fl-istess ħin tal-aġġornament annwali tar-remunerazzjoni skont l-Artikolu 65 tar-Regolamenti tal-Persunal, jiġifieri jkollu effett retroattiv fl-1 ta’ Lulju 2018.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keepNext/>
        <w:numPr>
          <w:ilvl w:val="0"/>
          <w:numId w:val="2"/>
        </w:numPr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32"/>
        </w:rPr>
      </w:pPr>
      <w:r>
        <w:rPr>
          <w:rFonts w:ascii="Times New Roman" w:hAnsi="Times New Roman"/>
          <w:b/>
          <w:smallCaps/>
          <w:noProof/>
          <w:sz w:val="24"/>
        </w:rPr>
        <w:t>Bilanċ tal-Iskema tal-Pensjonijiet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Kif spjegat fil-parti 2.3 ta’ dan ir-rapport, il-PSEO tkun f’bilanċ jekk il-kontribuzzjonijiet annwali mħallsa mill-persunal ikopru terz tad-drittijiet miksuba matul is-sena, jiġifieri, skont ir-Regolamenti tal-Persunal, fir-rigward ta’ pensjoni tal-irtirar, 1,8 %, 1,9 % jew 2 % tal-aħħar salarju bażiku qabel l-irtirar. Minħabba li r-rata ta’ kontribuzzjoni tal-pensjoni hija kkalkulata biex tiggarantixxi li l-iskema tkun f’bilanċ, l-iskema tkun f’bilanċ meta tiġi applikata r-rata kalkulata.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Matul il-perjodu ta’ referenza ta’ dan ir-rapport, abbażi tar-rata kkalkulata ta’ kontribuzzjoni tal-Eurostat, ir-rata ta’ kontribuzzjoni tal-pensjonijiet ġiet aġġornata wara li ġew ikkunsidrati d-dispożizzjonijiet speċifiċi tar-Regolamenti tal-Persunal: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l-Artikolu 2(1) tal-Anness XII tar-Regolamenti tal-Persunal, (kwalunkwe aġġornament ma jistax iwassal għal kontribuzzjoni li tkun aktar minn punt perċentwali ’il fuq jew ’l isfel mir-rata valida tas-sena preċedenti);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l-Artikolu 2(2) tal-Anness XII tar-Regolamenti tal-Persunal (id-differenza stabbilita bejn l-aġġornament tar-rata ta’ kontribuzzjoni li kieku kienet tirriżulta mill-kalkolu attwarjali u l-aġġornament li jirriżulta mill-varjazzjoni msemmija fl-aħħar sentenza tal-paragrafu 1, ma għandhiex tiġi rkuprata fl-ebda waqt, jew, bħala konsegwenza, tiġi kkunsidrata f’kalkoli attwarjali sussegwenti);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l-Artikolu 83a(4) tar-Regolamenti tal-Persunal (fl-okkażjoni tal-aġġornamenti ta’ kull sena tal-valutazzjoni attwarjali ta’ kull ħames snin, ir-rata ta’ kontribuzzjoni għandha tiġi aġġornata biss jekk ikun hemm differenza ta’ mill-inqas 0,25 punt bejn ir-rata ta’ kontribuzzjoni attwalment applikata u r-rata meħtieġa sabiex jinżamm il-bilanċ attwarjali. Dan il-limitu ma japplikax fl-okkażjoni tal-valutazzjoni ta’ kull ħames snin, bħall-valutazzjoni tal-2018).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Il-graff 1 tiġbor fil-qosor ir-rati ta’ kontribuzzjoni kkalkulati u applikati.</w:t>
      </w:r>
    </w:p>
    <w:p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Graff 1 – Sommarju tar-rati ta’ kontribuzzjoni għall-pensjoni kkalkulati u applikati</w:t>
      </w:r>
    </w:p>
    <w:p>
      <w:pPr>
        <w:spacing w:before="120" w:after="120" w:line="240" w:lineRule="auto"/>
        <w:ind w:left="85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4810125" cy="373131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3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Iċ-ċart turi li r-rata ta’ kontribuzzjoni applikata għall-pensjoni kienet ferm viċin għal dik ikkalkulata mill-Eurostat. Għandu jiġi nnutat li differenzi żgħar bejn ir-rati dovuti għall-applikazzjoni tad-dispożizzjonijiet imsemmija hawn fuq tar-Regolamenti tal-Persunal jistgħu jkunu pożittivi jew negattivi; dawn id-differenzi għandhom it-tendenza li jikkanċellaw lil xulxin fuq terminu ta’ żmien twil.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il-metodu laħaq l-għan speċifiku tiegħu li jiggarantixxi li l-kontribuzzjoni tal-pensjoni mħallsa mill-persunal għall-baġit tkopri terz tal-ispiża skont l-iskema tal-pensjonijiet, kif speċifikat fl-Artikolu 1(1) tal-Anness XII tar-Regolamenti tal-Persunal, u, għalhekk, l-iskema tal-PSEO tinsab f’bilanċ attwarjali.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keepNext/>
        <w:numPr>
          <w:ilvl w:val="0"/>
          <w:numId w:val="2"/>
        </w:numPr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32"/>
        </w:rPr>
      </w:pPr>
      <w:bookmarkStart w:id="41" w:name="_Toc182799886"/>
      <w:bookmarkStart w:id="42" w:name="_Toc182920274"/>
      <w:bookmarkStart w:id="43" w:name="_Toc182799888"/>
      <w:bookmarkStart w:id="44" w:name="_Toc182920276"/>
      <w:bookmarkStart w:id="45" w:name="_Toc182799890"/>
      <w:bookmarkStart w:id="46" w:name="_Toc182920278"/>
      <w:bookmarkStart w:id="47" w:name="_Toc182799891"/>
      <w:bookmarkStart w:id="48" w:name="_Toc182920279"/>
      <w:bookmarkStart w:id="49" w:name="_Toc182799892"/>
      <w:bookmarkStart w:id="50" w:name="_Toc182920280"/>
      <w:bookmarkStart w:id="51" w:name="_Toc182799893"/>
      <w:bookmarkStart w:id="52" w:name="_Toc182920281"/>
      <w:bookmarkStart w:id="53" w:name="_Toc182799894"/>
      <w:bookmarkStart w:id="54" w:name="_Toc182920282"/>
      <w:bookmarkStart w:id="55" w:name="_Toc182799896"/>
      <w:bookmarkStart w:id="56" w:name="_Toc182920284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="Times New Roman" w:hAnsi="Times New Roman"/>
          <w:b/>
          <w:smallCaps/>
          <w:noProof/>
          <w:sz w:val="24"/>
        </w:rPr>
        <w:t>L-IMPATT BAĠITARJU TAL-PSEO</w:t>
      </w:r>
    </w:p>
    <w:p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</w:rPr>
        <w:t xml:space="preserve">Fl-1960 il-Kunsill iddeċieda li l-kontribuzzjonijiet tal-persunal ma jitwarrbux f’fond tal-pensjoni reali, iżda minflok ikunu kkreditati lill-baġit tal-UE fil-mument meta dawn jinġabru u jintefqu skont id-deċiżjonijiet tal-awtorità baġitarja, jiġifieri ma jkunux assenjati għal xi qasam ta’ politika partikolari. Fl-istess ħin, il-Kunsill iddeċieda li s-sehem mill-kontribuzzjoni tal-impjegatur ma jinġabarx. Minflok, l-istituzzjonijiet tal-UE ħadu l-impenn li jħallsu l-benefiċċji tal-pensjonijiet futuri (li għandhom jitħallsu mill-baġit tal-Unjoni) meta l-impjegati jirtiraw. </w:t>
      </w:r>
    </w:p>
    <w:p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</w:rPr>
        <w:t xml:space="preserve">Għaldaqstant, f’termini baġitarji, l-iskema tal-pensjonijiet tal-Unjoni ħolqot dħul nett fil-passat, peress li għadha ma mmaturatx, jiġifieri l-kontribuzzjonijiet minn persunal attiv li jakkwista d-drittijiet għal pensjoni kienu ogħla mill-benefiċċji li jittieħdu minn għadd limitat ta’ persuni rtirati. Id-dħul mill-iskema tal-pensjonijiet kien magħmul minn kontribuzzjonijiet tal-persunal u tal-impjegaturi; ta’ dawn tal-aħħar ma tħallsux f’fond, iżda ġew riflessi biss bħala obbligazzjoni tal-pensjoni. B’dan il-mod, </w:t>
      </w:r>
      <w:r>
        <w:rPr>
          <w:rFonts w:ascii="Times New Roman" w:hAnsi="Times New Roman"/>
          <w:b/>
          <w:noProof/>
          <w:spacing w:val="-1"/>
          <w:sz w:val="24"/>
        </w:rPr>
        <w:t>il-baġit tal-UE kien effettivament qed jissellef il-flus mingħand il-membri fl-iskema bil-garanzija li fil-futur jitħallsu l-benefiċċji</w:t>
      </w:r>
      <w:r>
        <w:rPr>
          <w:rFonts w:ascii="Times New Roman" w:hAnsi="Times New Roman"/>
          <w:noProof/>
          <w:spacing w:val="-1"/>
          <w:sz w:val="24"/>
        </w:rPr>
        <w:t>.</w:t>
      </w:r>
    </w:p>
    <w:p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</w:rPr>
        <w:t xml:space="preserve">Minħabba t-tkabbir tal-UE u l-forza tax-xogħol tagħha sa mill-ħolqien tal-iskema tal-pensjonijiet fis-snin sittin, l-għadd nett ta’ pensjonanti (id-differenza bejn l-għadd ta’ persunal li qed jirtira u l-pensjonanti li jmutu) żdied, u se jkompli jiżdied tul il-Qafas Finanzjarju Pluriennali li jmiss (QFP). Għalkemm fuq medda twila ta’ żmien in-nefqa tal-pensjonijiet se titnaqqas b’mod sostanzjali bis-saħħa ta’ riformi suċċessivi, dawn ir-riformi kienu suġġetti għal dispożizzjonijiet tranżitorji minħabba li d-drittijiet tal-pensjoni huma protetti abbażi tal-prinċipju tad-drittijiet miksuba. Għaldaqstant, </w:t>
      </w:r>
      <w:r>
        <w:rPr>
          <w:rFonts w:ascii="Times New Roman" w:hAnsi="Times New Roman"/>
          <w:b/>
          <w:noProof/>
          <w:spacing w:val="-1"/>
          <w:sz w:val="24"/>
        </w:rPr>
        <w:t>l-effetti baġitarji tar-riforma fuq in-nefqa tal-pensjonijiet jidhru biss b’mod progressiv matul iż-żmien</w:t>
      </w:r>
      <w:r>
        <w:rPr>
          <w:rFonts w:ascii="Times New Roman" w:hAnsi="Times New Roman"/>
          <w:noProof/>
          <w:spacing w:val="-1"/>
          <w:sz w:val="24"/>
        </w:rPr>
        <w:t>. Bħala konsegwenza, minħabba n-nuqqas ta’ maturità tal-PSEO, it-tendenza ta’ żieda fin-nefqa tal-pensjonijiet mistennija tkompli sa madwar l-2040.</w:t>
      </w:r>
    </w:p>
    <w:p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</w:rPr>
        <w:t>It-tfaddil konsiderevoli għall-pensjoni li se jinħoloq permezz tar-riforma (ara l-Graff 2) kien ikkonfermat fl-2016 permezz ta’ studju tal-Eurostat dwar l-implikazzjonijiet baġitarji tal-ispejjeż tal-pensjoni fuq terminu twil</w:t>
      </w:r>
      <w:r>
        <w:rPr>
          <w:rFonts w:ascii="Times New Roman" w:hAnsi="Times New Roman"/>
          <w:noProof/>
          <w:spacing w:val="-1"/>
          <w:sz w:val="24"/>
          <w:vertAlign w:val="superscript"/>
        </w:rPr>
        <w:footnoteReference w:id="10"/>
      </w:r>
      <w:r>
        <w:rPr>
          <w:rFonts w:ascii="Times New Roman" w:hAnsi="Times New Roman"/>
          <w:noProof/>
          <w:spacing w:val="-1"/>
          <w:sz w:val="24"/>
        </w:rPr>
        <w:t xml:space="preserve">. Dan l-istudju ġie milqugħ mill-Istati Membri bħala valutazzjoni oġġettiva u realistika tas-sitwazzjoni. L-Eurostat sab li r-riforma tal-2013 </w:t>
      </w:r>
      <w:r>
        <w:rPr>
          <w:rFonts w:ascii="Times New Roman" w:hAnsi="Times New Roman"/>
          <w:b/>
          <w:noProof/>
          <w:spacing w:val="-1"/>
          <w:sz w:val="24"/>
        </w:rPr>
        <w:t>se tnaqqas il-kont tal-pensjonijiet fuq terminu twil b’madwar 30 %</w:t>
      </w:r>
      <w:r>
        <w:rPr>
          <w:rFonts w:ascii="Times New Roman" w:hAnsi="Times New Roman"/>
          <w:noProof/>
          <w:spacing w:val="-1"/>
          <w:sz w:val="24"/>
        </w:rPr>
        <w:t xml:space="preserve">, apparti l-iffrankar minn tibdil preċedenti tal-iskema tal-pensjonijiet fl-2004. Wara dan l-istudju tal-Eurostat, diversi Stati Membri enfasizzaw l-importanza tad-dispożizzjonijiet tal-pensjoni biex jiġi garantit li l-UE tibqa’ istituzzjoni li tattira applikanti mill-Istati Membri kollha, speċjalment dawk bi dħul </w:t>
      </w:r>
      <w:r>
        <w:rPr>
          <w:rFonts w:ascii="Times New Roman" w:hAnsi="Times New Roman"/>
          <w:i/>
          <w:noProof/>
          <w:spacing w:val="-1"/>
          <w:sz w:val="24"/>
        </w:rPr>
        <w:t>per capita</w:t>
      </w:r>
      <w:r>
        <w:rPr>
          <w:rFonts w:ascii="Times New Roman" w:hAnsi="Times New Roman"/>
          <w:noProof/>
          <w:spacing w:val="-1"/>
          <w:sz w:val="24"/>
        </w:rPr>
        <w:t xml:space="preserve"> relattivament għoli.</w:t>
      </w:r>
    </w:p>
    <w:p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</w:rPr>
        <w:t xml:space="preserve">Barra minn hekk, żewġ riformi estensivi suċċessivi tar-Regolamenti tal-Persunal ġew implimentati f’perjodu qasir ħafna (jiġifieri fl-2004 u fl-2014), li imponew ukoll in-neċessità legali li jiġu introdotti </w:t>
      </w:r>
      <w:r>
        <w:rPr>
          <w:rFonts w:ascii="Times New Roman" w:hAnsi="Times New Roman"/>
          <w:b/>
          <w:noProof/>
          <w:spacing w:val="-1"/>
          <w:sz w:val="24"/>
        </w:rPr>
        <w:t>miżuri tranżizzjonali</w:t>
      </w:r>
      <w:r>
        <w:rPr>
          <w:rFonts w:ascii="Times New Roman" w:hAnsi="Times New Roman"/>
          <w:noProof/>
          <w:spacing w:val="-1"/>
          <w:sz w:val="24"/>
        </w:rPr>
        <w:t xml:space="preserve"> fl-implimentazzjoni tagħhom, li jikkonċernaw partijiet kbar tal-persunal li attwalment huma fis-servizz. Minbarra dawn ir-restrizzjonijiet legali, bidliet oħra fir-regoli eżistenti f’dan il-waqt jkomplu jheddu ċ-ċertezza u l-prevedibbiltà tal-kundizzjonijiet tax-xogħol u tal-benefiċċji tal-pensjoni. Dan x’aktarx ikompli jostakola l-kapaċità tal-istituzzjonijiet biex jindirizzaw l-iżbilanċi ġeografiċi sinifikanti li ġew osservati. </w:t>
      </w:r>
    </w:p>
    <w:p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Graff 2 – L-Evoluzzjoni tal-ispejjeż tal-pensjoni fuq terminu twil (iċ-ċifri f’miljuni ta’ EUR bi prezzijiet kostanti) skont l-istudju tal-Eurostat tal-2016</w:t>
      </w:r>
    </w:p>
    <w:p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 w:bidi="ar-SA"/>
        </w:rPr>
        <w:drawing>
          <wp:inline distT="0" distB="0" distL="0" distR="0">
            <wp:extent cx="5694045" cy="2137410"/>
            <wp:effectExtent l="0" t="0" r="1905" b="15240"/>
            <wp:docPr id="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</w:pPr>
    </w:p>
    <w:p>
      <w:pPr>
        <w:keepNext/>
        <w:numPr>
          <w:ilvl w:val="0"/>
          <w:numId w:val="2"/>
        </w:numPr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32"/>
        </w:rPr>
      </w:pPr>
      <w:r>
        <w:rPr>
          <w:rFonts w:ascii="Times New Roman" w:hAnsi="Times New Roman"/>
          <w:b/>
          <w:smallCaps/>
          <w:noProof/>
          <w:sz w:val="24"/>
        </w:rPr>
        <w:t>Konklużjonijiet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L-implimentazzjoni tal-Anness XII tar-Regolamenti tal-Persunal mill-Kummissjoni żgurat l-istabbiltà tal-PSEO u l-bilanċ tal-fond nozzjonali, filwaqt li r-riformi fir-Regolamenti tal-Persunal tal-2004 u l-2013 qed jiġu implimentati b’suċċess, u dan jippermetti żieda gradwali fl-iffrankar annwali.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Fid-dawl ta’ li ntqal hawn fuq, l-applikazzjoni tal-Anness XII mar-Regolamenti tal-Persunal ssodisfat l-għan speċifiku tiegħu li jiggarantixxi li l-PSEO tkun f’bilanċ, peress li l-kontribuzzjoni tal-pensjoni mħallsa mill-persunal għall-baġit tkopri terz tad-drittijiet miksuba kull sena minħabba r-raġunijiet li ġejjin: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ir-rata ta’ kontribuzzjoni kkalkulata mill-Eurostat kopriet terz tad-drittijiet tal-pensjoni miksuba f’din is-sena;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ir-rata ta’ kontribuzzjoni kkalkulata ġiet ivvalidata minn esperti nazzjonali u esperti indipendenti kkwalifikati;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ir-rata ta’ kontribuzzjoni applikata kienet ferm qrib ta’ dik ikkalkulata;</w:t>
      </w:r>
    </w:p>
    <w:p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differenzi żgħar bejn ir-rati kkalkulati u r-rati applikati kienu dovuti minħabba dispożizzjonijiet speċifiċi tar-Regolamenti tal-Persunal. Peress li dawn id-differenzi jistgħu jkunu pożittivi jew negattivi, għandhom it-tendenza li jikkanċellaw lil xulxin fuq terminu ta’ żmien twil.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Il-koleġiżlaturi ddeċidew li dan ir-rapport jenħtieġ li jiffoka fuq il-bilanċ attwarjali tal-2014-2018 tal-iskema tal-pensjonijiet, u mhux fuq l-evoluzzjoni futura tan-nefqa tal-pensjonijiet. Min-naħa l-oħra, ta’ min isemmi li l-Kummissjoni fil-proposta tagħha għal Regolament tal-Kunsill li jistabbilixxi l-QFP li jmiss, ppreżentat n-nefqa mistennija għall-perjodu 2021 – 2027 li kienet imsejsa b’mod partikolari fuq it-tkabbir annwali tan-nefqa tal-pensjonijiet kif ippreżentata fil-parti 8. F’din l-okkażjoni, il-Kummissjoni ntrabtet ukoll li tirrifletti dwar il-fattibbiltà li jinħoloq fond għall-pensjonijiet għall-persunal tal-UE msejjes fuq il-kapital, fil-qafas tar-rieżami ta’ nofs it-terminu tal-QFP fl-2023.</w:t>
      </w:r>
    </w:p>
    <w:p>
      <w:pPr>
        <w:pStyle w:val="Prliminairetype"/>
        <w:jc w:val="left"/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tab/>
        <w:t>Skont l-Artikolu 83a tar-RP, l-Anness XII tiegħu jistabbilixxi regoli ddettaljati sabiex l-Iskema tal-Pensjonijiet tal-Uffiċjali Ewropej (PSEO) tinżamm f’bilanċ.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Il-benefiċċji li jridu jitħallsu permezz tal-PSEO huma stipulati fil-Kapitolu 3 tat-Titolu V u fl-Anness VIII tar-Regolamenti tal-Persunal. Il-benefiċċji tal-PSEO jinkludu l-pensjonijiet tal-irtirar, it-trasferiment tad-drittijiet għall-pensjoni, l-għotjiet għat-terminazzjoni tal-impjieg, il-pensjonijiet tas-superstiti u l-gratifiki tal-invalidità.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Ara pereżempju l-Kawża F-105/05, </w:t>
      </w:r>
      <w:r>
        <w:rPr>
          <w:i/>
        </w:rPr>
        <w:t>Wils vs il-Parlament</w:t>
      </w:r>
      <w:r>
        <w:t xml:space="preserve">, il-punt 85, u l-Kawża T-439/09 </w:t>
      </w:r>
      <w:r>
        <w:rPr>
          <w:i/>
        </w:rPr>
        <w:t>Purvis vs il -Parlament</w:t>
      </w:r>
      <w:r>
        <w:t>, il-punt 45.</w:t>
      </w:r>
    </w:p>
  </w:footnote>
  <w:footnote w:id="4">
    <w:p>
      <w:pPr>
        <w:pStyle w:val="FootnoteText"/>
        <w:spacing w:after="120"/>
        <w:ind w:left="284" w:hanging="284"/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r>
        <w:tab/>
      </w:r>
      <w:r>
        <w:tab/>
        <w:t>L-Artikolu 83(2) tar-RP.</w:t>
      </w:r>
    </w:p>
  </w:footnote>
  <w:footnote w:id="5">
    <w:p>
      <w:pPr>
        <w:pStyle w:val="FootnoteText"/>
      </w:pPr>
      <w:r>
        <w:rPr>
          <w:rStyle w:val="FootnoteReference"/>
          <w:sz w:val="18"/>
        </w:rPr>
        <w:footnoteRef/>
      </w:r>
      <w:r>
        <w:rPr>
          <w:rStyle w:val="FootnoteReference"/>
          <w:sz w:val="18"/>
        </w:rPr>
        <w:t xml:space="preserve"> </w:t>
      </w:r>
      <w:r>
        <w:tab/>
        <w:t>Ir-rata ta’ kontribuzzjoni tal-pensjoni hija kkalkulata skont il-metodu ta’ “kreditu għal kull unità”, kif preskritt mill-istandard internazzjonali tal-kontabilità, l-IPSAS 25 (sostitwit mill-IPSAS 39, b’effett mill-1 ta’ Jannar 2018). Is-somma tal-valuri attwarjali tad-drittijiet miksuba minn membri attivi tal-persunal (imsemmija fil-prattika attwarjali bħala “l-ispiża tas-servizz”) hija mqabbla mat-total annwali tas-salarji bażiċi tagħhom sabiex tiġi kkalkulata r-rata ta’ kontribuzzjoni.</w:t>
      </w:r>
    </w:p>
  </w:footnote>
  <w:footnote w:id="6">
    <w:p>
      <w:pPr>
        <w:pStyle w:val="FootnoteText"/>
      </w:pPr>
      <w:r>
        <w:rPr>
          <w:rStyle w:val="FootnoteReference"/>
          <w:sz w:val="18"/>
        </w:rPr>
        <w:footnoteRef/>
      </w:r>
      <w:r>
        <w:rPr>
          <w:rStyle w:val="FootnoteReference"/>
          <w:sz w:val="18"/>
        </w:rPr>
        <w:t xml:space="preserve"> </w:t>
      </w:r>
      <w:r>
        <w:tab/>
        <w:t>L-aġġustamenti tas-salarji tnaqqsu għal 0 % u 0,8 % rispettivament fl-2011 u l-2012 skont ir-Regolamenti (UE) Nru 422/2014 u Nru 423/2014 tal-Parlament Ewropew u tal-Kunsill tas-16 ta’ April 2014.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l-IPSAS 25, l-Artikoli 91 u 96.</w:t>
      </w:r>
    </w:p>
  </w:footnote>
  <w:footnote w:id="8">
    <w:p>
      <w:pPr>
        <w:pStyle w:val="FootnoteText"/>
        <w:spacing w:after="120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  <w:t>L-Artikolu 77(6) u 77(7) tar-Regolamenti tal-Persunal.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Ara l-Anness XIII tar-Regolamenti tal-Persunal.</w:t>
      </w:r>
    </w:p>
  </w:footnote>
  <w:footnote w:id="10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  <w:t>SWD(2016) 268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EAC21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F744B"/>
    <w:multiLevelType w:val="hybridMultilevel"/>
    <w:tmpl w:val="7BC83176"/>
    <w:lvl w:ilvl="0" w:tplc="3DF2C38E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0410791D"/>
    <w:multiLevelType w:val="hybridMultilevel"/>
    <w:tmpl w:val="45CC07BC"/>
    <w:lvl w:ilvl="0" w:tplc="3DF2C38E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0A9D678F"/>
    <w:multiLevelType w:val="multilevel"/>
    <w:tmpl w:val="F5C65F6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BA14499"/>
    <w:multiLevelType w:val="multilevel"/>
    <w:tmpl w:val="EEA8320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bullet"/>
      <w:lvlText w:val="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A8841C4"/>
    <w:multiLevelType w:val="hybridMultilevel"/>
    <w:tmpl w:val="59AA56D4"/>
    <w:lvl w:ilvl="0" w:tplc="08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477A4CC9"/>
    <w:multiLevelType w:val="hybridMultilevel"/>
    <w:tmpl w:val="E174DA68"/>
    <w:lvl w:ilvl="0" w:tplc="ABB01D18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4BCB75BC"/>
    <w:multiLevelType w:val="hybridMultilevel"/>
    <w:tmpl w:val="04D82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87C58"/>
    <w:multiLevelType w:val="hybridMultilevel"/>
    <w:tmpl w:val="2A8A4D28"/>
    <w:lvl w:ilvl="0" w:tplc="AA12166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8042C"/>
    <w:multiLevelType w:val="singleLevel"/>
    <w:tmpl w:val="CCF20C06"/>
    <w:name w:val="List Dash 2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CA618EA4-C65B-490B-9D66-80D43C4860DD"/>
    <w:docVar w:name="LW_COVERPAGE_TYPE" w:val="1"/>
    <w:docVar w:name="LW_CROSSREFERENCE" w:val="&lt;UNUSED&gt;"/>
    <w:docVar w:name="LW_DocType" w:val="NORMAL"/>
    <w:docVar w:name="LW_EMISSION" w:val="14.12.2018"/>
    <w:docVar w:name="LW_EMISSION_ISODATE" w:val="2018-12-14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8) 82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FMT:Bold&gt;dwar l-applikazzjoni tal-Anness XII tar-Regolamenti tal-Persunal&lt;/FMT&gt;_x000b_"/>
    <w:docVar w:name="LW_TYPE.DOC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2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2"/>
    <w:link w:val="Heading2Char"/>
    <w:qFormat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mallCaps/>
      <w:sz w:val="24"/>
      <w:szCs w:val="32"/>
      <w:lang w:eastAsia="mt-MT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iCs/>
      <w:sz w:val="24"/>
      <w:szCs w:val="28"/>
      <w:lang w:eastAsia="mt-MT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6"/>
      <w:lang w:eastAsia="mt-MT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sz w:val="24"/>
      <w:szCs w:val="28"/>
      <w:lang w:eastAsia="mt-MT"/>
    </w:rPr>
  </w:style>
  <w:style w:type="paragraph" w:styleId="FootnoteText">
    <w:name w:val="footnote text"/>
    <w:basedOn w:val="Normal"/>
    <w:link w:val="FootnoteTextChar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mt-MT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rliminairetitre">
    <w:name w:val="Préliminaire titre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rliminairetype">
    <w:name w:val="Préliminaire type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ListNumber">
    <w:name w:val="List Number"/>
    <w:basedOn w:val="Normal"/>
    <w:unhideWhenUsed/>
    <w:pPr>
      <w:numPr>
        <w:numId w:val="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ListNumberLevel2">
    <w:name w:val="List Number (Level 2)"/>
    <w:basedOn w:val="Normal"/>
    <w:pPr>
      <w:tabs>
        <w:tab w:val="num" w:pos="1417"/>
      </w:tabs>
      <w:spacing w:after="24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next w:val="LightList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2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2"/>
    <w:link w:val="Heading2Char"/>
    <w:qFormat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mallCaps/>
      <w:sz w:val="24"/>
      <w:szCs w:val="32"/>
      <w:lang w:eastAsia="mt-MT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iCs/>
      <w:sz w:val="24"/>
      <w:szCs w:val="28"/>
      <w:lang w:eastAsia="mt-MT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6"/>
      <w:lang w:eastAsia="mt-MT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sz w:val="24"/>
      <w:szCs w:val="28"/>
      <w:lang w:eastAsia="mt-MT"/>
    </w:rPr>
  </w:style>
  <w:style w:type="paragraph" w:styleId="FootnoteText">
    <w:name w:val="footnote text"/>
    <w:basedOn w:val="Normal"/>
    <w:link w:val="FootnoteTextChar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mt-MT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rliminairetitre">
    <w:name w:val="Préliminaire titre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rliminairetype">
    <w:name w:val="Préliminaire type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ListNumber">
    <w:name w:val="List Number"/>
    <w:basedOn w:val="Normal"/>
    <w:unhideWhenUsed/>
    <w:pPr>
      <w:numPr>
        <w:numId w:val="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ListNumberLevel2">
    <w:name w:val="List Number (Level 2)"/>
    <w:basedOn w:val="Normal"/>
    <w:pPr>
      <w:tabs>
        <w:tab w:val="num" w:pos="1417"/>
      </w:tabs>
      <w:spacing w:after="24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next w:val="LightList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net1.cec.eu.int\Homes\022\POIRIFE\My%20Documents\Work%20on%20ESTAT%20Table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312860154084114E-2"/>
          <c:y val="4.9686242822267301E-2"/>
          <c:w val="0.84941194059603309"/>
          <c:h val="0.80265189285837091"/>
        </c:manualLayout>
      </c:layout>
      <c:scatterChart>
        <c:scatterStyle val="smoothMarker"/>
        <c:varyColors val="0"/>
        <c:ser>
          <c:idx val="0"/>
          <c:order val="0"/>
          <c:tx>
            <c:v>PensExp_Without2013Reform</c:v>
          </c:tx>
          <c:spPr>
            <a:ln>
              <a:solidFill>
                <a:srgbClr val="00A3A0"/>
              </a:solidFill>
            </a:ln>
          </c:spPr>
          <c:marker>
            <c:symbol val="none"/>
          </c:marker>
          <c:xVal>
            <c:numRef>
              <c:f>'RetInvSur&amp;TOut'!$B$26:$AZ$26</c:f>
              <c:numCache>
                <c:formatCode>General</c:formatCode>
                <c:ptCount val="51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  <c:pt idx="16">
                  <c:v>2030</c:v>
                </c:pt>
                <c:pt idx="17">
                  <c:v>2031</c:v>
                </c:pt>
                <c:pt idx="18">
                  <c:v>2032</c:v>
                </c:pt>
                <c:pt idx="19">
                  <c:v>2033</c:v>
                </c:pt>
                <c:pt idx="20">
                  <c:v>2034</c:v>
                </c:pt>
                <c:pt idx="21">
                  <c:v>2035</c:v>
                </c:pt>
                <c:pt idx="22">
                  <c:v>2036</c:v>
                </c:pt>
                <c:pt idx="23">
                  <c:v>2037</c:v>
                </c:pt>
                <c:pt idx="24">
                  <c:v>2038</c:v>
                </c:pt>
                <c:pt idx="25">
                  <c:v>2039</c:v>
                </c:pt>
                <c:pt idx="26">
                  <c:v>2040</c:v>
                </c:pt>
                <c:pt idx="27">
                  <c:v>2041</c:v>
                </c:pt>
                <c:pt idx="28">
                  <c:v>2042</c:v>
                </c:pt>
                <c:pt idx="29">
                  <c:v>2043</c:v>
                </c:pt>
                <c:pt idx="30">
                  <c:v>2044</c:v>
                </c:pt>
                <c:pt idx="31">
                  <c:v>2045</c:v>
                </c:pt>
                <c:pt idx="32">
                  <c:v>2046</c:v>
                </c:pt>
                <c:pt idx="33">
                  <c:v>2047</c:v>
                </c:pt>
                <c:pt idx="34">
                  <c:v>2048</c:v>
                </c:pt>
                <c:pt idx="35">
                  <c:v>2049</c:v>
                </c:pt>
                <c:pt idx="36">
                  <c:v>2050</c:v>
                </c:pt>
                <c:pt idx="37">
                  <c:v>2051</c:v>
                </c:pt>
                <c:pt idx="38">
                  <c:v>2052</c:v>
                </c:pt>
                <c:pt idx="39">
                  <c:v>2053</c:v>
                </c:pt>
                <c:pt idx="40">
                  <c:v>2054</c:v>
                </c:pt>
                <c:pt idx="41">
                  <c:v>2055</c:v>
                </c:pt>
                <c:pt idx="42">
                  <c:v>2056</c:v>
                </c:pt>
                <c:pt idx="43">
                  <c:v>2057</c:v>
                </c:pt>
                <c:pt idx="44">
                  <c:v>2058</c:v>
                </c:pt>
                <c:pt idx="45">
                  <c:v>2059</c:v>
                </c:pt>
                <c:pt idx="46">
                  <c:v>2060</c:v>
                </c:pt>
                <c:pt idx="47">
                  <c:v>2061</c:v>
                </c:pt>
                <c:pt idx="48">
                  <c:v>2062</c:v>
                </c:pt>
                <c:pt idx="49">
                  <c:v>2063</c:v>
                </c:pt>
                <c:pt idx="50">
                  <c:v>2064</c:v>
                </c:pt>
              </c:numCache>
            </c:numRef>
          </c:xVal>
          <c:yVal>
            <c:numRef>
              <c:f>'RetInvSur&amp;TOut'!$B$27:$AZ$27</c:f>
              <c:numCache>
                <c:formatCode>_(* #,##0.00_);_(* \(#,##0.00\);_(* "-"??_);_(@_)</c:formatCode>
                <c:ptCount val="51"/>
                <c:pt idx="0">
                  <c:v>1436.3965918261929</c:v>
                </c:pt>
                <c:pt idx="1">
                  <c:v>1462.6197681999838</c:v>
                </c:pt>
                <c:pt idx="2">
                  <c:v>1490.7670037764929</c:v>
                </c:pt>
                <c:pt idx="3">
                  <c:v>1524.7963524989668</c:v>
                </c:pt>
                <c:pt idx="4">
                  <c:v>1566.0654015898676</c:v>
                </c:pt>
                <c:pt idx="5">
                  <c:v>1611.2007422022862</c:v>
                </c:pt>
                <c:pt idx="6">
                  <c:v>1656.1983944073627</c:v>
                </c:pt>
                <c:pt idx="7">
                  <c:v>1701.3696498821628</c:v>
                </c:pt>
                <c:pt idx="8">
                  <c:v>1749.8677078265948</c:v>
                </c:pt>
                <c:pt idx="9">
                  <c:v>1798.6561342756418</c:v>
                </c:pt>
                <c:pt idx="10">
                  <c:v>1845.0488075121243</c:v>
                </c:pt>
                <c:pt idx="11">
                  <c:v>1891.9154424083204</c:v>
                </c:pt>
                <c:pt idx="12">
                  <c:v>1944.0023772482577</c:v>
                </c:pt>
                <c:pt idx="13">
                  <c:v>1987.8317777446759</c:v>
                </c:pt>
                <c:pt idx="14">
                  <c:v>2035.4800732519502</c:v>
                </c:pt>
                <c:pt idx="15">
                  <c:v>2079.410483365185</c:v>
                </c:pt>
                <c:pt idx="16">
                  <c:v>2121.6804132027</c:v>
                </c:pt>
                <c:pt idx="17">
                  <c:v>2154.652604109498</c:v>
                </c:pt>
                <c:pt idx="18">
                  <c:v>2183.4569658959749</c:v>
                </c:pt>
                <c:pt idx="19">
                  <c:v>2211.2067737489756</c:v>
                </c:pt>
                <c:pt idx="20">
                  <c:v>2236.3476693842349</c:v>
                </c:pt>
                <c:pt idx="21">
                  <c:v>2259.9673058691628</c:v>
                </c:pt>
                <c:pt idx="22">
                  <c:v>2284.41364517385</c:v>
                </c:pt>
                <c:pt idx="23">
                  <c:v>2313.942458944749</c:v>
                </c:pt>
                <c:pt idx="24">
                  <c:v>2350.929212707189</c:v>
                </c:pt>
                <c:pt idx="25">
                  <c:v>2390.1319695298153</c:v>
                </c:pt>
                <c:pt idx="26">
                  <c:v>2430.3314680332246</c:v>
                </c:pt>
                <c:pt idx="27">
                  <c:v>2472.5196891011087</c:v>
                </c:pt>
                <c:pt idx="28">
                  <c:v>2515.9337784395034</c:v>
                </c:pt>
                <c:pt idx="29">
                  <c:v>2546.3467182488293</c:v>
                </c:pt>
                <c:pt idx="30">
                  <c:v>2569.0170986122371</c:v>
                </c:pt>
                <c:pt idx="31">
                  <c:v>2582.6917247804186</c:v>
                </c:pt>
                <c:pt idx="32">
                  <c:v>2593.8128183752442</c:v>
                </c:pt>
                <c:pt idx="33">
                  <c:v>2600.8018694633497</c:v>
                </c:pt>
                <c:pt idx="34">
                  <c:v>2604.5934989591706</c:v>
                </c:pt>
                <c:pt idx="35">
                  <c:v>2607.5727771167954</c:v>
                </c:pt>
                <c:pt idx="36">
                  <c:v>2607.6858827598071</c:v>
                </c:pt>
                <c:pt idx="37">
                  <c:v>2607.4057193412823</c:v>
                </c:pt>
                <c:pt idx="38">
                  <c:v>2603.6630263029983</c:v>
                </c:pt>
                <c:pt idx="39">
                  <c:v>2598.7670137098639</c:v>
                </c:pt>
                <c:pt idx="40">
                  <c:v>2592.0041272822145</c:v>
                </c:pt>
                <c:pt idx="41">
                  <c:v>2584.8697551137466</c:v>
                </c:pt>
                <c:pt idx="42">
                  <c:v>2575.9309427408357</c:v>
                </c:pt>
                <c:pt idx="43">
                  <c:v>2566.317909812632</c:v>
                </c:pt>
                <c:pt idx="44">
                  <c:v>2555.2747639447439</c:v>
                </c:pt>
                <c:pt idx="45">
                  <c:v>2543.5796000740047</c:v>
                </c:pt>
                <c:pt idx="46">
                  <c:v>2531.3083662856548</c:v>
                </c:pt>
                <c:pt idx="47">
                  <c:v>2519.4154557976203</c:v>
                </c:pt>
                <c:pt idx="48">
                  <c:v>2506.7925797935659</c:v>
                </c:pt>
                <c:pt idx="49">
                  <c:v>2494.7843996472966</c:v>
                </c:pt>
                <c:pt idx="50">
                  <c:v>2482.3234864000383</c:v>
                </c:pt>
              </c:numCache>
            </c:numRef>
          </c:yVal>
          <c:smooth val="1"/>
          <c:extLs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 xmlns:c16r2="http://schemas.microsoft.com/office/drawing/2015/06/chart">
            <c:ext xmlns:c16="http://schemas.microsoft.com/office/drawing/2014/chart" uri="{C3380CC4-5D6E-409C-BE32-E72D297353CC}">
              <c16:uniqueId val="{00000000-3D04-44F0-A40E-F63EE3E01464}"/>
            </c:ext>
          </c:extLst>
        </c:ser>
        <c:ser>
          <c:idx val="1"/>
          <c:order val="1"/>
          <c:tx>
            <c:v>PensExp_With2013Reform</c:v>
          </c:tx>
          <c:spPr>
            <a:ln>
              <a:solidFill>
                <a:srgbClr val="004494"/>
              </a:solidFill>
            </a:ln>
          </c:spPr>
          <c:marker>
            <c:symbol val="none"/>
          </c:marker>
          <c:xVal>
            <c:numRef>
              <c:f>'RetInvSur&amp;TOut'!$B$26:$AZ$26</c:f>
              <c:numCache>
                <c:formatCode>General</c:formatCode>
                <c:ptCount val="51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  <c:pt idx="16">
                  <c:v>2030</c:v>
                </c:pt>
                <c:pt idx="17">
                  <c:v>2031</c:v>
                </c:pt>
                <c:pt idx="18">
                  <c:v>2032</c:v>
                </c:pt>
                <c:pt idx="19">
                  <c:v>2033</c:v>
                </c:pt>
                <c:pt idx="20">
                  <c:v>2034</c:v>
                </c:pt>
                <c:pt idx="21">
                  <c:v>2035</c:v>
                </c:pt>
                <c:pt idx="22">
                  <c:v>2036</c:v>
                </c:pt>
                <c:pt idx="23">
                  <c:v>2037</c:v>
                </c:pt>
                <c:pt idx="24">
                  <c:v>2038</c:v>
                </c:pt>
                <c:pt idx="25">
                  <c:v>2039</c:v>
                </c:pt>
                <c:pt idx="26">
                  <c:v>2040</c:v>
                </c:pt>
                <c:pt idx="27">
                  <c:v>2041</c:v>
                </c:pt>
                <c:pt idx="28">
                  <c:v>2042</c:v>
                </c:pt>
                <c:pt idx="29">
                  <c:v>2043</c:v>
                </c:pt>
                <c:pt idx="30">
                  <c:v>2044</c:v>
                </c:pt>
                <c:pt idx="31">
                  <c:v>2045</c:v>
                </c:pt>
                <c:pt idx="32">
                  <c:v>2046</c:v>
                </c:pt>
                <c:pt idx="33">
                  <c:v>2047</c:v>
                </c:pt>
                <c:pt idx="34">
                  <c:v>2048</c:v>
                </c:pt>
                <c:pt idx="35">
                  <c:v>2049</c:v>
                </c:pt>
                <c:pt idx="36">
                  <c:v>2050</c:v>
                </c:pt>
                <c:pt idx="37">
                  <c:v>2051</c:v>
                </c:pt>
                <c:pt idx="38">
                  <c:v>2052</c:v>
                </c:pt>
                <c:pt idx="39">
                  <c:v>2053</c:v>
                </c:pt>
                <c:pt idx="40">
                  <c:v>2054</c:v>
                </c:pt>
                <c:pt idx="41">
                  <c:v>2055</c:v>
                </c:pt>
                <c:pt idx="42">
                  <c:v>2056</c:v>
                </c:pt>
                <c:pt idx="43">
                  <c:v>2057</c:v>
                </c:pt>
                <c:pt idx="44">
                  <c:v>2058</c:v>
                </c:pt>
                <c:pt idx="45">
                  <c:v>2059</c:v>
                </c:pt>
                <c:pt idx="46">
                  <c:v>2060</c:v>
                </c:pt>
                <c:pt idx="47">
                  <c:v>2061</c:v>
                </c:pt>
                <c:pt idx="48">
                  <c:v>2062</c:v>
                </c:pt>
                <c:pt idx="49">
                  <c:v>2063</c:v>
                </c:pt>
                <c:pt idx="50">
                  <c:v>2064</c:v>
                </c:pt>
              </c:numCache>
            </c:numRef>
          </c:xVal>
          <c:yVal>
            <c:numRef>
              <c:f>'RetInvSur&amp;TOut'!$B$28:$AZ$28</c:f>
              <c:numCache>
                <c:formatCode>_(* #,##0.00_);_(* \(#,##0.00\);_(* "-"??_);_(@_)</c:formatCode>
                <c:ptCount val="51"/>
                <c:pt idx="0">
                  <c:v>1436.3965918261929</c:v>
                </c:pt>
                <c:pt idx="1">
                  <c:v>1439.2633142672084</c:v>
                </c:pt>
                <c:pt idx="2">
                  <c:v>1445.1033957316686</c:v>
                </c:pt>
                <c:pt idx="3">
                  <c:v>1457.355502314819</c:v>
                </c:pt>
                <c:pt idx="4">
                  <c:v>1477.5904136864567</c:v>
                </c:pt>
                <c:pt idx="5">
                  <c:v>1505.7795354013936</c:v>
                </c:pt>
                <c:pt idx="6">
                  <c:v>1539.1564529660109</c:v>
                </c:pt>
                <c:pt idx="7">
                  <c:v>1578.0573906741708</c:v>
                </c:pt>
                <c:pt idx="8">
                  <c:v>1618.3391576473523</c:v>
                </c:pt>
                <c:pt idx="9">
                  <c:v>1660.0834967279566</c:v>
                </c:pt>
                <c:pt idx="10">
                  <c:v>1702.6036971647698</c:v>
                </c:pt>
                <c:pt idx="11">
                  <c:v>1749.5806894261623</c:v>
                </c:pt>
                <c:pt idx="12">
                  <c:v>1794.0198560054996</c:v>
                </c:pt>
                <c:pt idx="13">
                  <c:v>1835.336849837028</c:v>
                </c:pt>
                <c:pt idx="14">
                  <c:v>1878.2379066535814</c:v>
                </c:pt>
                <c:pt idx="15">
                  <c:v>1926.1953655779348</c:v>
                </c:pt>
                <c:pt idx="16">
                  <c:v>1965.0363763871669</c:v>
                </c:pt>
                <c:pt idx="17">
                  <c:v>2007.2058926804762</c:v>
                </c:pt>
                <c:pt idx="18">
                  <c:v>2044.2280540555385</c:v>
                </c:pt>
                <c:pt idx="19">
                  <c:v>2079.4196838201678</c:v>
                </c:pt>
                <c:pt idx="20">
                  <c:v>2103.5373834879115</c:v>
                </c:pt>
                <c:pt idx="21">
                  <c:v>2123.2690430243938</c:v>
                </c:pt>
                <c:pt idx="22">
                  <c:v>2139.2503700186053</c:v>
                </c:pt>
                <c:pt idx="23">
                  <c:v>2152.9715818309223</c:v>
                </c:pt>
                <c:pt idx="24">
                  <c:v>2163.7900250276266</c:v>
                </c:pt>
                <c:pt idx="25">
                  <c:v>2174.5851411083636</c:v>
                </c:pt>
                <c:pt idx="26">
                  <c:v>2188.7985049075101</c:v>
                </c:pt>
                <c:pt idx="27">
                  <c:v>2208.3778437983806</c:v>
                </c:pt>
                <c:pt idx="28">
                  <c:v>2227.8225417723224</c:v>
                </c:pt>
                <c:pt idx="29">
                  <c:v>2246.7526347153912</c:v>
                </c:pt>
                <c:pt idx="30">
                  <c:v>2264.6992908234201</c:v>
                </c:pt>
                <c:pt idx="31">
                  <c:v>2282.3609899355661</c:v>
                </c:pt>
                <c:pt idx="32">
                  <c:v>2284.0955558403148</c:v>
                </c:pt>
                <c:pt idx="33">
                  <c:v>2276.8613264213554</c:v>
                </c:pt>
                <c:pt idx="34">
                  <c:v>2260.6756034153123</c:v>
                </c:pt>
                <c:pt idx="35">
                  <c:v>2242.1433785505019</c:v>
                </c:pt>
                <c:pt idx="36">
                  <c:v>2220.2011280447964</c:v>
                </c:pt>
                <c:pt idx="37">
                  <c:v>2196.2236887241793</c:v>
                </c:pt>
                <c:pt idx="38">
                  <c:v>2171.571197317267</c:v>
                </c:pt>
                <c:pt idx="39">
                  <c:v>2145.8856338173323</c:v>
                </c:pt>
                <c:pt idx="40">
                  <c:v>2120.4671305163147</c:v>
                </c:pt>
                <c:pt idx="41">
                  <c:v>2094.7206719354394</c:v>
                </c:pt>
                <c:pt idx="42">
                  <c:v>2068.5221113171528</c:v>
                </c:pt>
                <c:pt idx="43">
                  <c:v>2042.9485653426716</c:v>
                </c:pt>
                <c:pt idx="44">
                  <c:v>2017.3731810620291</c:v>
                </c:pt>
                <c:pt idx="45">
                  <c:v>1992.3787224923935</c:v>
                </c:pt>
                <c:pt idx="46">
                  <c:v>1967.4840370970815</c:v>
                </c:pt>
                <c:pt idx="47">
                  <c:v>1943.3899892154527</c:v>
                </c:pt>
                <c:pt idx="48">
                  <c:v>1919.3508510777108</c:v>
                </c:pt>
                <c:pt idx="49">
                  <c:v>1896.1824480003384</c:v>
                </c:pt>
                <c:pt idx="50">
                  <c:v>1873.0931312227644</c:v>
                </c:pt>
              </c:numCache>
            </c:numRef>
          </c:yVal>
          <c:smooth val="1"/>
          <c:extLs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 xmlns:c16r2="http://schemas.microsoft.com/office/drawing/2015/06/chart">
            <c:ext xmlns:c16="http://schemas.microsoft.com/office/drawing/2014/chart" uri="{C3380CC4-5D6E-409C-BE32-E72D297353CC}">
              <c16:uniqueId val="{00000001-3D04-44F0-A40E-F63EE3E014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269120"/>
        <c:axId val="81270656"/>
      </c:scatterChart>
      <c:valAx>
        <c:axId val="8126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270656"/>
        <c:crosses val="autoZero"/>
        <c:crossBetween val="midCat"/>
      </c:valAx>
      <c:valAx>
        <c:axId val="81270656"/>
        <c:scaling>
          <c:orientation val="minMax"/>
          <c:max val="2700"/>
          <c:min val="140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_(* #,##0_);_(* \(#,##0\);_(* &quot;-&quot;_);_(@_)" sourceLinked="0"/>
        <c:majorTickMark val="out"/>
        <c:minorTickMark val="none"/>
        <c:tickLblPos val="nextTo"/>
        <c:crossAx val="8126912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0.45403</cdr:x>
      <cdr:y>0.37686</cdr:y>
    </cdr:from>
    <cdr:to>
      <cdr:x>0.73915</cdr:x>
      <cdr:y>0.55064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53092" y="730122"/>
          <a:ext cx="1352108" cy="3366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mt-MT"/>
            <a:t>Bir-riforma tal-2013</a:t>
          </a:r>
        </a:p>
      </cdr:txBody>
    </cdr:sp>
  </cdr:relSizeAnchor>
  <cdr:relSizeAnchor xmlns:cdr="http://schemas.openxmlformats.org/drawingml/2006/chartDrawing">
    <cdr:from>
      <cdr:x>0.22036</cdr:x>
      <cdr:y>0.11399</cdr:y>
    </cdr:from>
    <cdr:to>
      <cdr:x>0.55437</cdr:x>
      <cdr:y>0.36381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44987" y="220850"/>
          <a:ext cx="1583913" cy="4839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mt-MT"/>
            <a:t>Mingħajr ir-riforma tal-2013</a:t>
          </a:r>
        </a:p>
      </cdr:txBody>
    </cdr:sp>
  </cdr:relSizeAnchor>
  <cdr:relSizeAnchor xmlns:cdr="http://schemas.openxmlformats.org/drawingml/2006/chartDrawing">
    <cdr:from>
      <cdr:x>0.87689</cdr:x>
      <cdr:y>0.18607</cdr:y>
    </cdr:from>
    <cdr:to>
      <cdr:x>0.87689</cdr:x>
      <cdr:y>0.58607</cdr:y>
    </cdr:to>
    <cdr:cxnSp macro="">
      <cdr:nvCxnSpPr>
        <cdr:cNvPr id="5" name="Straight Arrow Connector 4"/>
        <cdr:cNvCxnSpPr/>
      </cdr:nvCxnSpPr>
      <cdr:spPr>
        <a:xfrm xmlns:a="http://schemas.openxmlformats.org/drawingml/2006/main">
          <a:off x="5509248" y="531681"/>
          <a:ext cx="0" cy="1143000"/>
        </a:xfrm>
        <a:prstGeom xmlns:a="http://schemas.openxmlformats.org/drawingml/2006/main" prst="straightConnector1">
          <a:avLst/>
        </a:prstGeom>
        <a:ln xmlns:a="http://schemas.openxmlformats.org/drawingml/2006/main">
          <a:headEnd type="arrow"/>
          <a:tailEnd type="arrow"/>
        </a:ln>
      </cdr:spPr>
      <cdr:style>
        <a:lnRef xmlns:a="http://schemas.openxmlformats.org/drawingml/2006/main" idx="3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2">
          <a:schemeClr val="accent3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A9E100-A643-4AA4-8670-C0E3951E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3544</Words>
  <Characters>26020</Characters>
  <Application>Microsoft Office Word</Application>
  <DocSecurity>0</DocSecurity>
  <Lines>578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23</cp:revision>
  <dcterms:created xsi:type="dcterms:W3CDTF">2018-12-03T11:49:00Z</dcterms:created>
  <dcterms:modified xsi:type="dcterms:W3CDTF">2018-12-17T14:51:00Z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