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4C2EFC6-35F8-45F1-B569-D5E5ED2BD587" style="width:450.8pt;height:447.65pt">
            <v:imagedata r:id="rId12" o:title=""/>
          </v:shape>
        </w:pict>
      </w:r>
    </w:p>
    <w:bookmarkEnd w:id="0"/>
    <w:p>
      <w:pPr>
        <w:rPr>
          <w:b/>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itle"/>
        <w:spacing w:before="0" w:after="240"/>
        <w:rPr>
          <w:rFonts w:ascii="Times New Roman" w:hAnsi="Times New Roman"/>
          <w:i/>
          <w:noProof/>
          <w:sz w:val="24"/>
          <w:szCs w:val="24"/>
        </w:rPr>
      </w:pPr>
      <w:bookmarkStart w:id="1" w:name="_Toc463018899"/>
      <w:bookmarkStart w:id="2" w:name="_GoBack"/>
      <w:bookmarkEnd w:id="2"/>
      <w:r>
        <w:rPr>
          <w:rFonts w:ascii="Times New Roman" w:hAnsi="Times New Roman"/>
          <w:i/>
          <w:noProof/>
          <w:sz w:val="24"/>
        </w:rPr>
        <w:lastRenderedPageBreak/>
        <w:t>ANHANG 1.1</w:t>
      </w:r>
    </w:p>
    <w:p>
      <w:pPr>
        <w:pStyle w:val="Title"/>
        <w:spacing w:before="0" w:after="120"/>
        <w:rPr>
          <w:rFonts w:ascii="Times New Roman" w:hAnsi="Times New Roman"/>
          <w:noProof/>
          <w:sz w:val="24"/>
          <w:szCs w:val="24"/>
        </w:rPr>
      </w:pPr>
      <w:r>
        <w:rPr>
          <w:rFonts w:ascii="Times New Roman" w:hAnsi="Times New Roman"/>
          <w:noProof/>
          <w:sz w:val="24"/>
        </w:rPr>
        <w:t>ESI-Fonds – Kumulierte finanzielle Durchführung nach thematischem Ziel, gemeldet durch Programme bis 31. Dezember 2017 (in Gesamtkosten, mit Auswahl- und Ausgabenvolumen)</w:t>
      </w:r>
    </w:p>
    <w:tbl>
      <w:tblPr>
        <w:tblW w:w="5000" w:type="pct"/>
        <w:tblInd w:w="108" w:type="dxa"/>
        <w:tblLayout w:type="fixed"/>
        <w:tblLook w:val="04A0" w:firstRow="1" w:lastRow="0" w:firstColumn="1" w:lastColumn="0" w:noHBand="0" w:noVBand="1"/>
      </w:tblPr>
      <w:tblGrid>
        <w:gridCol w:w="536"/>
        <w:gridCol w:w="2277"/>
        <w:gridCol w:w="1339"/>
        <w:gridCol w:w="1337"/>
        <w:gridCol w:w="1337"/>
        <w:gridCol w:w="1071"/>
        <w:gridCol w:w="936"/>
      </w:tblGrid>
      <w:tr>
        <w:trPr>
          <w:trHeight w:val="334"/>
        </w:trPr>
        <w:tc>
          <w:tcPr>
            <w:tcW w:w="303" w:type="pct"/>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1289" w:type="pct"/>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Thematische Ziele</w:t>
            </w:r>
          </w:p>
        </w:tc>
        <w:tc>
          <w:tcPr>
            <w:tcW w:w="758"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Vorgesehener Gesamtbetrag</w:t>
            </w:r>
          </w:p>
        </w:tc>
        <w:tc>
          <w:tcPr>
            <w:tcW w:w="757"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Förderfähige Gesamtkosten ausgewählter Projekte</w:t>
            </w:r>
          </w:p>
        </w:tc>
        <w:tc>
          <w:tcPr>
            <w:tcW w:w="757"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Gesamtausgaben, gemeldet durch ausgewählte Pro</w:t>
            </w:r>
            <w:r>
              <w:rPr>
                <w:b/>
                <w:noProof/>
              </w:rPr>
              <w:t xml:space="preserve">jekte </w:t>
            </w:r>
          </w:p>
        </w:tc>
        <w:tc>
          <w:tcPr>
            <w:tcW w:w="606"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Auswahlquote</w:t>
            </w:r>
          </w:p>
        </w:tc>
        <w:tc>
          <w:tcPr>
            <w:tcW w:w="530"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Ausgabenquote</w:t>
            </w:r>
          </w:p>
        </w:tc>
      </w:tr>
      <w:tr>
        <w:trPr>
          <w:trHeight w:val="254"/>
        </w:trPr>
        <w:tc>
          <w:tcPr>
            <w:tcW w:w="303" w:type="pct"/>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1289" w:type="pct"/>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758"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Mio.</w:t>
            </w:r>
            <w:r>
              <w:rPr>
                <w:b/>
                <w:noProof/>
              </w:rPr>
              <w:t> EUR</w:t>
            </w:r>
          </w:p>
        </w:tc>
        <w:tc>
          <w:tcPr>
            <w:tcW w:w="757"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Mio. EUR</w:t>
            </w:r>
          </w:p>
        </w:tc>
        <w:tc>
          <w:tcPr>
            <w:tcW w:w="757"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Mio. EUR</w:t>
            </w:r>
          </w:p>
        </w:tc>
        <w:tc>
          <w:tcPr>
            <w:tcW w:w="606"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530"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Forschung und Innovation</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60 175,6 </w:t>
            </w:r>
          </w:p>
        </w:tc>
        <w:tc>
          <w:tcPr>
            <w:tcW w:w="757"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30 670,2 </w:t>
            </w:r>
          </w:p>
        </w:tc>
        <w:tc>
          <w:tcPr>
            <w:tcW w:w="757"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4 895,9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51,0 %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8,1 %</w:t>
            </w:r>
          </w:p>
        </w:tc>
      </w:tr>
      <w:tr>
        <w:trPr>
          <w:trHeight w:val="36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Informations- und Kommunikationstechnologien</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18 368,0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8 772,9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900,8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4,9 %</w:t>
            </w:r>
          </w:p>
        </w:tc>
      </w:tr>
      <w:tr>
        <w:trPr>
          <w:trHeight w:val="192"/>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Wettbewerbsfähigkeit von KMU</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85 401,9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47 014,7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15 378,3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55,1 %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18,0 %</w:t>
            </w:r>
          </w:p>
        </w:tc>
      </w:tr>
      <w:tr>
        <w:trPr>
          <w:trHeight w:val="168"/>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CO</w:t>
            </w:r>
            <w:r>
              <w:rPr>
                <w:b/>
                <w:noProof/>
                <w:sz w:val="20"/>
                <w:vertAlign w:val="subscript"/>
              </w:rPr>
              <w:t>2</w:t>
            </w:r>
            <w:r>
              <w:rPr>
                <w:b/>
                <w:noProof/>
                <w:sz w:val="20"/>
              </w:rPr>
              <w:t>-arme Wirtschaft</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52 095,1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23 333,0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3 774,7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44,8 %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7,2 %</w:t>
            </w:r>
          </w:p>
        </w:tc>
      </w:tr>
      <w:tr>
        <w:trPr>
          <w:trHeight w:val="31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Anpassung an den Klimawandel und Risikoprävention</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38 069,3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22 134,9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12 613,0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33,1 %</w:t>
            </w:r>
          </w:p>
        </w:tc>
      </w:tr>
      <w:tr>
        <w:trPr>
          <w:trHeight w:val="34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Umweltschutz und Ressourceneffizienz</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73 147,4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38 091,3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15 917,9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21,8 %</w:t>
            </w:r>
          </w:p>
        </w:tc>
      </w:tr>
      <w:tr>
        <w:trPr>
          <w:trHeight w:val="483"/>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Netzinfrastrukturen in den Bereichen Verkehr und Energie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66 372,3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41 368,9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11 548,9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62,3 %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17,4 %</w:t>
            </w:r>
          </w:p>
        </w:tc>
      </w:tr>
      <w:tr>
        <w:trPr>
          <w:trHeight w:val="35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Nachhaltige und hochwertige Beschäftigung</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48 788,3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24 764,5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8 210,6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50,8 %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16,8 %</w:t>
            </w:r>
          </w:p>
        </w:tc>
      </w:tr>
      <w:tr>
        <w:trPr>
          <w:trHeight w:val="28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Soziale Inklusion</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53 986,2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25 008,9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5 616,2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46,3 %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10,4 %</w:t>
            </w:r>
          </w:p>
        </w:tc>
      </w:tr>
      <w:tr>
        <w:trPr>
          <w:trHeight w:val="30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Allgemeine und berufliche Bildung</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40 981,3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21 296,0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5 241,9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52,0</w:t>
            </w:r>
            <w:r>
              <w:rPr>
                <w:noProof/>
              </w:rPr>
              <w:t>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12,8 %</w:t>
            </w:r>
          </w:p>
        </w:tc>
      </w:tr>
      <w:tr>
        <w:trPr>
          <w:trHeight w:val="17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Effiziente öffentliche Verwaltung</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6 109,3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2 936,4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351,9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5,8 %</w:t>
            </w:r>
          </w:p>
        </w:tc>
      </w:tr>
      <w:tr>
        <w:trPr>
          <w:trHeight w:val="424"/>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Regionen in äußerster Randlage und mit geringer Bevölkerungsdichte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220,5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428,4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225,3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194,2 %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102,2 %</w:t>
            </w:r>
          </w:p>
        </w:tc>
      </w:tr>
      <w:tr>
        <w:trPr>
          <w:trHeight w:val="182"/>
        </w:trPr>
        <w:tc>
          <w:tcPr>
            <w:tcW w:w="303" w:type="pct"/>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EM</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Eingestellte Maßnahmen</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176,3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56,9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0,0 %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32,3 %</w:t>
            </w:r>
          </w:p>
        </w:tc>
      </w:tr>
      <w:tr>
        <w:trPr>
          <w:trHeight w:val="462"/>
        </w:trPr>
        <w:tc>
          <w:tcPr>
            <w:tcW w:w="303" w:type="pct"/>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Themenübergreifende Ziele (EFRE/KF/ESF)</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81 042,3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43 357,8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8 161,4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53,5 %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10,1 %</w:t>
            </w:r>
          </w:p>
        </w:tc>
      </w:tr>
      <w:tr>
        <w:trPr>
          <w:trHeight w:val="141"/>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TH</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Technische Hilfe</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19 097,8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9 010,2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2 791,5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47,2 %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14,6 %</w:t>
            </w:r>
          </w:p>
        </w:tc>
      </w:tr>
      <w:tr>
        <w:trPr>
          <w:trHeight w:val="290"/>
        </w:trPr>
        <w:tc>
          <w:tcPr>
            <w:tcW w:w="303" w:type="pct"/>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1289" w:type="pct"/>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Insgesamt</w:t>
            </w:r>
          </w:p>
        </w:tc>
        <w:tc>
          <w:tcPr>
            <w:tcW w:w="758" w:type="pct"/>
            <w:tcBorders>
              <w:top w:val="nil"/>
              <w:left w:val="single" w:sz="4" w:space="0" w:color="auto"/>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644 031,6 </w:t>
            </w:r>
          </w:p>
        </w:tc>
        <w:tc>
          <w:tcPr>
            <w:tcW w:w="757"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center"/>
              <w:rPr>
                <w:b/>
                <w:bCs/>
                <w:noProof/>
                <w:sz w:val="20"/>
              </w:rPr>
            </w:pPr>
            <w:r>
              <w:rPr>
                <w:b/>
                <w:noProof/>
                <w:sz w:val="20"/>
              </w:rPr>
              <w:t xml:space="preserve">338 188,2 </w:t>
            </w:r>
          </w:p>
        </w:tc>
        <w:tc>
          <w:tcPr>
            <w:tcW w:w="757"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95 685,3 </w:t>
            </w:r>
          </w:p>
        </w:tc>
        <w:tc>
          <w:tcPr>
            <w:tcW w:w="606"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52,5 %</w:t>
            </w:r>
          </w:p>
        </w:tc>
        <w:tc>
          <w:tcPr>
            <w:tcW w:w="530"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14,9 %</w:t>
            </w:r>
          </w:p>
        </w:tc>
      </w:tr>
    </w:tbl>
    <w:p>
      <w:pPr>
        <w:rPr>
          <w:i/>
          <w:noProof/>
          <w:sz w:val="20"/>
        </w:rPr>
      </w:pPr>
      <w:r>
        <w:rPr>
          <w:i/>
          <w:noProof/>
          <w:sz w:val="20"/>
        </w:rPr>
        <w:t xml:space="preserve">Quelle: Europäische Kommission, basierend auf den durch Programme gemeldeten Daten, verfügbar auf der Offenen Datenplattform der ESI-Fonds unter: </w:t>
      </w:r>
      <w:r>
        <w:rPr>
          <w:rStyle w:val="Hyperlink"/>
          <w:i/>
          <w:noProof/>
          <w:sz w:val="20"/>
        </w:rPr>
        <w:t>https://cohesiondata.ec.europa.eu/d/99js-gm52</w:t>
      </w:r>
      <w:r>
        <w:rPr>
          <w:i/>
          <w:noProof/>
          <w:sz w:val="20"/>
        </w:rPr>
        <w:t>.</w:t>
      </w:r>
      <w:r>
        <w:rPr>
          <w:rStyle w:val="Hyperlink"/>
          <w:i/>
          <w:noProof/>
          <w:sz w:val="20"/>
        </w:rPr>
        <w:t xml:space="preserve">  </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ANHANG 1.2</w:t>
      </w:r>
    </w:p>
    <w:p>
      <w:pPr>
        <w:pStyle w:val="Title"/>
        <w:spacing w:before="0" w:after="120"/>
        <w:rPr>
          <w:noProof/>
        </w:rPr>
      </w:pPr>
      <w:r>
        <w:rPr>
          <w:rFonts w:ascii="Times New Roman" w:hAnsi="Times New Roman"/>
          <w:noProof/>
          <w:sz w:val="24"/>
        </w:rPr>
        <w:t>ESI-Fonds – Kumulierte finanzielle Durchführung nach thematischem Ziel, gemeldet durch Programme bis Herbst 2018 (in Gesamtkosten, mit Auswahl- und Ausgabenvolumen) (Stand 8.11.2018)</w:t>
      </w:r>
    </w:p>
    <w:tbl>
      <w:tblPr>
        <w:tblW w:w="4985" w:type="pct"/>
        <w:tblInd w:w="108" w:type="dxa"/>
        <w:tblLayout w:type="fixed"/>
        <w:tblLook w:val="04A0" w:firstRow="1" w:lastRow="0" w:firstColumn="1" w:lastColumn="0" w:noHBand="0" w:noVBand="1"/>
      </w:tblPr>
      <w:tblGrid>
        <w:gridCol w:w="402"/>
        <w:gridCol w:w="2445"/>
        <w:gridCol w:w="1355"/>
        <w:gridCol w:w="1219"/>
        <w:gridCol w:w="1355"/>
        <w:gridCol w:w="1083"/>
        <w:gridCol w:w="948"/>
      </w:tblGrid>
      <w:tr>
        <w:trPr>
          <w:trHeight w:val="334"/>
        </w:trPr>
        <w:tc>
          <w:tcPr>
            <w:tcW w:w="228" w:type="pct"/>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1388" w:type="pct"/>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Thematische Ziele</w:t>
            </w:r>
          </w:p>
        </w:tc>
        <w:tc>
          <w:tcPr>
            <w:tcW w:w="76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Vorgesehener Gesamtbetrag</w:t>
            </w:r>
          </w:p>
        </w:tc>
        <w:tc>
          <w:tcPr>
            <w:tcW w:w="692"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Förderfähige Gesamtkosten ausgewählter Projekte</w:t>
            </w:r>
          </w:p>
        </w:tc>
        <w:tc>
          <w:tcPr>
            <w:tcW w:w="76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Gesamtausgaben, gemeldet durch ausgewählte Pro</w:t>
            </w:r>
            <w:r>
              <w:rPr>
                <w:b/>
                <w:noProof/>
              </w:rPr>
              <w:t xml:space="preserve">jekte </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Auswahlquote</w:t>
            </w:r>
          </w:p>
        </w:tc>
        <w:tc>
          <w:tcPr>
            <w:tcW w:w="538"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Ausgabenquote</w:t>
            </w:r>
          </w:p>
        </w:tc>
      </w:tr>
      <w:tr>
        <w:trPr>
          <w:trHeight w:val="254"/>
        </w:trPr>
        <w:tc>
          <w:tcPr>
            <w:tcW w:w="228" w:type="pct"/>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1388" w:type="pct"/>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769"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Mio. EUR</w:t>
            </w:r>
          </w:p>
        </w:tc>
        <w:tc>
          <w:tcPr>
            <w:tcW w:w="692"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Mio. EUR</w:t>
            </w:r>
          </w:p>
        </w:tc>
        <w:tc>
          <w:tcPr>
            <w:tcW w:w="769"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Mio. EUR</w:t>
            </w: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538"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Forschung und Innovation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60 251,6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39 600,6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8 413,9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14,0 %</w:t>
            </w:r>
          </w:p>
        </w:tc>
      </w:tr>
      <w:tr>
        <w:trPr>
          <w:trHeight w:val="36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Informations- und Kommunikationstechnologien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18 055,1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11 162,9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1 502,4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61,8 %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w:t>
            </w:r>
          </w:p>
        </w:tc>
      </w:tr>
      <w:tr>
        <w:trPr>
          <w:trHeight w:val="192"/>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Wettbewerbsfähigkeit von KMU</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86 446,5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52 156,7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22 151,7</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25,6 %</w:t>
            </w:r>
          </w:p>
        </w:tc>
      </w:tr>
      <w:tr>
        <w:trPr>
          <w:trHeight w:val="168"/>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CO</w:t>
            </w:r>
            <w:r>
              <w:rPr>
                <w:b/>
                <w:noProof/>
                <w:sz w:val="20"/>
                <w:vertAlign w:val="subscript"/>
              </w:rPr>
              <w:t>2</w:t>
            </w:r>
            <w:r>
              <w:rPr>
                <w:b/>
                <w:noProof/>
                <w:sz w:val="20"/>
              </w:rPr>
              <w:t>-arme Wirtschaft</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49 771,9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28 027,6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6 162,4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12,4 %</w:t>
            </w:r>
          </w:p>
        </w:tc>
      </w:tr>
      <w:tr>
        <w:trPr>
          <w:trHeight w:val="31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Anpassung an den Klimawandel und Risikoprävention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38 617,5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23 045,2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14 883,8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59,7 %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38,5 %</w:t>
            </w:r>
          </w:p>
        </w:tc>
      </w:tr>
      <w:tr>
        <w:trPr>
          <w:trHeight w:val="34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Umweltschutz und Ressourceneffizienz</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73 673,9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43 091,8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19 699,2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58,5 %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26,7 %</w:t>
            </w:r>
          </w:p>
        </w:tc>
      </w:tr>
      <w:tr>
        <w:trPr>
          <w:trHeight w:val="483"/>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Netzinfrastrukturen in den Bereichen Verkehr und Energie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66 171,4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49 416,5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16 010,2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74,7 %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24,2 %</w:t>
            </w:r>
          </w:p>
        </w:tc>
      </w:tr>
      <w:tr>
        <w:trPr>
          <w:trHeight w:val="35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Nachhaltige und hochwertige Beschäftigung</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49 543,1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30 035,8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11 281,0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60,6 %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22,8 %</w:t>
            </w:r>
          </w:p>
        </w:tc>
      </w:tr>
      <w:tr>
        <w:trPr>
          <w:trHeight w:val="28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Soziale Inklusion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54 105,7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29 971,0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9 512,2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55,4 %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17,6 %</w:t>
            </w:r>
          </w:p>
        </w:tc>
      </w:tr>
      <w:tr>
        <w:trPr>
          <w:trHeight w:val="30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Allgemeine und berufliche Bildung</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40 662,1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26 549,8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8 464,3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20,8 %</w:t>
            </w:r>
          </w:p>
        </w:tc>
      </w:tr>
      <w:tr>
        <w:trPr>
          <w:trHeight w:val="17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Effiziente öffentliche Verwaltung</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6 145,7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3 743,2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723,2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60,9 %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11,8 %</w:t>
            </w:r>
          </w:p>
        </w:tc>
      </w:tr>
      <w:tr>
        <w:trPr>
          <w:trHeight w:val="424"/>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Regionen in äußerster Randlage und mit geringer Bevölkerungsdichte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220,5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527,8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334,0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239,3 %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151,4 %</w:t>
            </w:r>
          </w:p>
        </w:tc>
      </w:tr>
      <w:tr>
        <w:trPr>
          <w:trHeight w:val="182"/>
        </w:trPr>
        <w:tc>
          <w:tcPr>
            <w:tcW w:w="228" w:type="pct"/>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EM</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Eingestellte Maßnahmen</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0,0 %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42,4 %</w:t>
            </w:r>
          </w:p>
        </w:tc>
      </w:tr>
      <w:tr>
        <w:trPr>
          <w:trHeight w:val="462"/>
        </w:trPr>
        <w:tc>
          <w:tcPr>
            <w:tcW w:w="228" w:type="pct"/>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Themenübergreifende Ziele (EFRE/KF/ESF)</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83 770,8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56 268,6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14 085,4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67,2 %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16,8 %</w:t>
            </w:r>
          </w:p>
        </w:tc>
      </w:tr>
      <w:tr>
        <w:trPr>
          <w:trHeight w:val="141"/>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TH</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Technische Hilfe</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19 049,2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11 046,9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4 115,8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21,6 %</w:t>
            </w:r>
          </w:p>
        </w:tc>
      </w:tr>
      <w:tr>
        <w:trPr>
          <w:trHeight w:val="290"/>
        </w:trPr>
        <w:tc>
          <w:tcPr>
            <w:tcW w:w="228" w:type="pct"/>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1388" w:type="pct"/>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Insgesamt</w:t>
            </w:r>
          </w:p>
        </w:tc>
        <w:tc>
          <w:tcPr>
            <w:tcW w:w="769" w:type="pct"/>
            <w:tcBorders>
              <w:top w:val="single" w:sz="4" w:space="0" w:color="auto"/>
              <w:left w:val="nil"/>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646 657,9</w:t>
            </w:r>
          </w:p>
        </w:tc>
        <w:tc>
          <w:tcPr>
            <w:tcW w:w="69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404 644,6</w:t>
            </w:r>
          </w:p>
        </w:tc>
        <w:tc>
          <w:tcPr>
            <w:tcW w:w="76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137 412,5</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62,6 %</w:t>
            </w:r>
          </w:p>
        </w:tc>
        <w:tc>
          <w:tcPr>
            <w:tcW w:w="53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21,2 %</w:t>
            </w:r>
          </w:p>
        </w:tc>
      </w:tr>
    </w:tbl>
    <w:p>
      <w:pPr>
        <w:rPr>
          <w:i/>
          <w:noProof/>
          <w:sz w:val="20"/>
        </w:rPr>
      </w:pPr>
      <w:r>
        <w:rPr>
          <w:i/>
          <w:noProof/>
          <w:sz w:val="20"/>
        </w:rPr>
        <w:t xml:space="preserve">Quelle: Europäische Kommission, basierend auf den durch Programme gemeldeten Daten, verfügbar auf der Offenen Datenplattform der ESI-Fonds unter: </w:t>
      </w:r>
      <w:r>
        <w:rPr>
          <w:rStyle w:val="Hyperlink"/>
          <w:i/>
          <w:noProof/>
          <w:sz w:val="20"/>
        </w:rPr>
        <w:t>https://cohesiondata.ec.europa.eu/d/99js-gm52</w:t>
      </w:r>
      <w:r>
        <w:rPr>
          <w:i/>
          <w:noProof/>
          <w:sz w:val="20"/>
        </w:rPr>
        <w:t>.</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ANHANG 2.1</w:t>
      </w:r>
    </w:p>
    <w:p>
      <w:pPr>
        <w:jc w:val="center"/>
        <w:rPr>
          <w:b/>
          <w:noProof/>
        </w:rPr>
      </w:pPr>
      <w:r>
        <w:rPr>
          <w:b/>
          <w:noProof/>
        </w:rPr>
        <w:t>ESI-Fonds – Kumulierte finanzielle Durchführung nach Mitgliedstaat, gemeldet durch Programme</w:t>
      </w:r>
      <w:bookmarkStart w:id="3" w:name="_Toc463018900"/>
      <w:bookmarkEnd w:id="1"/>
      <w:r>
        <w:rPr>
          <w:b/>
          <w:noProof/>
        </w:rPr>
        <w:t xml:space="preserve"> bis zum 31. Dezember 201</w:t>
      </w:r>
      <w:bookmarkEnd w:id="3"/>
      <w:r>
        <w:rPr>
          <w:b/>
          <w:noProof/>
        </w:rPr>
        <w:t>7 (in Gesamtkosten, mit Auswahl- und Ausgabenvolumen)</w:t>
      </w:r>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pPr>
              <w:spacing w:after="0"/>
              <w:jc w:val="left"/>
              <w:rPr>
                <w:b/>
                <w:noProof/>
                <w:sz w:val="20"/>
              </w:rPr>
            </w:pPr>
            <w:r>
              <w:rPr>
                <w:b/>
                <w:noProof/>
                <w:sz w:val="20"/>
              </w:rPr>
              <w:t> </w:t>
            </w:r>
          </w:p>
        </w:tc>
        <w:tc>
          <w:tcPr>
            <w:tcW w:w="615"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Zugewiesener EU-Betrag</w:t>
            </w:r>
          </w:p>
        </w:tc>
        <w:tc>
          <w:tcPr>
            <w:tcW w:w="76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Vorgesehener Gesamtbetrag</w:t>
            </w:r>
          </w:p>
        </w:tc>
        <w:tc>
          <w:tcPr>
            <w:tcW w:w="84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Förderfähige Gesamtkosten ausgewählter Projekte</w:t>
            </w:r>
          </w:p>
        </w:tc>
        <w:tc>
          <w:tcPr>
            <w:tcW w:w="845"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Gesamtausgaben, gemeldet durch ausgewählte Projekte </w:t>
            </w:r>
          </w:p>
          <w:p>
            <w:pPr>
              <w:spacing w:after="0"/>
              <w:jc w:val="center"/>
              <w:rPr>
                <w:b/>
                <w:bCs/>
                <w:noProof/>
                <w:sz w:val="20"/>
              </w:rPr>
            </w:pPr>
            <w:r>
              <w:rPr>
                <w:b/>
                <w:noProof/>
                <w:sz w:val="20"/>
              </w:rPr>
              <w:t>Ende 2017</w:t>
            </w:r>
          </w:p>
          <w:p>
            <w:pPr>
              <w:spacing w:after="0"/>
              <w:jc w:val="center"/>
              <w:rPr>
                <w:b/>
                <w:bCs/>
                <w:noProof/>
                <w:sz w:val="20"/>
              </w:rPr>
            </w:pPr>
          </w:p>
          <w:p>
            <w:pPr>
              <w:spacing w:after="0"/>
              <w:jc w:val="center"/>
              <w:rPr>
                <w:b/>
                <w:bCs/>
                <w:noProof/>
                <w:sz w:val="20"/>
              </w:rPr>
            </w:pPr>
            <w:r>
              <w:rPr>
                <w:b/>
                <w:noProof/>
                <w:sz w:val="20"/>
              </w:rPr>
              <w:t>Mio. EUR</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Auswahlquote</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Ausgabenquote</w:t>
            </w:r>
          </w:p>
        </w:tc>
      </w:tr>
      <w:tr>
        <w:trPr>
          <w:trHeight w:val="260"/>
        </w:trPr>
        <w:tc>
          <w:tcPr>
            <w:tcW w:w="770" w:type="pct"/>
            <w:vMerge/>
            <w:tcBorders>
              <w:left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w:t>
            </w:r>
          </w:p>
        </w:tc>
        <w:tc>
          <w:tcPr>
            <w:tcW w:w="768"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(EU und national)</w:t>
            </w:r>
          </w:p>
        </w:tc>
        <w:tc>
          <w:tcPr>
            <w:tcW w:w="848"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Ende 2017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70"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Mio. EUR</w:t>
            </w:r>
          </w:p>
        </w:tc>
        <w:tc>
          <w:tcPr>
            <w:tcW w:w="768"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Mio. EUR</w:t>
            </w:r>
          </w:p>
        </w:tc>
        <w:tc>
          <w:tcPr>
            <w:tcW w:w="848" w:type="pct"/>
            <w:tcBorders>
              <w:left w:val="single" w:sz="4" w:space="0" w:color="auto"/>
              <w:right w:val="single" w:sz="4" w:space="0" w:color="auto"/>
            </w:tcBorders>
            <w:shd w:val="clear" w:color="000000" w:fill="8DB4E2"/>
            <w:vAlign w:val="center"/>
          </w:tcPr>
          <w:p>
            <w:pPr>
              <w:spacing w:after="0"/>
              <w:jc w:val="center"/>
              <w:rPr>
                <w:b/>
                <w:noProof/>
                <w:sz w:val="20"/>
              </w:rPr>
            </w:pPr>
            <w:r>
              <w:rPr>
                <w:b/>
                <w:noProof/>
                <w:sz w:val="20"/>
              </w:rPr>
              <w:t>Mio. EUR</w:t>
            </w:r>
          </w:p>
        </w:tc>
        <w:tc>
          <w:tcPr>
            <w:tcW w:w="845" w:type="pct"/>
            <w:vMerge/>
            <w:tcBorders>
              <w:left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Österreich</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4 922,9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10 649,9</w:t>
            </w:r>
          </w:p>
        </w:tc>
        <w:tc>
          <w:tcPr>
            <w:tcW w:w="848"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5 362,3</w:t>
            </w:r>
          </w:p>
        </w:tc>
        <w:tc>
          <w:tcPr>
            <w:tcW w:w="845"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3 321,2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Belgien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2 741,7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795,9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Bulgarien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9 876,1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11 734,0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6 636,0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1 696,4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Kroatien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10 727,4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12 653,7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5 121,8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1 090,6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Zypern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917,3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507,5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Tschechische Republik</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23 865,0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32 379,5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14 951,7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3 670,5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Dänemark</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1 546,8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1 283,7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Estland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4 423,5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5 966,2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3 417,8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1 102,5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Finnland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3 765,0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5 765,5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3 450,2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Frankreich</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27 273,8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45 704,8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22 078,7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8 655,5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48,3 %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Deutschland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27 935,0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44 754,4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24 941,7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9 267,5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Griechenland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21 382,0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26 221,0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12 982,9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4 566,2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Ungarn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25 013,9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28 404,1</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3 991,2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95,8 %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Irland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3 361,6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3 843,6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1 824,2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Italien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44 656,1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75 065,7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32 679,2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6 598,1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Lettland</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5 633,7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4 052,8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1 210,7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Litauen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8 385,9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4 901,9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1 976,0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Luxemburg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140,1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240,3</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Malta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827,9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516,6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Niederlande</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1 947,4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3 745,1</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2 413,0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785,3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21,0 %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Polen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86 111,6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104 921,4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57 837,9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13 739,5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Portugal</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25 856,1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32 654,2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21 394,0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7 478,7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Rumänien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30 882,6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37 564,3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14 638,8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4 370,9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Slowakei</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15 287,3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19 559,2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10 001,2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51,1 %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Slowenien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3 930,6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2 464,0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690,4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Spanien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39 835,6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56 218,3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17 641,8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5 509,9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Schweden</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3 626,7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7 938,6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4 802,9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2 020,1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9 335,4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12 441,6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7 133,6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607,8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Vereinigtes Königreich</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16 470,8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26 818,5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17 890,0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4 154,3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15,5 %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Insgesamt</w:t>
            </w:r>
          </w:p>
        </w:tc>
        <w:tc>
          <w:tcPr>
            <w:tcW w:w="615" w:type="pct"/>
            <w:tcBorders>
              <w:top w:val="single" w:sz="4" w:space="0" w:color="auto"/>
              <w:bottom w:val="single" w:sz="4" w:space="0" w:color="auto"/>
            </w:tcBorders>
            <w:shd w:val="clear" w:color="auto" w:fill="8DB3E2" w:themeFill="text2" w:themeFillTint="66"/>
            <w:noWrap/>
            <w:vAlign w:val="center"/>
          </w:tcPr>
          <w:p>
            <w:pPr>
              <w:spacing w:before="120" w:after="120"/>
              <w:jc w:val="right"/>
              <w:rPr>
                <w:b/>
                <w:bCs/>
                <w:noProof/>
                <w:sz w:val="20"/>
              </w:rPr>
            </w:pPr>
            <w:r>
              <w:rPr>
                <w:b/>
                <w:noProof/>
                <w:sz w:val="20"/>
              </w:rPr>
              <w:t>460 680,0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sz w:val="20"/>
              </w:rPr>
              <w:t>644 031,6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338 188,2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95 685,3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52,5 %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14,9 %</w:t>
            </w:r>
          </w:p>
        </w:tc>
      </w:tr>
    </w:tbl>
    <w:p>
      <w:pPr>
        <w:rPr>
          <w:i/>
          <w:noProof/>
          <w:sz w:val="20"/>
        </w:rPr>
      </w:pPr>
      <w:bookmarkStart w:id="4" w:name="_Toc463018901"/>
      <w:r>
        <w:rPr>
          <w:i/>
          <w:noProof/>
          <w:sz w:val="20"/>
        </w:rPr>
        <w:t xml:space="preserve">Quelle: Europäische Kommission, basierend auf den durch Programme gemeldeten Daten, verfügbar auf der Offenen Datenplattform der ESI-Fonds unter: </w:t>
      </w:r>
      <w:r>
        <w:rPr>
          <w:rStyle w:val="Hyperlink"/>
          <w:i/>
          <w:noProof/>
          <w:sz w:val="20"/>
        </w:rPr>
        <w:t>https://cohesiondata.ec.europa.eu/d/99js-gm52</w:t>
      </w:r>
      <w:r>
        <w:rPr>
          <w:i/>
          <w:noProof/>
          <w:sz w:val="20"/>
        </w:rPr>
        <w:t>.</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ANHANG 2.2</w:t>
      </w:r>
    </w:p>
    <w:p>
      <w:pPr>
        <w:pStyle w:val="ListParagraph"/>
        <w:spacing w:after="120"/>
        <w:ind w:left="0"/>
        <w:contextualSpacing w:val="0"/>
        <w:jc w:val="center"/>
        <w:outlineLvl w:val="0"/>
        <w:rPr>
          <w:b/>
          <w:noProof/>
        </w:rPr>
      </w:pPr>
      <w:r>
        <w:rPr>
          <w:b/>
          <w:noProof/>
        </w:rPr>
        <w:t>ESI-Fonds – Kumulierte finanzielle Durchführung nach Mitgliedstaat, gemeldet durch Programme bis Herbst 2018 (in Gesamtkosten, mit Auswahl- und Ausgabenvolumen) (Stand 8.11.2018)</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pPr>
              <w:spacing w:after="0"/>
              <w:jc w:val="left"/>
              <w:rPr>
                <w:b/>
                <w:noProof/>
                <w:sz w:val="20"/>
              </w:rPr>
            </w:pPr>
            <w:r>
              <w:rPr>
                <w:b/>
                <w:noProof/>
                <w:sz w:val="20"/>
              </w:rPr>
              <w:t> </w:t>
            </w:r>
          </w:p>
        </w:tc>
        <w:tc>
          <w:tcPr>
            <w:tcW w:w="692"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Zugewiesener EU-Betrag</w:t>
            </w:r>
          </w:p>
        </w:tc>
        <w:tc>
          <w:tcPr>
            <w:tcW w:w="693"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Vorgesehener Gesamtbetrag</w:t>
            </w:r>
          </w:p>
        </w:tc>
        <w:tc>
          <w:tcPr>
            <w:tcW w:w="846"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Förderfähige Gesamtkosten ausgewählter Projekte</w:t>
            </w:r>
          </w:p>
        </w:tc>
        <w:tc>
          <w:tcPr>
            <w:tcW w:w="846"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Gesamtausgaben, gemeldet durch ausgewählte Projekte </w:t>
            </w:r>
          </w:p>
          <w:p>
            <w:pPr>
              <w:spacing w:after="0"/>
              <w:jc w:val="center"/>
              <w:rPr>
                <w:b/>
                <w:bCs/>
                <w:noProof/>
                <w:sz w:val="20"/>
              </w:rPr>
            </w:pPr>
            <w:r>
              <w:rPr>
                <w:b/>
                <w:noProof/>
                <w:sz w:val="20"/>
              </w:rPr>
              <w:t>Herbst 2018</w:t>
            </w:r>
          </w:p>
          <w:p>
            <w:pPr>
              <w:spacing w:after="0"/>
              <w:jc w:val="center"/>
              <w:rPr>
                <w:b/>
                <w:bCs/>
                <w:noProof/>
                <w:sz w:val="20"/>
              </w:rPr>
            </w:pPr>
          </w:p>
          <w:p>
            <w:pPr>
              <w:spacing w:after="0"/>
              <w:jc w:val="center"/>
              <w:rPr>
                <w:b/>
                <w:bCs/>
                <w:noProof/>
                <w:sz w:val="20"/>
              </w:rPr>
            </w:pPr>
            <w:r>
              <w:rPr>
                <w:b/>
                <w:noProof/>
                <w:sz w:val="20"/>
              </w:rPr>
              <w:t>Mio. EUR</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Auswahlquote</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Ausgabenquote</w:t>
            </w:r>
          </w:p>
        </w:tc>
      </w:tr>
      <w:tr>
        <w:trPr>
          <w:trHeight w:val="260"/>
        </w:trPr>
        <w:tc>
          <w:tcPr>
            <w:tcW w:w="769" w:type="pct"/>
            <w:vMerge/>
            <w:tcBorders>
              <w:left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w:t>
            </w:r>
          </w:p>
        </w:tc>
        <w:tc>
          <w:tcPr>
            <w:tcW w:w="693"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(EU und national)</w:t>
            </w:r>
          </w:p>
        </w:tc>
        <w:tc>
          <w:tcPr>
            <w:tcW w:w="846"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Herbst 2018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69"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Mio. EUR</w:t>
            </w:r>
          </w:p>
        </w:tc>
        <w:tc>
          <w:tcPr>
            <w:tcW w:w="693"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Mio. EUR</w:t>
            </w:r>
          </w:p>
        </w:tc>
        <w:tc>
          <w:tcPr>
            <w:tcW w:w="846" w:type="pct"/>
            <w:tcBorders>
              <w:left w:val="single" w:sz="4" w:space="0" w:color="auto"/>
              <w:bottom w:val="single" w:sz="4" w:space="0" w:color="auto"/>
              <w:right w:val="single" w:sz="4" w:space="0" w:color="auto"/>
            </w:tcBorders>
            <w:shd w:val="clear" w:color="000000" w:fill="8DB4E2"/>
            <w:vAlign w:val="center"/>
          </w:tcPr>
          <w:p>
            <w:pPr>
              <w:spacing w:after="0"/>
              <w:jc w:val="center"/>
              <w:rPr>
                <w:b/>
                <w:noProof/>
                <w:sz w:val="20"/>
              </w:rPr>
            </w:pPr>
            <w:r>
              <w:rPr>
                <w:b/>
                <w:noProof/>
                <w:sz w:val="20"/>
              </w:rPr>
              <w:t>Mio. EUR</w:t>
            </w:r>
          </w:p>
        </w:tc>
        <w:tc>
          <w:tcPr>
            <w:tcW w:w="846" w:type="pct"/>
            <w:vMerge/>
            <w:tcBorders>
              <w:left w:val="single" w:sz="4" w:space="0" w:color="auto"/>
              <w:bottom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Österreich</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5 877,1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36,6 %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Belgien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2 741,7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4 600,0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1 264,7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20,8 %</w:t>
            </w:r>
          </w:p>
        </w:tc>
      </w:tr>
      <w:tr>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Bulgarien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11 726,4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7 787,0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2 585,5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Kroatien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917,3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683,2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265,2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Zypern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23 786,3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33 309,7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19 187,0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6 327,1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Tschechische Republik</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27 935,0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44 742,6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28 170,5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63,0 %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Dänemark</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1 546,8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1 380,7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539,6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23,8 %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Estland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4 423,5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5 965,7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3 919,6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1 631,7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Finnland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39 589,2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55 795,8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24 438,0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7 295,3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Frankreich</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3 765,0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6 070,1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Deutschland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27 277,4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46 088,0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25 764,2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12 114,3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Griechenland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21 382,0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26 662,1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16 087,8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5 216,1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Ungarn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10 727,4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12 649,1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7 277,4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1 753,8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Irland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25 013,9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29 948,3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101,0 %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21,2</w:t>
            </w:r>
            <w:r>
              <w:rPr>
                <w:noProof/>
              </w:rPr>
              <w:t>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Italien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4 264,0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2 174,2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69,4 %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35,4 %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Lettland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44 656,1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76 108,9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42 318,4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10 848,5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Litauen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8 385,9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6 251,2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2 706,0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Luxemburg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140,1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249,3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181,4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54,6 %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Malta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5 633,7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4 872,6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1 677,4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Niederlande</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827,9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879,0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Polen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1 947,4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2 754,5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Portugal</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86 111,6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104 913,3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68 297,0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21 706,6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Rumänien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25 856,1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32 752,8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25 602,6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9 843,2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78,2 %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30,1 %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Slowakei</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30 882,6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37 527,5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18 919,2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6 299,6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Slowenien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3 626,7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8 052,7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5 023,8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2 556,0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Spanien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3 930,6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3 076,0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Schweden</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15 260,4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19 519,9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12 678,1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3 217,6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16,5 %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9 335,4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12 540,0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9 024,9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1 416,3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Vereinigtes Königreich</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16 470,8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26 810,6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19 243,1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6 719,0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71,8 %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Insgesamt</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460 331,4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646 657,9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404 644,6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137 412,5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21,2 %</w:t>
            </w:r>
          </w:p>
        </w:tc>
      </w:tr>
    </w:tbl>
    <w:p>
      <w:pPr>
        <w:rPr>
          <w:i/>
          <w:noProof/>
          <w:sz w:val="20"/>
        </w:rPr>
      </w:pPr>
      <w:r>
        <w:rPr>
          <w:i/>
          <w:noProof/>
          <w:sz w:val="20"/>
        </w:rPr>
        <w:t xml:space="preserve">Quelle: Europäische Kommission, basierend auf den durch Programme gemeldeten Daten, verfügbar auf der Offenen Datenplattform der ESI-Fonds unter: </w:t>
      </w:r>
      <w:r>
        <w:rPr>
          <w:rStyle w:val="Hyperlink"/>
          <w:i/>
          <w:noProof/>
          <w:sz w:val="20"/>
        </w:rPr>
        <w:t>https://cohesiondata.ec.europa.eu/d/99js-gm52</w:t>
      </w:r>
      <w:r>
        <w:rPr>
          <w:i/>
          <w:noProof/>
          <w:sz w:val="20"/>
        </w:rPr>
        <w:t>.</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ANHANG 3</w:t>
      </w:r>
    </w:p>
    <w:p>
      <w:pPr>
        <w:pStyle w:val="ListParagraph"/>
        <w:spacing w:after="0"/>
        <w:ind w:left="0"/>
        <w:contextualSpacing w:val="0"/>
        <w:jc w:val="center"/>
        <w:outlineLvl w:val="0"/>
        <w:rPr>
          <w:b/>
          <w:noProof/>
        </w:rPr>
      </w:pPr>
      <w:r>
        <w:rPr>
          <w:b/>
          <w:noProof/>
        </w:rPr>
        <w:t>ESI-Fonds – Vorgesehene Beträge für Klimaschutzziele und Auswahlquoten Ende 2017</w:t>
      </w:r>
    </w:p>
    <w:p>
      <w:pPr>
        <w:rPr>
          <w:noProof/>
          <w:sz w:val="20"/>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pPr>
              <w:spacing w:after="0"/>
              <w:jc w:val="center"/>
              <w:rPr>
                <w:b/>
                <w:noProof/>
                <w:color w:val="000000"/>
                <w:sz w:val="22"/>
                <w:szCs w:val="22"/>
              </w:rPr>
            </w:pPr>
            <w:r>
              <w:rPr>
                <w:b/>
                <w:noProof/>
                <w:color w:val="000000"/>
                <w:sz w:val="22"/>
              </w:rPr>
              <w:t>Fonds</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Vorgesehener EU-Beitrag insgesamt</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Vorgesehener EU-Beitrag für Klimaschutzmaßnahmen insgesamt</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Insgesamt ausgewählt Ende 2017 (EU-Anteil geschätzt)</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Davon Klimaschutzmaßnahmen zugewiesen</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Auswahlquote von Klimaschutzmaßnahmen unter allen ausgewählten Vorhaben (2017)</w:t>
            </w:r>
          </w:p>
        </w:tc>
      </w:tr>
      <w:tr>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pPr>
              <w:spacing w:after="0"/>
              <w:jc w:val="left"/>
              <w:rPr>
                <w:b/>
                <w:noProof/>
                <w:color w:val="000000"/>
                <w:sz w:val="22"/>
                <w:szCs w:val="22"/>
              </w:rPr>
            </w:pPr>
            <w:r>
              <w:rPr>
                <w:b/>
                <w:noProof/>
                <w:color w:val="000000"/>
                <w:sz w:val="22"/>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Mrd. EUR</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Mrd. EUR</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Mrd.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Mrd.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KF</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63,3</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17,4</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28 %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40,4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10,5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26 %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ELER</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99,8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57,5</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58 %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50,0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21,5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43 %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EMFF</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5,7</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1,3</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0,95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72 %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EFRE</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199,0</w:t>
            </w:r>
          </w:p>
        </w:tc>
        <w:tc>
          <w:tcPr>
            <w:tcW w:w="1134" w:type="dxa"/>
            <w:tcBorders>
              <w:top w:val="nil"/>
              <w:left w:val="nil"/>
              <w:bottom w:val="single" w:sz="4" w:space="0" w:color="auto"/>
              <w:right w:val="single" w:sz="4" w:space="0" w:color="auto"/>
            </w:tcBorders>
            <w:shd w:val="clear" w:color="auto" w:fill="auto"/>
            <w:noWrap/>
            <w:hideMark/>
          </w:tcPr>
          <w:p>
            <w:pPr>
              <w:tabs>
                <w:tab w:val="center" w:pos="459"/>
                <w:tab w:val="right" w:pos="918"/>
              </w:tabs>
              <w:spacing w:after="0"/>
              <w:jc w:val="right"/>
              <w:rPr>
                <w:noProof/>
                <w:color w:val="000000"/>
                <w:sz w:val="22"/>
                <w:szCs w:val="22"/>
              </w:rPr>
            </w:pPr>
            <w:r>
              <w:rPr>
                <w:noProof/>
                <w:color w:val="000000"/>
                <w:sz w:val="22"/>
              </w:rPr>
              <w:t>38,2</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19 %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105,0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15,4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15 %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ESF/YEI</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92,8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1,1</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54,5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2,9</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5 %</w:t>
            </w:r>
          </w:p>
        </w:tc>
      </w:tr>
      <w:tr>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pPr>
              <w:spacing w:before="120" w:after="120"/>
              <w:jc w:val="left"/>
              <w:rPr>
                <w:b/>
                <w:bCs/>
                <w:noProof/>
                <w:sz w:val="20"/>
              </w:rPr>
            </w:pPr>
            <w:r>
              <w:rPr>
                <w:b/>
                <w:noProof/>
                <w:sz w:val="20"/>
              </w:rPr>
              <w:t>Insgesamt</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460,7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115,3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251,2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51,3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20 %</w:t>
            </w:r>
          </w:p>
        </w:tc>
      </w:tr>
    </w:tbl>
    <w:p>
      <w:pPr>
        <w:rPr>
          <w:i/>
          <w:noProof/>
          <w:sz w:val="20"/>
        </w:rPr>
      </w:pPr>
      <w:r>
        <w:rPr>
          <w:i/>
          <w:noProof/>
          <w:sz w:val="20"/>
        </w:rPr>
        <w:t>Quelle: Europäische Kommission.</w:t>
      </w:r>
    </w:p>
    <w:sectPr>
      <w:headerReference w:type="even" r:id="rId19"/>
      <w:headerReference w:type="default" r:id="rId20"/>
      <w:footerReference w:type="even" r:id="rId21"/>
      <w:footerReference w:type="default" r:id="rId22"/>
      <w:headerReference w:type="first" r:id="rId23"/>
      <w:footerReference w:type="first" r:id="rId24"/>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57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des"/>
    <w:docVar w:name="LW_ANNEX_NBR_FIRST" w:val="1"/>
    <w:docVar w:name="LW_ANNEX_NBR_LAST" w:val="3"/>
    <w:docVar w:name="LW_ANNEX_UNIQUE" w:val="0"/>
    <w:docVar w:name="LW_CORRIGENDUM" w:val="&lt;UNUSED&gt;"/>
    <w:docVar w:name="LW_COVERPAGE_EXISTS" w:val="True"/>
    <w:docVar w:name="LW_COVERPAGE_GUID" w:val="44C2EFC6-35F8-45F1-B569-D5E5ED2BD587"/>
    <w:docVar w:name="LW_COVERPAGE_TYPE" w:val="1"/>
    <w:docVar w:name="LW_CROSSREFERENCE" w:val="&lt;UNUSED&gt;"/>
    <w:docVar w:name="LW_DocType" w:val="NOT"/>
    <w:docVar w:name="LW_EMISSION" w:val="19.12.2018"/>
    <w:docVar w:name="LW_EMISSION_ISODATE" w:val="2018-12-19"/>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Europäische Struktur- und Investitionsfonds 2014-2020_x000b_Zusammenfassender Bericht 2018 zu den jährlichen Programm-Durchführungsberichten für den Durchführungszeitraum 2014-2017_x000b_"/>
    <w:docVar w:name="LW_PART_NBR" w:val="&lt;UNUSED&gt;"/>
    <w:docVar w:name="LW_PART_NBR_TOTAL" w:val="&lt;UNUSED&gt;"/>
    <w:docVar w:name="LW_REF.INST.NEW" w:val="COM"/>
    <w:docVar w:name="LW_REF.INST.NEW_ADOPTED" w:val="final"/>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ÄNGE_x000b_"/>
    <w:docVar w:name="LW_TYPEACTEPRINCIPAL.CP" w:val="BERICHTS DER KOMMISSION AN DAS EUROPÄISCHE PARLAMENT, DEN RAT, DEN EUROPÄISCHEN WIRTSCHAFTS- UND SOZIALAUSSCHUSS UND DEN AUSSCHUSS DER REGIONEN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de-DE"/>
    </w:rPr>
  </w:style>
  <w:style w:type="character" w:customStyle="1" w:styleId="DateChar">
    <w:name w:val="Date Char"/>
    <w:link w:val="Date"/>
    <w:uiPriority w:val="99"/>
    <w:rPr>
      <w:sz w:val="24"/>
      <w:lang w:eastAsia="de-DE"/>
    </w:rPr>
  </w:style>
  <w:style w:type="character" w:customStyle="1" w:styleId="SignatureChar">
    <w:name w:val="Signature Char"/>
    <w:link w:val="Signature"/>
    <w:uiPriority w:val="99"/>
    <w:rPr>
      <w:sz w:val="24"/>
      <w:lang w:eastAsia="de-D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de-DE"/>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de-DE"/>
    </w:rPr>
  </w:style>
  <w:style w:type="character" w:customStyle="1" w:styleId="CommentSubjectChar">
    <w:name w:val="Comment Subject Char"/>
    <w:link w:val="CommentSubject"/>
    <w:uiPriority w:val="99"/>
    <w:semiHidden/>
    <w:rPr>
      <w:b/>
      <w:bCs/>
      <w:lang w:eastAsia="de-D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de-DE"/>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de-DE"/>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de-DE"/>
    </w:rPr>
  </w:style>
  <w:style w:type="character" w:customStyle="1" w:styleId="DateChar">
    <w:name w:val="Date Char"/>
    <w:link w:val="Date"/>
    <w:uiPriority w:val="99"/>
    <w:rPr>
      <w:sz w:val="24"/>
      <w:lang w:eastAsia="de-DE"/>
    </w:rPr>
  </w:style>
  <w:style w:type="character" w:customStyle="1" w:styleId="SignatureChar">
    <w:name w:val="Signature Char"/>
    <w:link w:val="Signature"/>
    <w:uiPriority w:val="99"/>
    <w:rPr>
      <w:sz w:val="24"/>
      <w:lang w:eastAsia="de-D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de-DE"/>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de-DE"/>
    </w:rPr>
  </w:style>
  <w:style w:type="character" w:customStyle="1" w:styleId="CommentSubjectChar">
    <w:name w:val="Comment Subject Char"/>
    <w:link w:val="CommentSubject"/>
    <w:uiPriority w:val="99"/>
    <w:semiHidden/>
    <w:rPr>
      <w:b/>
      <w:bCs/>
      <w:lang w:eastAsia="de-D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de-DE"/>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de-DE"/>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2.xml><?xml version="1.0" encoding="utf-8"?>
<EurolookProperties>
  <Created>
    <Version>4.5</Version>
    <Date>2018-09-10T09:03:48</Date>
    <Language>EN</Language>
  </Created>
  <Edited>
    <Version>10.0.37613.0</Version>
    <Date>2018-11-14T10:30:35</Date>
  </Edited>
  <DocumentModel>
    <Id>0b054141-88b1-4efb-8c91-2905cb0bed6c</Id>
    <Name>Note</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F639-654D-4C65-97FC-85BDAC2CD0B6}">
  <ds:schemaRefs/>
</ds:datastoreItem>
</file>

<file path=customXml/itemProps2.xml><?xml version="1.0" encoding="utf-8"?>
<ds:datastoreItem xmlns:ds="http://schemas.openxmlformats.org/officeDocument/2006/customXml" ds:itemID="{8A11F063-8246-4FF1-B7DF-B4CC6A242F21}">
  <ds:schemaRefs/>
</ds:datastoreItem>
</file>

<file path=customXml/itemProps3.xml><?xml version="1.0" encoding="utf-8"?>
<ds:datastoreItem xmlns:ds="http://schemas.openxmlformats.org/officeDocument/2006/customXml" ds:itemID="{CF1CA1EA-6ED9-4F36-842C-55C6CBFB857B}">
  <ds:schemaRefs/>
</ds:datastoreItem>
</file>

<file path=customXml/itemProps4.xml><?xml version="1.0" encoding="utf-8"?>
<ds:datastoreItem xmlns:ds="http://schemas.openxmlformats.org/officeDocument/2006/customXml" ds:itemID="{76148862-F2AB-4621-AB87-9D33DCDE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1781</Words>
  <Characters>8250</Characters>
  <Application>Microsoft Office Word</Application>
  <DocSecurity>0</DocSecurity>
  <PresentationFormat>Microsoft Word 14.0</PresentationFormat>
  <Lines>1178</Lines>
  <Paragraphs>1003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9028</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Fesus</dc:creator>
  <cp:keywords>EL4</cp:keywords>
  <cp:lastModifiedBy>WES PDFC Administrator</cp:lastModifiedBy>
  <cp:revision>10</cp:revision>
  <cp:lastPrinted>2018-11-16T14:45:00Z</cp:lastPrinted>
  <dcterms:created xsi:type="dcterms:W3CDTF">2018-11-20T13:30:00Z</dcterms:created>
  <dcterms:modified xsi:type="dcterms:W3CDTF">2018-12-19T07:22:00Z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