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03C217D6-1DB4-4340-82D7-BD48F34CE127" style="width:450.8pt;height:365.65pt">
            <v:imagedata r:id="rId13" o:title=""/>
          </v:shape>
        </w:pict>
      </w:r>
    </w:p>
    <w:p>
      <w:pPr>
        <w:rPr>
          <w:noProof/>
        </w:rPr>
        <w:sectPr>
          <w:headerReference w:type="even" r:id="rId14"/>
          <w:headerReference w:type="default" r:id="rId15"/>
          <w:footerReference w:type="even" r:id="rId16"/>
          <w:footerReference w:type="default" r:id="rId17"/>
          <w:headerReference w:type="first" r:id="rId18"/>
          <w:footerReference w:type="first" r:id="rId1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noProof/>
        </w:rPr>
      </w:pPr>
      <w:r>
        <w:rPr>
          <w:noProof/>
        </w:rPr>
        <w:t>1.</w:t>
      </w:r>
      <w:r>
        <w:rPr>
          <w:noProof/>
        </w:rPr>
        <w:tab/>
        <w:t>CONTEXTUL PROPUNERII</w:t>
      </w:r>
    </w:p>
    <w:p>
      <w:pPr>
        <w:pStyle w:val="ManualHeading2"/>
        <w:rPr>
          <w:rFonts w:eastAsia="Arial Unicode MS"/>
          <w:noProof/>
        </w:rPr>
      </w:pPr>
      <w:r>
        <w:rPr>
          <w:noProof/>
          <w:color w:val="000000"/>
          <w:u w:color="000000"/>
          <w:bdr w:val="nil"/>
        </w:rPr>
        <w:t>•</w:t>
      </w:r>
      <w:r>
        <w:rPr>
          <w:noProof/>
        </w:rPr>
        <w:tab/>
        <w:t>Motivele și obiectivele propunerii</w:t>
      </w:r>
    </w:p>
    <w:p>
      <w:pPr>
        <w:pBdr>
          <w:top w:val="nil"/>
          <w:left w:val="nil"/>
          <w:bottom w:val="nil"/>
          <w:right w:val="nil"/>
          <w:between w:val="nil"/>
          <w:bar w:val="nil"/>
        </w:pBdr>
        <w:spacing w:before="0" w:after="240"/>
        <w:rPr>
          <w:noProof/>
        </w:rPr>
      </w:pPr>
      <w:r>
        <w:rPr>
          <w:noProof/>
        </w:rPr>
        <w:t>La 29 martie 2017, Regatul Unit a prezentat notificarea intenției sale de a se retrage din Uniune în temeiul articolului 50 din Tratatul privind Uniunea Europeană. Acest lucru înseamnă că, dacă Acordul de retragere</w:t>
      </w:r>
      <w:r>
        <w:rPr>
          <w:rStyle w:val="FootnoteReference"/>
          <w:noProof/>
        </w:rPr>
        <w:footnoteReference w:id="1"/>
      </w:r>
      <w:r>
        <w:rPr>
          <w:noProof/>
        </w:rPr>
        <w:t xml:space="preserve"> nu este ratificat, legislația primară și secundară a Uniunii va înceta să se aplice Regatului Unit începând cu data de 30 martie 2019 (denumită în continuare „data retragerii”). Regatul Unit va deveni, din acel moment, țară terță.</w:t>
      </w:r>
    </w:p>
    <w:p>
      <w:pPr>
        <w:pBdr>
          <w:top w:val="nil"/>
          <w:left w:val="nil"/>
          <w:bottom w:val="nil"/>
          <w:right w:val="nil"/>
          <w:between w:val="nil"/>
          <w:bar w:val="nil"/>
        </w:pBdr>
        <w:spacing w:before="0" w:after="240"/>
        <w:rPr>
          <w:noProof/>
        </w:rPr>
      </w:pPr>
      <w:r>
        <w:rPr>
          <w:noProof/>
        </w:rPr>
        <w:t>Potrivit Comunicării Comisiei „Pregătiri pentru retragerea Regatului Unit din Uniunea Europeană la 30 martie 2019: un plan de contingență”</w:t>
      </w:r>
      <w:r>
        <w:rPr>
          <w:rStyle w:val="FootnoteReference"/>
          <w:noProof/>
        </w:rPr>
        <w:footnoteReference w:id="2"/>
      </w:r>
      <w:r>
        <w:rPr>
          <w:noProof/>
        </w:rPr>
        <w:t>, „Comisia se angajează, de asemenea, să asigure continuarea actualelor programe PEACE și INTERREG derulate în comitatele de graniță din Irlanda și Irlanda de Nord și la care Regatul Unit este partener.”</w:t>
      </w:r>
    </w:p>
    <w:p>
      <w:pPr>
        <w:pBdr>
          <w:top w:val="nil"/>
          <w:left w:val="nil"/>
          <w:bottom w:val="nil"/>
          <w:right w:val="nil"/>
          <w:between w:val="nil"/>
          <w:bar w:val="nil"/>
        </w:pBdr>
        <w:spacing w:before="0" w:after="240"/>
        <w:rPr>
          <w:noProof/>
        </w:rPr>
      </w:pPr>
      <w:r>
        <w:rPr>
          <w:noProof/>
        </w:rPr>
        <w:t>La 13 decembrie 2018, Consiliul European (articolul 50) și-a reiterat solicitarea de a se depune mai multe eforturi, la toate nivelurile, în materie de pregătire pentru consecințele retragerii Regatului Unit, avându-se în vedere toate rezultatele posibile. Prezentul act face parte dintr-un pachet de măsuri pe care Comisia îl adoptă ca răspuns la această solicitare.</w:t>
      </w:r>
    </w:p>
    <w:p>
      <w:pPr>
        <w:pBdr>
          <w:top w:val="nil"/>
          <w:left w:val="nil"/>
          <w:bottom w:val="nil"/>
          <w:right w:val="nil"/>
          <w:between w:val="nil"/>
          <w:bar w:val="nil"/>
        </w:pBdr>
        <w:spacing w:before="0" w:after="240"/>
        <w:rPr>
          <w:noProof/>
        </w:rPr>
      </w:pPr>
      <w:r>
        <w:rPr>
          <w:noProof/>
        </w:rPr>
        <w:t>Prezenta propunere urmărește să asigure continuarea a două programe de cooperare bilaterală în care este implicată Irlanda, și anume programul PEACE IV (Irlanda-Regatul Unit) și programul Regatul Unit-Irlanda (Irlanda-Irlanda de Nord-Scoția).</w:t>
      </w:r>
    </w:p>
    <w:p>
      <w:pPr>
        <w:pStyle w:val="ManualHeading2"/>
        <w:rPr>
          <w:rFonts w:eastAsia="Arial Unicode MS"/>
          <w:noProof/>
          <w:color w:val="000000"/>
          <w:u w:color="000000"/>
          <w:bdr w:val="nil"/>
        </w:rPr>
      </w:pPr>
      <w:r>
        <w:rPr>
          <w:noProof/>
          <w:color w:val="000000"/>
          <w:u w:color="000000"/>
          <w:bdr w:val="nil"/>
        </w:rPr>
        <w:t>•</w:t>
      </w:r>
      <w:r>
        <w:rPr>
          <w:noProof/>
        </w:rPr>
        <w:tab/>
        <w:t>Coerența cu dispozițiile existente în domeniul de politică</w:t>
      </w:r>
    </w:p>
    <w:p>
      <w:pPr>
        <w:pBdr>
          <w:top w:val="nil"/>
          <w:left w:val="nil"/>
          <w:bottom w:val="nil"/>
          <w:right w:val="nil"/>
          <w:between w:val="nil"/>
          <w:bar w:val="nil"/>
        </w:pBdr>
        <w:spacing w:before="0" w:after="240"/>
        <w:rPr>
          <w:noProof/>
        </w:rPr>
      </w:pPr>
      <w:r>
        <w:rPr>
          <w:noProof/>
        </w:rPr>
        <w:t>Prezenta propunere vizează continuarea programelor existente.</w:t>
      </w:r>
    </w:p>
    <w:p>
      <w:pPr>
        <w:pStyle w:val="ManualHeading2"/>
        <w:rPr>
          <w:rFonts w:eastAsia="Arial Unicode MS"/>
          <w:noProof/>
        </w:rPr>
      </w:pPr>
      <w:r>
        <w:rPr>
          <w:noProof/>
          <w:color w:val="000000"/>
          <w:u w:color="000000"/>
          <w:bdr w:val="nil"/>
        </w:rPr>
        <w:t>•</w:t>
      </w:r>
      <w:r>
        <w:rPr>
          <w:noProof/>
        </w:rPr>
        <w:tab/>
        <w:t>Coerența cu alte politici ale Uniunii</w:t>
      </w:r>
    </w:p>
    <w:p>
      <w:pPr>
        <w:pBdr>
          <w:top w:val="nil"/>
          <w:left w:val="nil"/>
          <w:bottom w:val="nil"/>
          <w:right w:val="nil"/>
          <w:between w:val="nil"/>
          <w:bar w:val="nil"/>
        </w:pBdr>
        <w:spacing w:before="0" w:after="240"/>
        <w:rPr>
          <w:rFonts w:eastAsia="Arial Unicode MS"/>
          <w:noProof/>
        </w:rPr>
      </w:pPr>
      <w:r>
        <w:rPr>
          <w:noProof/>
        </w:rPr>
        <w:t>Prezenta propunere este în deplină coerență cu mandatul Consiliului pentru negocierile cu Regatul Unit privind retragerea sa din Uniune</w:t>
      </w:r>
      <w:r>
        <w:rPr>
          <w:rStyle w:val="FootnoteReference"/>
          <w:noProof/>
        </w:rPr>
        <w:footnoteReference w:id="3"/>
      </w:r>
      <w:r>
        <w:rPr>
          <w:noProof/>
        </w:rPr>
        <w:t>.</w:t>
      </w:r>
      <w:r>
        <w:rPr>
          <w:rStyle w:val="CommentReference"/>
          <w:rFonts w:asciiTheme="minorHAnsi" w:hAnsiTheme="minorHAnsi" w:cstheme="minorBidi"/>
          <w:noProof/>
        </w:rPr>
        <w:t xml:space="preserve"> </w:t>
      </w:r>
    </w:p>
    <w:p>
      <w:pPr>
        <w:pStyle w:val="ManualHeading1"/>
        <w:rPr>
          <w:noProof/>
        </w:rPr>
      </w:pPr>
      <w:r>
        <w:rPr>
          <w:noProof/>
        </w:rPr>
        <w:t>2.</w:t>
      </w:r>
      <w:r>
        <w:rPr>
          <w:noProof/>
        </w:rPr>
        <w:tab/>
        <w:t>TEMEIUL JURIDIC, SUBSIDIARITATEA ȘI PROPORȚIONALITATEA</w:t>
      </w:r>
    </w:p>
    <w:p>
      <w:pPr>
        <w:pStyle w:val="ManualHeading2"/>
        <w:rPr>
          <w:rFonts w:eastAsia="Arial Unicode MS"/>
          <w:noProof/>
          <w:u w:color="000000"/>
          <w:bdr w:val="nil"/>
        </w:rPr>
      </w:pPr>
      <w:r>
        <w:rPr>
          <w:noProof/>
        </w:rPr>
        <w:t>•</w:t>
      </w:r>
      <w:r>
        <w:rPr>
          <w:noProof/>
        </w:rPr>
        <w:tab/>
        <w:t>Temeiul juridic</w:t>
      </w:r>
    </w:p>
    <w:p>
      <w:pPr>
        <w:pStyle w:val="ManualHeading2"/>
        <w:rPr>
          <w:rFonts w:eastAsia="Arial Unicode MS"/>
          <w:noProof/>
          <w:u w:color="000000"/>
          <w:bdr w:val="nil"/>
        </w:rPr>
      </w:pPr>
      <w:r>
        <w:rPr>
          <w:noProof/>
        </w:rPr>
        <w:t>Articolul 178 din TFUE•</w:t>
      </w:r>
      <w:r>
        <w:rPr>
          <w:noProof/>
        </w:rPr>
        <w:tab/>
        <w:t xml:space="preserve">Subsidiaritatea (în cazul competențelor neexclusive) </w:t>
      </w:r>
    </w:p>
    <w:p>
      <w:pPr>
        <w:pBdr>
          <w:top w:val="nil"/>
          <w:left w:val="nil"/>
          <w:bottom w:val="nil"/>
          <w:right w:val="nil"/>
          <w:between w:val="nil"/>
          <w:bar w:val="nil"/>
        </w:pBdr>
        <w:spacing w:before="0" w:after="240"/>
        <w:rPr>
          <w:rFonts w:eastAsia="Arial Unicode MS"/>
          <w:noProof/>
        </w:rPr>
      </w:pPr>
      <w:r>
        <w:rPr>
          <w:noProof/>
        </w:rPr>
        <w:t>Deoarece actul propus urmărește să asigure continuarea a două programe de cooperare reglementate de Regulamentul (UE) nr. 1299/2013, respectarea de către programele respective a principiului subsidiarității a fost deja examinată la momentul adoptării regulamentului menționat.</w:t>
      </w:r>
    </w:p>
    <w:p>
      <w:pPr>
        <w:pStyle w:val="ManualHeading2"/>
        <w:rPr>
          <w:rFonts w:eastAsia="Arial Unicode MS"/>
          <w:noProof/>
          <w:u w:color="000000"/>
          <w:bdr w:val="nil"/>
        </w:rPr>
      </w:pPr>
      <w:r>
        <w:rPr>
          <w:noProof/>
        </w:rPr>
        <w:t>•</w:t>
      </w:r>
      <w:r>
        <w:rPr>
          <w:noProof/>
        </w:rPr>
        <w:tab/>
        <w:t>Proporționalitatea</w:t>
      </w:r>
    </w:p>
    <w:p>
      <w:pPr>
        <w:pBdr>
          <w:top w:val="nil"/>
          <w:left w:val="nil"/>
          <w:bottom w:val="nil"/>
          <w:right w:val="nil"/>
          <w:between w:val="nil"/>
          <w:bar w:val="nil"/>
        </w:pBdr>
        <w:spacing w:before="0" w:after="240"/>
        <w:rPr>
          <w:rFonts w:eastAsia="Arial Unicode MS"/>
          <w:noProof/>
        </w:rPr>
      </w:pPr>
      <w:r>
        <w:rPr>
          <w:noProof/>
        </w:rPr>
        <w:t xml:space="preserve">Propunerea este considerată proporționată, deoarece prevede modificarea juridică necesară și, în același timp, nu depășește ceea ce este necesar pentru a se realiza continuarea în bune condiții a celor două programe de cooperare nord-sud care implică teritoriul Irlandei de Nord. </w:t>
      </w:r>
    </w:p>
    <w:p>
      <w:pPr>
        <w:pStyle w:val="ManualHeading2"/>
        <w:rPr>
          <w:rFonts w:eastAsia="Arial Unicode MS"/>
          <w:noProof/>
          <w:u w:color="000000"/>
          <w:bdr w:val="nil"/>
        </w:rPr>
      </w:pPr>
      <w:r>
        <w:rPr>
          <w:noProof/>
        </w:rPr>
        <w:t>•</w:t>
      </w:r>
      <w:r>
        <w:rPr>
          <w:noProof/>
        </w:rPr>
        <w:tab/>
        <w:t>Alegerea instrumentului</w:t>
      </w:r>
    </w:p>
    <w:p>
      <w:pPr>
        <w:pBdr>
          <w:top w:val="nil"/>
          <w:left w:val="nil"/>
          <w:bottom w:val="nil"/>
          <w:right w:val="nil"/>
          <w:between w:val="nil"/>
          <w:bar w:val="nil"/>
        </w:pBdr>
        <w:spacing w:before="0" w:after="240"/>
        <w:rPr>
          <w:noProof/>
        </w:rPr>
      </w:pPr>
      <w:r>
        <w:rPr>
          <w:noProof/>
        </w:rPr>
        <w:t>Deoarece actul se bazează pe Regulamentul (UE) nr. 1299/2013, propunerea de regulament este singura formă adecvată.</w:t>
      </w:r>
    </w:p>
    <w:p>
      <w:pPr>
        <w:pBdr>
          <w:top w:val="nil"/>
          <w:left w:val="nil"/>
          <w:bottom w:val="nil"/>
          <w:right w:val="nil"/>
          <w:between w:val="nil"/>
          <w:bar w:val="nil"/>
        </w:pBdr>
        <w:spacing w:before="0" w:after="240"/>
        <w:rPr>
          <w:noProof/>
        </w:rPr>
      </w:pPr>
      <w:r>
        <w:rPr>
          <w:noProof/>
        </w:rPr>
        <w:t xml:space="preserve">Dat fiind că prezentul regulament, care intră în vigoare în ziua următoare datei publicării în </w:t>
      </w:r>
      <w:r>
        <w:rPr>
          <w:i/>
          <w:noProof/>
        </w:rPr>
        <w:t>Jurnalul Oficial al Uniunii Europene</w:t>
      </w:r>
      <w:r>
        <w:rPr>
          <w:noProof/>
        </w:rPr>
        <w:t>, se va aplica numai dacă, până la data la care tratatele încetează să se aplice Regatului Unit și pe teritoriul acestuia, nu a intrat în vigoare un acord de retragere încheiat cu Regatul Unit în conformitate cu articolul 50 alineatul (2) din Tratatul privind Uniunea Europeană, actul ad-hoc propus este mai adecvat decât un regulament sub forma unui act de modificare.</w:t>
      </w:r>
    </w:p>
    <w:p>
      <w:pPr>
        <w:pStyle w:val="ManualHeading1"/>
        <w:rPr>
          <w:noProof/>
        </w:rPr>
      </w:pPr>
      <w:r>
        <w:rPr>
          <w:noProof/>
        </w:rPr>
        <w:t>3.</w:t>
      </w:r>
      <w:r>
        <w:rPr>
          <w:noProof/>
        </w:rPr>
        <w:tab/>
        <w:t xml:space="preserve">REZULTATELE EVALUĂRILOR </w:t>
      </w:r>
      <w:r>
        <w:rPr>
          <w:i/>
          <w:noProof/>
        </w:rPr>
        <w:t>EX POST</w:t>
      </w:r>
      <w:r>
        <w:rPr>
          <w:noProof/>
        </w:rPr>
        <w:t>, ALE CONSULTĂRILOR CU PĂRȚILE INTERESATE ȘI ALE EVALUĂRILOR IMPACTULUI</w:t>
      </w:r>
    </w:p>
    <w:p>
      <w:pPr>
        <w:pStyle w:val="ManualHeading2"/>
        <w:rPr>
          <w:rFonts w:eastAsia="Arial Unicode MS"/>
          <w:noProof/>
          <w:u w:color="000000"/>
          <w:bdr w:val="nil"/>
        </w:rPr>
      </w:pPr>
      <w:r>
        <w:rPr>
          <w:noProof/>
        </w:rPr>
        <w:t>•</w:t>
      </w:r>
      <w:r>
        <w:rPr>
          <w:noProof/>
        </w:rPr>
        <w:tab/>
        <w:t>Consultările cu părțile interesate</w:t>
      </w:r>
    </w:p>
    <w:p>
      <w:pPr>
        <w:pBdr>
          <w:top w:val="nil"/>
          <w:left w:val="nil"/>
          <w:bottom w:val="nil"/>
          <w:right w:val="nil"/>
          <w:between w:val="nil"/>
          <w:bar w:val="nil"/>
        </w:pBdr>
        <w:spacing w:before="0" w:after="240"/>
        <w:rPr>
          <w:noProof/>
          <w:color w:val="000000" w:themeColor="text1"/>
        </w:rPr>
      </w:pPr>
      <w:r>
        <w:rPr>
          <w:noProof/>
          <w:color w:val="000000" w:themeColor="text1"/>
        </w:rPr>
        <w:t xml:space="preserve">Având în vedere că propunerea trebuie elaborată urgent, astfel încât să poată fi adoptată la timp de către colegiuitori, nu s-a putut realiza o consultare a părților interesate. </w:t>
      </w:r>
    </w:p>
    <w:p>
      <w:pPr>
        <w:pStyle w:val="ManualHeading2"/>
        <w:rPr>
          <w:rFonts w:eastAsia="Arial Unicode MS"/>
          <w:noProof/>
          <w:u w:color="000000"/>
          <w:bdr w:val="nil"/>
        </w:rPr>
      </w:pPr>
      <w:r>
        <w:rPr>
          <w:noProof/>
        </w:rPr>
        <w:t>•</w:t>
      </w:r>
      <w:r>
        <w:rPr>
          <w:noProof/>
        </w:rPr>
        <w:tab/>
        <w:t>Evaluarea impactului</w:t>
      </w:r>
    </w:p>
    <w:p>
      <w:pPr>
        <w:pBdr>
          <w:top w:val="nil"/>
          <w:left w:val="nil"/>
          <w:bottom w:val="nil"/>
          <w:right w:val="nil"/>
          <w:between w:val="nil"/>
          <w:bar w:val="nil"/>
        </w:pBdr>
        <w:spacing w:before="0" w:after="240"/>
        <w:rPr>
          <w:rFonts w:eastAsia="Arial Unicode MS"/>
          <w:noProof/>
        </w:rPr>
      </w:pPr>
      <w:r>
        <w:rPr>
          <w:noProof/>
          <w:color w:val="000000" w:themeColor="text1"/>
        </w:rPr>
        <w:t xml:space="preserve">Având în vedere natura măsurii propuse, nu a fost efectuată nicio evaluare a impactului, în conformitate cu Orientările privind o mai bună legiferare. Nu există alte opțiuni de politică substanțial diferite. </w:t>
      </w:r>
      <w:r>
        <w:rPr>
          <w:noProof/>
        </w:rPr>
        <w:t>Măsura avută în vedere este singura opțiune de politică viabilă pentru a se asigura continuarea în bune condiții a două programe de cooperare bilaterală care implică Irlanda, și anume programul PEACE IV (Irlanda-Regatul Unit) și programul Regatul Unit-Irlanda (Irlanda-Irlanda de Nord-Scoția), după retragerea Regatului Unit din Uniune.</w:t>
      </w:r>
    </w:p>
    <w:p>
      <w:pPr>
        <w:pStyle w:val="ManualHeading1"/>
        <w:rPr>
          <w:noProof/>
        </w:rPr>
      </w:pPr>
      <w:r>
        <w:rPr>
          <w:noProof/>
        </w:rPr>
        <w:t>4.</w:t>
      </w:r>
      <w:r>
        <w:rPr>
          <w:noProof/>
        </w:rPr>
        <w:tab/>
        <w:t>IMPLICAȚIILE BUGETARE</w:t>
      </w:r>
    </w:p>
    <w:p>
      <w:pPr>
        <w:pBdr>
          <w:top w:val="nil"/>
          <w:left w:val="nil"/>
          <w:bottom w:val="nil"/>
          <w:right w:val="nil"/>
          <w:between w:val="nil"/>
          <w:bar w:val="nil"/>
        </w:pBdr>
        <w:spacing w:before="0" w:after="240"/>
        <w:rPr>
          <w:noProof/>
          <w:color w:val="000000" w:themeColor="text1"/>
        </w:rPr>
      </w:pPr>
      <w:r>
        <w:rPr>
          <w:noProof/>
        </w:rPr>
        <w:t>Prezenta propunere urmărește să garanteze, în cazul în care nu este ratificat acordul de retragere, continuarea a două programe de cooperare bilaterală în care este implicată Irlanda, și anume programul PEACE IV (Irlanda-Regatul Unit) și programul Regatul Unit-Irlanda (Irlanda-Irlanda de Nord-Scoția), fără modificarea cuantumurilor alocate acestor programe și fără modificarea finanțării lor.</w:t>
      </w:r>
      <w:r>
        <w:rPr>
          <w:noProof/>
          <w:color w:val="000000" w:themeColor="text1"/>
        </w:rPr>
        <w:t xml:space="preserve"> Cele două programe vor fi finanțate în continuare din bugetul Uniunii. Posibilitatea de a se efectua controalele și auditurile necesare în toate regiunile participante va trebui să fie confirmată printr-un acord între Comisie și autoritățile din Regatul Unit și va constitui o condiție pentru finanțare. </w:t>
      </w:r>
    </w:p>
    <w:p>
      <w:pPr>
        <w:rPr>
          <w:noProof/>
        </w:rPr>
        <w:sectPr>
          <w:footerReference w:type="default" r:id="rId20"/>
          <w:footerReference w:type="first" r:id="rId21"/>
          <w:pgSz w:w="11907" w:h="16839"/>
          <w:pgMar w:top="1134" w:right="1417" w:bottom="1134" w:left="1417" w:header="709" w:footer="709" w:gutter="0"/>
          <w:cols w:space="708"/>
          <w:docGrid w:linePitch="360"/>
        </w:sectPr>
      </w:pPr>
    </w:p>
    <w:p>
      <w:pPr>
        <w:pStyle w:val="Rfrenceinterinstitutionnelle"/>
        <w:rPr>
          <w:noProof/>
        </w:rPr>
      </w:pPr>
      <w:r>
        <w:rPr>
          <w:noProof/>
        </w:rPr>
        <w:t>2018/0432 (COD)</w:t>
      </w:r>
    </w:p>
    <w:p>
      <w:pPr>
        <w:pStyle w:val="Statut"/>
        <w:rPr>
          <w:noProof/>
        </w:rPr>
      </w:pPr>
      <w:r>
        <w:rPr>
          <w:noProof/>
        </w:rPr>
        <w:t>Propunere de</w:t>
      </w:r>
    </w:p>
    <w:p>
      <w:pPr>
        <w:pStyle w:val="Typedudocument"/>
        <w:rPr>
          <w:noProof/>
        </w:rPr>
      </w:pPr>
      <w:r>
        <w:rPr>
          <w:noProof/>
        </w:rPr>
        <w:t>REGULAMENT AL PARLAMENTULUI EUROPEAN ȘI AL CONSILIULUI</w:t>
      </w:r>
    </w:p>
    <w:p>
      <w:pPr>
        <w:pStyle w:val="Titreobjet"/>
        <w:rPr>
          <w:noProof/>
        </w:rPr>
      </w:pPr>
      <w:r>
        <w:rPr>
          <w:noProof/>
        </w:rPr>
        <w:t>pentru a se permite continuarea programelor de cooperare teritorială PEACE IV (Irlanda-Regatul Unit) și Regatul Unit-Irlanda (Irlanda-Irlanda de Nord-Scoția) în contextul retragerii Regatului Unit din Uniunea Europeană</w:t>
      </w:r>
    </w:p>
    <w:p>
      <w:pPr>
        <w:pStyle w:val="Institutionquiagit"/>
        <w:rPr>
          <w:noProof/>
        </w:rPr>
      </w:pPr>
      <w:r>
        <w:rPr>
          <w:noProof/>
        </w:rPr>
        <w:t>PARLAMENTUL EUROPEAN ȘI CONSILIUL UNIUNII EUROPENE,</w:t>
      </w:r>
    </w:p>
    <w:p>
      <w:pPr>
        <w:rPr>
          <w:noProof/>
        </w:rPr>
      </w:pPr>
      <w:r>
        <w:rPr>
          <w:noProof/>
        </w:rPr>
        <w:t>având în vedere Tratatul privind funcționarea Uniunii Europene, în special articolul 178,</w:t>
      </w:r>
    </w:p>
    <w:p>
      <w:pPr>
        <w:rPr>
          <w:noProof/>
          <w:szCs w:val="24"/>
        </w:rPr>
      </w:pPr>
      <w:r>
        <w:rPr>
          <w:noProof/>
        </w:rPr>
        <w:t xml:space="preserve">având în vedere propunerea Comisiei Europene, </w:t>
      </w:r>
    </w:p>
    <w:p>
      <w:pPr>
        <w:rPr>
          <w:noProof/>
        </w:rPr>
      </w:pPr>
      <w:r>
        <w:rPr>
          <w:noProof/>
        </w:rPr>
        <w:t>după transmiterea proiectului de act legislativ către parlamentele naționale,</w:t>
      </w:r>
    </w:p>
    <w:p>
      <w:pPr>
        <w:rPr>
          <w:noProof/>
        </w:rPr>
      </w:pPr>
      <w:r>
        <w:rPr>
          <w:noProof/>
        </w:rPr>
        <w:t>având în vedere avizul Comitetului Economic și Social European</w:t>
      </w:r>
      <w:r>
        <w:rPr>
          <w:rStyle w:val="FootnoteReference"/>
          <w:noProof/>
        </w:rPr>
        <w:footnoteReference w:id="4"/>
      </w:r>
      <w:r>
        <w:rPr>
          <w:noProof/>
        </w:rPr>
        <w:t xml:space="preserve">, </w:t>
      </w:r>
    </w:p>
    <w:p>
      <w:pPr>
        <w:rPr>
          <w:noProof/>
        </w:rPr>
      </w:pPr>
      <w:r>
        <w:rPr>
          <w:noProof/>
        </w:rPr>
        <w:t>având în vedere avizul Comitetului Regiunilor</w:t>
      </w:r>
      <w:r>
        <w:rPr>
          <w:rStyle w:val="FootnoteReference"/>
          <w:noProof/>
        </w:rPr>
        <w:footnoteReference w:id="5"/>
      </w:r>
      <w:r>
        <w:rPr>
          <w:noProof/>
        </w:rPr>
        <w:t>,</w:t>
      </w:r>
    </w:p>
    <w:p>
      <w:pPr>
        <w:rPr>
          <w:noProof/>
        </w:rPr>
      </w:pPr>
      <w:r>
        <w:rPr>
          <w:noProof/>
        </w:rPr>
        <w:t>hotărând în conformitate cu procedura legislativă ordinară,</w:t>
      </w:r>
    </w:p>
    <w:p>
      <w:pPr>
        <w:rPr>
          <w:noProof/>
        </w:rPr>
      </w:pPr>
      <w:r>
        <w:rPr>
          <w:noProof/>
        </w:rPr>
        <w:t>întrucât:</w:t>
      </w:r>
    </w:p>
    <w:p>
      <w:pPr>
        <w:pStyle w:val="ManualConsidrant"/>
        <w:rPr>
          <w:noProof/>
        </w:rPr>
      </w:pPr>
      <w:r>
        <w:t>(1)</w:t>
      </w:r>
      <w:r>
        <w:tab/>
      </w:r>
      <w:r>
        <w:rPr>
          <w:noProof/>
          <w:sz w:val="23"/>
        </w:rPr>
        <w:t>La 29 martie 2017, Regatul Unit</w:t>
      </w:r>
      <w:r>
        <w:rPr>
          <w:noProof/>
        </w:rPr>
        <w:t xml:space="preserve"> a prezentat notificarea intenției sale de a se retrage din Uniune în temeiul articolului 50 din Tratatul privind Uniunea Europeană. Tratatele nu se vor mai aplica Regatului Unit de la data intrării în vigoare a unui acord de retragere sau, în lipsa intrării în vigoare a unui acord, la doi ani după respectiva notificare, și anume începând cu data de 30 martie 2019, cu excepția cazului în care Consiliul European, în acord cu Regatul Unit, decide în unanimitate să extindă perioada respectivă.</w:t>
      </w:r>
      <w:r>
        <w:rPr>
          <w:noProof/>
          <w:sz w:val="23"/>
        </w:rPr>
        <w:t xml:space="preserve"> </w:t>
      </w:r>
    </w:p>
    <w:p>
      <w:pPr>
        <w:pStyle w:val="ManualConsidrant"/>
        <w:rPr>
          <w:noProof/>
        </w:rPr>
      </w:pPr>
      <w:r>
        <w:t>(2)</w:t>
      </w:r>
      <w:r>
        <w:tab/>
      </w:r>
      <w:r>
        <w:rPr>
          <w:noProof/>
        </w:rPr>
        <w:t xml:space="preserve">Retragerea are loc în perioada de programare 2014-2020, în care Regatul Unit participă la cincisprezece programe în cadrul obiectivului de cooperare teritorială europeană (denumite în continuare „programe de cooperare”). Două dintre programele respective sunt programe care implică Irlanda de Nord și sprijină pacea și reconcilierea, precum și cooperarea nord-sud în temeiul Acordului din Vinerea Mare, și pe care Uniunea intenționează să le continue chiar dacă Regatul Unit se retrage din Uniune fără să fi intrat în vigoare un acord de retragere până la data la care tratatele încetează să se aplice Regatului Unit și pe teritoriul acestuia în temeiul articolului 50 alineatul (3) din Tratatul privind Uniunea Europeană. Prin urmare, prezentul regulament ar trebui să fie limitat la cele două programe de cooperare. </w:t>
      </w:r>
    </w:p>
    <w:p>
      <w:pPr>
        <w:pStyle w:val="ManualConsidrant"/>
        <w:rPr>
          <w:noProof/>
        </w:rPr>
      </w:pPr>
      <w:r>
        <w:t>(3)</w:t>
      </w:r>
      <w:r>
        <w:tab/>
      </w:r>
      <w:r>
        <w:rPr>
          <w:noProof/>
        </w:rPr>
        <w:t>Cele două programe de cooperare în cauză sunt reglementate, în special, de Regulamentul (UE) nr. 1299/2013 al Parlamentului European și al Consiliului</w:t>
      </w:r>
      <w:r>
        <w:rPr>
          <w:rStyle w:val="FootnoteReference"/>
          <w:noProof/>
        </w:rPr>
        <w:footnoteReference w:id="6"/>
      </w:r>
      <w:r>
        <w:rPr>
          <w:noProof/>
        </w:rPr>
        <w:t>, de Regulamentul (UE) nr. 1303/2013 al Parlamentului European și al Consiliului</w:t>
      </w:r>
      <w:r>
        <w:rPr>
          <w:rStyle w:val="FootnoteReference"/>
          <w:noProof/>
        </w:rPr>
        <w:footnoteReference w:id="7"/>
      </w:r>
      <w:r>
        <w:rPr>
          <w:noProof/>
        </w:rPr>
        <w:t xml:space="preserve"> și de Regulamentul (UE, Euratom) 2018/1046 al Parlamentului European și al Consiliului</w:t>
      </w:r>
      <w:r>
        <w:rPr>
          <w:rStyle w:val="FootnoteReference"/>
          <w:noProof/>
        </w:rPr>
        <w:footnoteReference w:id="8"/>
      </w:r>
      <w:r>
        <w:rPr>
          <w:noProof/>
        </w:rPr>
        <w:t>. Prezentul regulament ar trebui să prevadă dispoziții care să permită continuarea, în conformitate cu regulamentele menționate, a celor două programe de cooperare, în urma retragerii Regatului Unit din Uniune.</w:t>
      </w:r>
    </w:p>
    <w:p>
      <w:pPr>
        <w:pStyle w:val="ManualConsidrant"/>
        <w:rPr>
          <w:noProof/>
        </w:rPr>
      </w:pPr>
      <w:r>
        <w:t>(4)</w:t>
      </w:r>
      <w:r>
        <w:tab/>
      </w:r>
      <w:r>
        <w:rPr>
          <w:noProof/>
        </w:rPr>
        <w:t xml:space="preserve">În ceea ce privește programele de cooperare bilaterală PEACE IV (Irlanda-Regatul Unit) și Regatul Unit-Irlanda (Irlanda-Irlanda de Nord-Scoția), autoritatea de management face parte din Organismul pentru programe speciale UE, instituit în temeiul „Acordului dintre Guvernul Irlandei și Guvernul Regatului Unit al Marii Britanii și Irlandei de Nord de instituire a organismelor de punere în aplicare”, semnat la 8 martie 1999 (Acordul dintre Regatul Unit și Irlanda din 8 martie 1999). Întrucât implică Irlanda de Nord, cele două programe de cooperare ar trebui să continue cu dispozițiile complementare necesare. </w:t>
      </w:r>
    </w:p>
    <w:p>
      <w:pPr>
        <w:pStyle w:val="ManualConsidrant"/>
        <w:rPr>
          <w:noProof/>
        </w:rPr>
      </w:pPr>
      <w:r>
        <w:t>(5)</w:t>
      </w:r>
      <w:r>
        <w:tab/>
      </w:r>
      <w:r>
        <w:rPr>
          <w:noProof/>
        </w:rPr>
        <w:t xml:space="preserve">În scopul continuării programelor respective, ar trebui clarificat faptul că, fără a se aduce atingere articolului 20 alineatele (2) și (3) din Regulamentul (UE) nr. 1299/2013, programele de cooperare în cauză pot viza regiunile participante din Regatul Unit, care ar trebui să fie echivalente cu regiunile de nivel NUTS 3.  </w:t>
      </w:r>
    </w:p>
    <w:p>
      <w:pPr>
        <w:pStyle w:val="ManualConsidrant"/>
        <w:rPr>
          <w:noProof/>
        </w:rPr>
      </w:pPr>
      <w:r>
        <w:t>(6)</w:t>
      </w:r>
      <w:r>
        <w:tab/>
      </w:r>
      <w:r>
        <w:rPr>
          <w:noProof/>
        </w:rPr>
        <w:t xml:space="preserve">În scopul continuării programelor respective cu finanțare din bugetul general al UE, ar trebui încheiat un acord administrativ, cu efect de la data la care tratatele încetează a se mai aplica Regatului Unit și pe teritoriul acestuia, între Comisie și autoritățile din Regatul Unit, pentru a se permite efectuarea controalelor și a auditurilor asupra programelor respective. Dacă nu pot fi efectuate controalele și auditurile necesare, Comisia ar trebui să aibă posibilitatea de a întrerupe termenele de plată, de a suspenda plățile și de a aplica corecții financiare în conformitate cu articolele 83, 142, 144 și 145 din Regulamentul (UE) nr. 1303/2013. </w:t>
      </w:r>
    </w:p>
    <w:p>
      <w:pPr>
        <w:pStyle w:val="ManualConsidrant"/>
        <w:rPr>
          <w:noProof/>
        </w:rPr>
      </w:pPr>
      <w:r>
        <w:t>(7)</w:t>
      </w:r>
      <w:r>
        <w:tab/>
      </w:r>
      <w:r>
        <w:rPr>
          <w:noProof/>
        </w:rPr>
        <w:t xml:space="preserve">În conformitate cu articolul 76 din Regulamentul (UE) nr. 1303/2013, decizia Comisiei de aprobare a programului PEACE IV (Irlanda-Regatul Unit), C(2015) 8564, din 30 noiembrie 2015, astfel cum a fost modificată prin Decizia C(2018) 5126 din 26 iulie 2018, și decizia Comisiei de aprobare a programului Interreg VA, C(2015) 890, din 12 februarie 2015, astfel cum a fost modificată prin Decizia C(2016) 1547 din 10 martie 2016, urmează să constituie în continuare o decizie de finanțare în sensul Regulamentului financiar și, prin urmare, un angajament juridic în sensul regulamentului respectiv. Regatul Unit rămâne responsabil pentru obligațiile sale financiare care au fost asumate ca stat membru și care se referă la aceste angajamente juridice ale Uniunii.  </w:t>
      </w:r>
    </w:p>
    <w:p>
      <w:pPr>
        <w:pStyle w:val="ManualConsidrant"/>
        <w:rPr>
          <w:noProof/>
        </w:rPr>
      </w:pPr>
      <w:r>
        <w:t>(8)</w:t>
      </w:r>
      <w:r>
        <w:tab/>
      </w:r>
      <w:r>
        <w:rPr>
          <w:noProof/>
        </w:rPr>
        <w:t>De la data la care încetează să se aplice tratatele, Regatul Unit va înceta a fi inclus în „partea din Uniune a zonei vizate de program” în sensul articolului 20 alineatul (1) din Regulamentul (UE) nr. 1299/2013. Prin urmare, ar trebui adaptate dispozițiile privind eligibilitatea operațiunilor în funcție de localizare.</w:t>
      </w:r>
    </w:p>
    <w:p>
      <w:pPr>
        <w:pStyle w:val="ManualConsidrant"/>
        <w:rPr>
          <w:noProof/>
        </w:rPr>
      </w:pPr>
      <w:r>
        <w:t>(9)</w:t>
      </w:r>
      <w:r>
        <w:tab/>
      </w:r>
      <w:r>
        <w:rPr>
          <w:noProof/>
        </w:rPr>
        <w:t xml:space="preserve">Pentru a se permite aplicarea cu promptitudine a măsurilor prevăzute în prezentul regulament, acesta ar trebui să intre în vigoare în ziua următoare datei publicării în </w:t>
      </w:r>
      <w:r>
        <w:rPr>
          <w:i/>
          <w:noProof/>
        </w:rPr>
        <w:t>Jurnalul Oficial al Uniunii Europene</w:t>
      </w:r>
      <w:r>
        <w:rPr>
          <w:noProof/>
        </w:rPr>
        <w:t>. Prezentul regulament ar trebui să se aplice numai în situația în care, până la data la care tratatele încetează să se aplice Regatului Unit și pe teritoriul acestuia în temeiul articolului 50 alineatul (3) din Tratatul privind Uniunea Europeană, nu a intrat în vigoare niciun acord de retragere încheiat cu Regatul Unit în temeiul articolului 50 alineatul (2) din Tratatul privind Uniunea Europeană,</w:t>
      </w:r>
    </w:p>
    <w:p>
      <w:pPr>
        <w:pStyle w:val="Formuledadoption"/>
        <w:rPr>
          <w:noProof/>
        </w:rPr>
      </w:pPr>
      <w:r>
        <w:rPr>
          <w:noProof/>
        </w:rPr>
        <w:t>ADOPTĂ PREZENTUL REGULAMENT:</w:t>
      </w:r>
    </w:p>
    <w:p>
      <w:pPr>
        <w:pStyle w:val="Titrearticle"/>
        <w:rPr>
          <w:noProof/>
        </w:rPr>
      </w:pPr>
      <w:r>
        <w:rPr>
          <w:noProof/>
        </w:rPr>
        <w:t>Articolul 1</w:t>
      </w:r>
      <w:r>
        <w:rPr>
          <w:noProof/>
        </w:rPr>
        <w:br/>
      </w:r>
      <w:r>
        <w:rPr>
          <w:b/>
          <w:noProof/>
        </w:rPr>
        <w:t>Obiectul și domeniul de aplicare</w:t>
      </w:r>
    </w:p>
    <w:p>
      <w:pPr>
        <w:rPr>
          <w:noProof/>
        </w:rPr>
      </w:pPr>
      <w:r>
        <w:rPr>
          <w:noProof/>
        </w:rPr>
        <w:t xml:space="preserve">Prezentul regulament stabilește dispoziții în vederea gestionării consecințelor retragerii Regatului Unit din Uniune în situația în care, până la data la care tratatele încetează să se aplice Regatului Unit și pe teritoriul acestuia în temeiul articolului 50 alineatul (3) din Tratatul privind Uniunea Europeană, nu a intrat în vigoare niciun acord de retragere încheiat cu Regatul Unit în temeiul articolului 50 alineatul (2) din Tratatul privind Uniunea Europeană, precum și dispoziții privind continuarea următoarelor două programe de cooperare prevăzute de Regulamentul (UE) nr. 1299/2013 cu participarea Regatului Unit („programele de cooperare”): </w:t>
      </w:r>
    </w:p>
    <w:p>
      <w:pPr>
        <w:pStyle w:val="Point0number"/>
        <w:numPr>
          <w:ilvl w:val="0"/>
          <w:numId w:val="15"/>
        </w:numPr>
        <w:rPr>
          <w:noProof/>
        </w:rPr>
      </w:pPr>
      <w:r>
        <w:rPr>
          <w:noProof/>
        </w:rPr>
        <w:t xml:space="preserve">PEACE IV (Irlanda-Regatul Unit); </w:t>
      </w:r>
    </w:p>
    <w:p>
      <w:pPr>
        <w:pStyle w:val="Point0number"/>
        <w:rPr>
          <w:noProof/>
        </w:rPr>
      </w:pPr>
      <w:r>
        <w:rPr>
          <w:noProof/>
        </w:rPr>
        <w:t>Regatul Unit-Irlanda (Irlanda-Irlanda de Nord-Scoția).</w:t>
      </w:r>
    </w:p>
    <w:p>
      <w:pPr>
        <w:rPr>
          <w:noProof/>
        </w:rPr>
      </w:pPr>
      <w:r>
        <w:rPr>
          <w:noProof/>
        </w:rPr>
        <w:t xml:space="preserve">Regulamentul (UE) nr. 1299/2013 se aplică în continuare programelor de cooperare care fac obiectul dispozițiilor prezentului regulament. </w:t>
      </w:r>
    </w:p>
    <w:p>
      <w:pPr>
        <w:pStyle w:val="Titrearticle"/>
        <w:ind w:left="1080"/>
        <w:rPr>
          <w:noProof/>
        </w:rPr>
      </w:pPr>
      <w:r>
        <w:rPr>
          <w:noProof/>
        </w:rPr>
        <w:t xml:space="preserve">Articolul 2 </w:t>
      </w:r>
      <w:r>
        <w:rPr>
          <w:noProof/>
        </w:rPr>
        <w:br/>
      </w:r>
      <w:r>
        <w:rPr>
          <w:b/>
          <w:noProof/>
        </w:rPr>
        <w:t>Acoperire geografică</w:t>
      </w:r>
    </w:p>
    <w:p>
      <w:pPr>
        <w:rPr>
          <w:noProof/>
        </w:rPr>
      </w:pPr>
      <w:r>
        <w:rPr>
          <w:noProof/>
        </w:rPr>
        <w:t>Fără a se aduce atingere articolului 20 alineatele (2) și (3) din Regulamentul (UE) nr. 1299/2013, programele de cooperare pot viza regiunile participante din Regatul Unit, care sunt echivalente cu regiunile de nivel NUTS 3.</w:t>
      </w:r>
    </w:p>
    <w:p>
      <w:pPr>
        <w:pStyle w:val="Titrearticle"/>
        <w:rPr>
          <w:noProof/>
        </w:rPr>
      </w:pPr>
      <w:r>
        <w:rPr>
          <w:noProof/>
        </w:rPr>
        <w:t>Articolul 3</w:t>
      </w:r>
      <w:r>
        <w:rPr>
          <w:noProof/>
        </w:rPr>
        <w:br/>
      </w:r>
      <w:r>
        <w:rPr>
          <w:b/>
          <w:noProof/>
        </w:rPr>
        <w:t>Autoritățile responsabile cu programele</w:t>
      </w:r>
    </w:p>
    <w:p>
      <w:pPr>
        <w:rPr>
          <w:noProof/>
        </w:rPr>
      </w:pPr>
      <w:r>
        <w:rPr>
          <w:noProof/>
        </w:rPr>
        <w:t>Prin derogare de la articolul 21 alineatul (1) din Regulamentul (UE) nr. 1299/2013,</w:t>
      </w:r>
    </w:p>
    <w:p>
      <w:pPr>
        <w:pStyle w:val="ListDash"/>
        <w:rPr>
          <w:noProof/>
        </w:rPr>
      </w:pPr>
      <w:r>
        <w:rPr>
          <w:noProof/>
        </w:rPr>
        <w:t>Organismul pentru programe speciale UE, care găzduiește autoritatea de management și autoritatea de certificare a programelor PEACE IV (Irlanda-Regatul Unit) și Regatul Unit-Irlanda (Irlanda-Irlanda de Nord-Scoția), continuă să își exercite funcțiile;</w:t>
      </w:r>
    </w:p>
    <w:p>
      <w:pPr>
        <w:pStyle w:val="ListDash"/>
        <w:spacing w:before="0" w:after="200" w:line="276" w:lineRule="auto"/>
        <w:jc w:val="left"/>
        <w:rPr>
          <w:i/>
          <w:noProof/>
        </w:rPr>
      </w:pPr>
      <w:r>
        <w:rPr>
          <w:noProof/>
        </w:rPr>
        <w:t xml:space="preserve">Ministerul Finanțelor din Irlanda de Nord rămâne autoritatea de audit a acestor programe. </w:t>
      </w:r>
      <w:r>
        <w:rPr>
          <w:noProof/>
        </w:rPr>
        <w:br w:type="page"/>
      </w:r>
    </w:p>
    <w:p>
      <w:pPr>
        <w:pStyle w:val="Titrearticle"/>
        <w:rPr>
          <w:b/>
          <w:i w:val="0"/>
          <w:noProof/>
          <w:szCs w:val="24"/>
        </w:rPr>
      </w:pPr>
      <w:r>
        <w:rPr>
          <w:noProof/>
        </w:rPr>
        <w:t>Articolul 4</w:t>
      </w:r>
      <w:r>
        <w:rPr>
          <w:noProof/>
        </w:rPr>
        <w:br/>
      </w:r>
      <w:r>
        <w:rPr>
          <w:b/>
          <w:noProof/>
        </w:rPr>
        <w:t>Competențele Comisiei în privința controalelor</w:t>
      </w:r>
    </w:p>
    <w:p>
      <w:pPr>
        <w:rPr>
          <w:noProof/>
        </w:rPr>
      </w:pPr>
      <w:r>
        <w:rPr>
          <w:noProof/>
        </w:rPr>
        <w:t>Aplicarea normelor referitoare la controalele și auditul programelor respective se stabilește de comun acord de către Comisie și autoritățile din Regatul Unit. Controalele și auditurile vizează întreaga perioadă a programelor de cooperare.</w:t>
      </w:r>
    </w:p>
    <w:p>
      <w:pPr>
        <w:rPr>
          <w:noProof/>
        </w:rPr>
      </w:pPr>
      <w:r>
        <w:rPr>
          <w:noProof/>
        </w:rPr>
        <w:t>În cazul în care controalele și auditurile necesare asupra programelor nu pot fi efectuate în toate regiunile în cauză, acest lucru constituie o deficiență gravă a sistemului de gestiune și control în sensul măsurilor prevăzute la articolele 83, 142, 144 și 145 din Regulamentul (UE) nr. 1303/2013.</w:t>
      </w:r>
    </w:p>
    <w:p>
      <w:pPr>
        <w:pStyle w:val="Titrearticle"/>
        <w:rPr>
          <w:noProof/>
        </w:rPr>
      </w:pPr>
      <w:r>
        <w:rPr>
          <w:noProof/>
        </w:rPr>
        <w:t>Articolul 5</w:t>
      </w:r>
      <w:r>
        <w:rPr>
          <w:noProof/>
        </w:rPr>
        <w:br/>
      </w:r>
      <w:r>
        <w:rPr>
          <w:b/>
          <w:noProof/>
        </w:rPr>
        <w:t>Eligibilitatea operațiunilor în funcție de localizare</w:t>
      </w:r>
    </w:p>
    <w:p>
      <w:pPr>
        <w:rPr>
          <w:noProof/>
        </w:rPr>
      </w:pPr>
      <w:r>
        <w:rPr>
          <w:noProof/>
        </w:rPr>
        <w:t>Plafonul stabilit la articolul 20 alineatul (2) litera (b) din Regulamentul (UE) nr. 1299/2013 nu se aplică programelor de cooperare.</w:t>
      </w:r>
    </w:p>
    <w:p>
      <w:pPr>
        <w:pStyle w:val="Titrearticle"/>
        <w:rPr>
          <w:noProof/>
        </w:rPr>
      </w:pPr>
      <w:r>
        <w:rPr>
          <w:noProof/>
        </w:rPr>
        <w:t>Articolul 6</w:t>
      </w:r>
      <w:r>
        <w:br/>
      </w:r>
      <w:r>
        <w:rPr>
          <w:b/>
          <w:noProof/>
        </w:rPr>
        <w:t>Intrarea în vigoare și aplicarea</w:t>
      </w:r>
    </w:p>
    <w:p>
      <w:pPr>
        <w:rPr>
          <w:noProof/>
        </w:rPr>
      </w:pPr>
      <w:r>
        <w:rPr>
          <w:noProof/>
        </w:rPr>
        <w:t xml:space="preserve">Prezentul regulament intră în vigoare în ziua următoare datei publicării în </w:t>
      </w:r>
      <w:r>
        <w:rPr>
          <w:i/>
          <w:noProof/>
        </w:rPr>
        <w:t>Jurnalul Oficial al Uniunii Europene</w:t>
      </w:r>
      <w:r>
        <w:rPr>
          <w:noProof/>
        </w:rPr>
        <w:t xml:space="preserve">. </w:t>
      </w:r>
    </w:p>
    <w:p>
      <w:pPr>
        <w:keepNext/>
        <w:rPr>
          <w:noProof/>
        </w:rPr>
      </w:pPr>
      <w:r>
        <w:rPr>
          <w:noProof/>
        </w:rPr>
        <w:t>Prezentul regulament se aplică din ziua următoare datei la care tratatele încetează să se aplice Regatului Unit și pe teritoriul acestuia în temeiul articolului 50 alineatul (3) din Tratatul privind Uniunea Europeană.</w:t>
      </w:r>
    </w:p>
    <w:p>
      <w:pPr>
        <w:keepNext/>
        <w:rPr>
          <w:noProof/>
        </w:rPr>
      </w:pPr>
      <w:r>
        <w:rPr>
          <w:noProof/>
        </w:rPr>
        <w:t>Cu toate acestea, prezentul regulament nu se aplică dacă până la data respectivă a intrat în vigoare un acord de retragere încheiat cu Regatul Unit în conformitate cu articolul 50 alineatul (2) din Tratatul privind Uniunea Europeană.</w:t>
      </w:r>
    </w:p>
    <w:p>
      <w:pPr>
        <w:pStyle w:val="Applicationdirecte"/>
        <w:rPr>
          <w:noProof/>
        </w:rPr>
      </w:pPr>
      <w:r>
        <w:rPr>
          <w:noProof/>
        </w:rPr>
        <w:t>Prezentul regulament este obligatoriu în toate elementele sale și se aplică direct în toate statele membre.</w:t>
      </w:r>
    </w:p>
    <w:p>
      <w:pPr>
        <w:pStyle w:val="Fait"/>
        <w:rPr>
          <w:noProof/>
        </w:rPr>
      </w:pPr>
      <w:r>
        <w:t>Adoptat la Bruxelles,</w:t>
      </w:r>
    </w:p>
    <w:p>
      <w:pPr>
        <w:pStyle w:val="Institutionquisigne"/>
        <w:rPr>
          <w:noProof/>
        </w:rPr>
      </w:pPr>
      <w:r>
        <w:rPr>
          <w:noProof/>
        </w:rPr>
        <w:t>Pentru Parlamentul European</w:t>
      </w:r>
      <w:r>
        <w:rPr>
          <w:noProof/>
        </w:rPr>
        <w:tab/>
        <w:t>Pentru Consiliu</w:t>
      </w:r>
    </w:p>
    <w:p>
      <w:pPr>
        <w:pStyle w:val="Personnequisigne"/>
        <w:rPr>
          <w:i w:val="0"/>
          <w:noProof/>
        </w:rPr>
      </w:pPr>
      <w:r>
        <w:rPr>
          <w:noProof/>
        </w:rPr>
        <w:t>Președintele</w:t>
      </w:r>
      <w:r>
        <w:rPr>
          <w:noProof/>
        </w:rPr>
        <w:tab/>
        <w:t>Președintele</w:t>
      </w:r>
    </w:p>
    <w:p>
      <w:pPr>
        <w:pStyle w:val="Personnequisigne"/>
        <w:rPr>
          <w:noProof/>
        </w:rPr>
        <w:sectPr>
          <w:pgSz w:w="11907" w:h="16839"/>
          <w:pgMar w:top="1134" w:right="1417" w:bottom="1134" w:left="1417" w:header="709" w:footer="709" w:gutter="0"/>
          <w:cols w:space="708"/>
          <w:docGrid w:linePitch="360"/>
        </w:sectPr>
      </w:pPr>
    </w:p>
    <w:p>
      <w:pPr>
        <w:pStyle w:val="Fichefinanciretitre"/>
        <w:rPr>
          <w:noProof/>
        </w:rPr>
      </w:pPr>
      <w:r>
        <w:rPr>
          <w:noProof/>
        </w:rPr>
        <w:t>FIȘĂ FINANCIARĂ LEGISLATIVĂ</w:t>
      </w:r>
    </w:p>
    <w:p>
      <w:pPr>
        <w:pStyle w:val="ManualHeading1"/>
        <w:rPr>
          <w:noProof/>
        </w:rPr>
      </w:pPr>
      <w:bookmarkStart w:id="1" w:name="_Toc514938007"/>
      <w:bookmarkStart w:id="2" w:name="_Toc520485025"/>
      <w:r>
        <w:t>1.</w:t>
      </w:r>
      <w:r>
        <w:tab/>
      </w:r>
      <w:r>
        <w:rPr>
          <w:noProof/>
        </w:rPr>
        <w:t>CADRUL PROPUNERII/INIȚIATIVEI</w:t>
      </w:r>
      <w:bookmarkEnd w:id="1"/>
      <w:bookmarkEnd w:id="2"/>
      <w:r>
        <w:rPr>
          <w:noProof/>
        </w:rPr>
        <w:t xml:space="preserve"> </w:t>
      </w:r>
    </w:p>
    <w:p>
      <w:pPr>
        <w:pStyle w:val="ManualHeading2"/>
        <w:rPr>
          <w:noProof/>
        </w:rPr>
      </w:pPr>
      <w:bookmarkStart w:id="3" w:name="_Toc514938008"/>
      <w:bookmarkStart w:id="4" w:name="_Toc520485026"/>
      <w:r>
        <w:t>1.1.</w:t>
      </w:r>
      <w:r>
        <w:tab/>
      </w:r>
      <w:r>
        <w:rPr>
          <w:noProof/>
        </w:rPr>
        <w:t>Titlul propunerii/inițiativei</w:t>
      </w:r>
      <w:bookmarkEnd w:id="3"/>
      <w:bookmarkEnd w:id="4"/>
    </w:p>
    <w:p>
      <w:pPr>
        <w:pStyle w:val="ManualHeading2"/>
        <w:rPr>
          <w:i/>
          <w:noProof/>
        </w:rPr>
      </w:pPr>
      <w:bookmarkStart w:id="5" w:name="_Toc514938011"/>
      <w:bookmarkStart w:id="6" w:name="_Toc520485027"/>
      <w:r>
        <w:t>1.2.</w:t>
      </w:r>
      <w:r>
        <w:tab/>
      </w:r>
      <w:r>
        <w:rPr>
          <w:noProof/>
        </w:rPr>
        <w:t>Domeniul (domeniile) de politică vizat(e)</w:t>
      </w:r>
      <w:bookmarkEnd w:id="5"/>
      <w:bookmarkEnd w:id="6"/>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Propunere de regulament al Parlamentului European și al Consiliului privind dispoziții specifice pentru gestionarea programelor europene de cooperare teritorială în contextul retragerii Regatului Unit din Uniunea Europeană.</w:t>
      </w:r>
    </w:p>
    <w:p>
      <w:pPr>
        <w:pStyle w:val="ManualHeading2"/>
        <w:rPr>
          <w:bCs/>
          <w:noProof/>
          <w:szCs w:val="24"/>
        </w:rPr>
      </w:pPr>
      <w:bookmarkStart w:id="7" w:name="_Toc514938025"/>
      <w:bookmarkStart w:id="8" w:name="_Toc520485034"/>
      <w:r>
        <w:t>1.3.</w:t>
      </w:r>
      <w:r>
        <w:tab/>
      </w:r>
      <w:r>
        <w:rPr>
          <w:noProof/>
        </w:rPr>
        <w:t>Motivele propunerii/inițiativei</w:t>
      </w:r>
      <w:bookmarkEnd w:id="7"/>
      <w:bookmarkEnd w:id="8"/>
      <w:r>
        <w:rPr>
          <w:noProof/>
        </w:rPr>
        <w:t xml:space="preserve"> </w:t>
      </w:r>
    </w:p>
    <w:p>
      <w:pPr>
        <w:pStyle w:val="ManualHeading3"/>
        <w:rPr>
          <w:noProof/>
        </w:rPr>
      </w:pPr>
      <w:bookmarkStart w:id="9" w:name="_Toc514938026"/>
      <w:bookmarkStart w:id="10" w:name="_Toc520485035"/>
      <w:r>
        <w:t>1.3.1.</w:t>
      </w:r>
      <w:r>
        <w:tab/>
      </w:r>
      <w:r>
        <w:rPr>
          <w:noProof/>
        </w:rPr>
        <w:t>Cerința (cerințele) care trebuie îndeplinită (îndeplinite) pe termen scurt sau lung, inclusiv un calendar detaliat pentru punerea în aplicare a inițiativei</w:t>
      </w:r>
      <w:bookmarkEnd w:id="9"/>
      <w:bookmarkEnd w:id="10"/>
    </w:p>
    <w:p>
      <w:pPr>
        <w:pStyle w:val="Text1"/>
        <w:pBdr>
          <w:top w:val="single" w:sz="4" w:space="1" w:color="auto"/>
          <w:left w:val="single" w:sz="4" w:space="4" w:color="auto"/>
          <w:bottom w:val="single" w:sz="4" w:space="1" w:color="auto"/>
          <w:right w:val="single" w:sz="4" w:space="4" w:color="auto"/>
        </w:pBdr>
        <w:rPr>
          <w:noProof/>
        </w:rPr>
      </w:pPr>
      <w:r>
        <w:rPr>
          <w:noProof/>
        </w:rPr>
        <w:t xml:space="preserve">Prezentul regulament intră în vigoare în ziua următoare datei publicării în </w:t>
      </w:r>
      <w:r>
        <w:rPr>
          <w:i/>
          <w:noProof/>
        </w:rPr>
        <w:t>Jurnalul Oficial al Uniunii Europene</w:t>
      </w:r>
      <w:r>
        <w:rPr>
          <w:noProof/>
        </w:rPr>
        <w:t>.</w:t>
      </w:r>
    </w:p>
    <w:p>
      <w:pPr>
        <w:pStyle w:val="Text1"/>
        <w:pBdr>
          <w:top w:val="single" w:sz="4" w:space="1" w:color="auto"/>
          <w:left w:val="single" w:sz="4" w:space="4" w:color="auto"/>
          <w:bottom w:val="single" w:sz="4" w:space="1" w:color="auto"/>
          <w:right w:val="single" w:sz="4" w:space="4" w:color="auto"/>
        </w:pBdr>
        <w:rPr>
          <w:noProof/>
        </w:rPr>
      </w:pPr>
      <w:r>
        <w:rPr>
          <w:noProof/>
        </w:rPr>
        <w:t>Prezentul regulament se aplică de la data următoare celei la care tratatele încetează să se mai aplice Regatului Unit și pe teritoriul acestuia în temeiul articolului 50 alineatul (3) din Tratatul privind Uniunea Europeană.</w:t>
      </w:r>
    </w:p>
    <w:p>
      <w:pPr>
        <w:pStyle w:val="Text1"/>
        <w:pBdr>
          <w:top w:val="single" w:sz="4" w:space="1" w:color="auto"/>
          <w:left w:val="single" w:sz="4" w:space="4" w:color="auto"/>
          <w:bottom w:val="single" w:sz="4" w:space="1" w:color="auto"/>
          <w:right w:val="single" w:sz="4" w:space="4" w:color="auto"/>
        </w:pBdr>
        <w:rPr>
          <w:noProof/>
        </w:rPr>
      </w:pPr>
      <w:r>
        <w:rPr>
          <w:noProof/>
        </w:rPr>
        <w:t>Prezentul regulament nu se aplică dacă până la data respectivă a intrat în vigoare un acord de retragere încheiat cu Regatul Unit în conformitate cu articolul 50 alineatul (2) din Tratatul privind Uniunea Europeană.</w:t>
      </w:r>
    </w:p>
    <w:p>
      <w:pPr>
        <w:pStyle w:val="ManualHeading3"/>
        <w:rPr>
          <w:bCs/>
          <w:noProof/>
          <w:szCs w:val="24"/>
        </w:rPr>
      </w:pPr>
      <w:bookmarkStart w:id="11" w:name="_Toc514938029"/>
      <w:bookmarkStart w:id="12" w:name="_Toc520485036"/>
      <w:r>
        <w:t>1.3.2.</w:t>
      </w:r>
      <w:r>
        <w:tab/>
      </w:r>
      <w:r>
        <w:rPr>
          <w:noProof/>
        </w:rPr>
        <w:t>Valoarea adăugată a intervenției Uniunii (aceasta poate rezulta din diferiți factori, de exemplu mai buna coordonare, securitatea juridică, o mai mare eficacitate sau complementaritate). În sensul prezentului punct, „valoarea adăugată a intervenției Uniunii” este valoarea ce rezultă din intervenția Uniunii care depășește valoarea ce ar fi fost obținută dacă ar fi acționat doar statele membre.</w:t>
      </w:r>
      <w:bookmarkEnd w:id="11"/>
      <w:bookmarkEnd w:id="12"/>
    </w:p>
    <w:p>
      <w:pPr>
        <w:pStyle w:val="Text1"/>
        <w:pBdr>
          <w:top w:val="single" w:sz="4" w:space="1" w:color="auto"/>
          <w:left w:val="single" w:sz="4" w:space="4" w:color="auto"/>
          <w:bottom w:val="single" w:sz="4" w:space="1" w:color="auto"/>
          <w:right w:val="single" w:sz="4" w:space="4" w:color="auto"/>
        </w:pBdr>
        <w:rPr>
          <w:noProof/>
        </w:rPr>
      </w:pPr>
      <w:r>
        <w:t>N/A</w:t>
      </w:r>
    </w:p>
    <w:p>
      <w:pPr>
        <w:pStyle w:val="ManualHeading3"/>
        <w:rPr>
          <w:noProof/>
        </w:rPr>
      </w:pPr>
      <w:bookmarkStart w:id="13" w:name="_Toc514938030"/>
      <w:bookmarkStart w:id="14" w:name="_Toc520485037"/>
      <w:r>
        <w:t>1.3.3.</w:t>
      </w:r>
      <w:r>
        <w:tab/>
      </w:r>
      <w:r>
        <w:rPr>
          <w:noProof/>
        </w:rPr>
        <w:t>Învățăminte desprinse din experiențele anterioare similare</w:t>
      </w:r>
      <w:bookmarkEnd w:id="13"/>
      <w:bookmarkEnd w:id="14"/>
    </w:p>
    <w:p>
      <w:pPr>
        <w:pStyle w:val="Text1"/>
        <w:pBdr>
          <w:top w:val="single" w:sz="4" w:space="1" w:color="auto"/>
          <w:left w:val="single" w:sz="4" w:space="4" w:color="auto"/>
          <w:bottom w:val="single" w:sz="4" w:space="1" w:color="auto"/>
          <w:right w:val="single" w:sz="4" w:space="4" w:color="auto"/>
        </w:pBdr>
        <w:rPr>
          <w:noProof/>
        </w:rPr>
      </w:pPr>
      <w:r>
        <w:t>N/A</w:t>
      </w:r>
    </w:p>
    <w:p>
      <w:pPr>
        <w:pStyle w:val="ManualHeading3"/>
        <w:rPr>
          <w:noProof/>
        </w:rPr>
      </w:pPr>
      <w:bookmarkStart w:id="15" w:name="_Toc514938033"/>
      <w:bookmarkStart w:id="16" w:name="_Toc520485038"/>
      <w:r>
        <w:t>1.3.4.</w:t>
      </w:r>
      <w:r>
        <w:tab/>
      </w:r>
      <w:r>
        <w:rPr>
          <w:noProof/>
        </w:rPr>
        <w:t>Compatibilitatea cu cadrul financiar multianual și posibilele sinergii cu alte instrumente corespunzătoare</w:t>
      </w:r>
      <w:bookmarkEnd w:id="15"/>
      <w:bookmarkEnd w:id="16"/>
    </w:p>
    <w:p>
      <w:pPr>
        <w:pStyle w:val="Text1"/>
        <w:pBdr>
          <w:top w:val="single" w:sz="4" w:space="1" w:color="auto"/>
          <w:left w:val="single" w:sz="4" w:space="4" w:color="auto"/>
          <w:bottom w:val="single" w:sz="4" w:space="1" w:color="auto"/>
          <w:right w:val="single" w:sz="4" w:space="4" w:color="auto"/>
        </w:pBdr>
        <w:rPr>
          <w:noProof/>
        </w:rPr>
      </w:pPr>
      <w:r>
        <w:rPr>
          <w:noProof/>
        </w:rPr>
        <w:t>Prezentul regulament este compatibil cu CFM. Prezentul regulament nu are niciun impact financiar.</w:t>
      </w:r>
    </w:p>
    <w:p>
      <w:pPr>
        <w:pStyle w:val="ManualHeading3"/>
        <w:rPr>
          <w:noProof/>
        </w:rPr>
      </w:pPr>
      <w:bookmarkStart w:id="17" w:name="_Toc514938036"/>
      <w:bookmarkStart w:id="18" w:name="_Toc520485039"/>
      <w:r>
        <w:t>1.3.5.</w:t>
      </w:r>
      <w:r>
        <w:tab/>
      </w:r>
      <w:r>
        <w:rPr>
          <w:noProof/>
        </w:rPr>
        <w:t>Evaluarea diferitelor opțiuni de finanțare disponibile, inclusiv a posibilităților de realocare a creditelor</w:t>
      </w:r>
      <w:bookmarkEnd w:id="17"/>
      <w:bookmarkEnd w:id="18"/>
    </w:p>
    <w:p>
      <w:pPr>
        <w:pStyle w:val="Text1"/>
        <w:pBdr>
          <w:top w:val="single" w:sz="4" w:space="1" w:color="auto"/>
          <w:left w:val="single" w:sz="4" w:space="4" w:color="auto"/>
          <w:bottom w:val="single" w:sz="4" w:space="0" w:color="auto"/>
          <w:right w:val="single" w:sz="4" w:space="4" w:color="auto"/>
        </w:pBdr>
        <w:rPr>
          <w:noProof/>
        </w:rPr>
      </w:pPr>
      <w:r>
        <w:rPr>
          <w:noProof/>
        </w:rPr>
        <w:t>Prezentul regulament nu are niciun impact financiar. Contribuția Uniunii la programe va fi finanțată din bugetul general al Uniunii.</w:t>
      </w:r>
    </w:p>
    <w:p>
      <w:pPr>
        <w:pStyle w:val="Text1"/>
        <w:rPr>
          <w:noProof/>
        </w:rPr>
      </w:pPr>
    </w:p>
    <w:p>
      <w:pPr>
        <w:pStyle w:val="ManualHeading2"/>
        <w:rPr>
          <w:bCs/>
          <w:noProof/>
          <w:szCs w:val="24"/>
        </w:rPr>
      </w:pPr>
      <w:r>
        <w:rPr>
          <w:noProof/>
        </w:rPr>
        <w:br w:type="page"/>
      </w:r>
      <w:bookmarkStart w:id="19" w:name="_Toc514938039"/>
      <w:bookmarkStart w:id="20" w:name="_Toc520485040"/>
      <w:r>
        <w:t>1.4.</w:t>
      </w:r>
      <w:r>
        <w:tab/>
      </w:r>
      <w:r>
        <w:rPr>
          <w:noProof/>
        </w:rPr>
        <w:t>Durata și impactul financiar ale propunerii/inițiativei</w:t>
      </w:r>
      <w:bookmarkEnd w:id="19"/>
      <w:bookmarkEnd w:id="20"/>
    </w:p>
    <w:p>
      <w:pPr>
        <w:pStyle w:val="ListDash1"/>
        <w:rPr>
          <w:noProof/>
        </w:rPr>
      </w:pPr>
      <w:r>
        <w:rPr>
          <w:b/>
          <w:noProof/>
        </w:rPr>
        <w:t>X</w:t>
      </w:r>
      <w:r>
        <w:rPr>
          <w:noProof/>
        </w:rPr>
        <w:t xml:space="preserve"> fără impact financiar</w:t>
      </w:r>
    </w:p>
    <w:p>
      <w:pPr>
        <w:pStyle w:val="ManualHeading2"/>
        <w:rPr>
          <w:bCs/>
          <w:noProof/>
          <w:szCs w:val="24"/>
        </w:rPr>
      </w:pPr>
      <w:bookmarkStart w:id="21" w:name="_Toc514938040"/>
      <w:bookmarkStart w:id="22" w:name="_Toc520485041"/>
      <w:r>
        <w:t>1.5.</w:t>
      </w:r>
      <w:r>
        <w:tab/>
      </w:r>
      <w:r>
        <w:rPr>
          <w:noProof/>
        </w:rPr>
        <w:t>Modul (modurile) de gestiune preconizat(e)</w:t>
      </w:r>
      <w:r>
        <w:rPr>
          <w:rStyle w:val="FootnoteReference"/>
          <w:noProof/>
        </w:rPr>
        <w:footnoteReference w:id="9"/>
      </w:r>
      <w:bookmarkEnd w:id="21"/>
      <w:bookmarkEnd w:id="22"/>
      <w:r>
        <w:rPr>
          <w:rStyle w:val="FootnoteReference"/>
          <w:noProof/>
        </w:rPr>
        <w:t xml:space="preserve"> </w:t>
      </w:r>
    </w:p>
    <w:p>
      <w:pPr>
        <w:pStyle w:val="Text1"/>
        <w:rPr>
          <w:noProof/>
        </w:rPr>
      </w:pPr>
      <w:r>
        <w:rPr>
          <w:noProof/>
        </w:rPr>
        <w:sym w:font="Wingdings" w:char="F0A8"/>
      </w:r>
      <w:r>
        <w:rPr>
          <w:i/>
          <w:noProof/>
        </w:rPr>
        <w:t xml:space="preserve"> </w:t>
      </w:r>
      <w:r>
        <w:rPr>
          <w:b/>
          <w:noProof/>
        </w:rPr>
        <w:t>Gestiune directă</w:t>
      </w:r>
      <w:r>
        <w:rPr>
          <w:noProof/>
        </w:rPr>
        <w:t xml:space="preserve"> asigurată de Comisie</w:t>
      </w:r>
    </w:p>
    <w:p>
      <w:pPr>
        <w:pStyle w:val="ListDash2"/>
        <w:rPr>
          <w:rFonts w:cs="EUAlbertina"/>
          <w:noProof/>
        </w:rPr>
      </w:pPr>
      <w:r>
        <w:rPr>
          <w:noProof/>
        </w:rPr>
        <w:sym w:font="Wingdings" w:char="F0A8"/>
      </w:r>
      <w:r>
        <w:rPr>
          <w:noProof/>
        </w:rPr>
        <w:t xml:space="preserve">prin intermediul departamentelor sale, inclusiv al personalului din delegațiile Uniunii; </w:t>
      </w:r>
    </w:p>
    <w:p>
      <w:pPr>
        <w:pStyle w:val="ListDash2"/>
        <w:rPr>
          <w:noProof/>
        </w:rPr>
      </w:pPr>
      <w:r>
        <w:rPr>
          <w:noProof/>
        </w:rPr>
        <w:sym w:font="Wingdings" w:char="F0A8"/>
      </w:r>
      <w:r>
        <w:rPr>
          <w:noProof/>
        </w:rPr>
        <w:tab/>
        <w:t xml:space="preserve">prin intermediul agențiilor executive </w:t>
      </w:r>
    </w:p>
    <w:p>
      <w:pPr>
        <w:pStyle w:val="Text1"/>
        <w:rPr>
          <w:noProof/>
        </w:rPr>
      </w:pPr>
      <w:r>
        <w:rPr>
          <w:b/>
          <w:noProof/>
        </w:rPr>
        <w:t>X</w:t>
      </w:r>
      <w:r>
        <w:rPr>
          <w:b/>
          <w:i/>
          <w:noProof/>
        </w:rPr>
        <w:t xml:space="preserve"> </w:t>
      </w:r>
      <w:r>
        <w:rPr>
          <w:b/>
          <w:noProof/>
        </w:rPr>
        <w:t>Gestiune partajată</w:t>
      </w:r>
      <w:r>
        <w:rPr>
          <w:noProof/>
        </w:rPr>
        <w:t xml:space="preserve"> cu statele membre </w:t>
      </w:r>
    </w:p>
    <w:p>
      <w:pPr>
        <w:pStyle w:val="Text1"/>
        <w:rPr>
          <w:noProof/>
        </w:rPr>
      </w:pPr>
      <w:r>
        <w:rPr>
          <w:noProof/>
        </w:rPr>
        <w:sym w:font="Wingdings" w:char="F0A8"/>
      </w:r>
      <w:r>
        <w:rPr>
          <w:i/>
          <w:noProof/>
        </w:rPr>
        <w:t xml:space="preserve"> </w:t>
      </w:r>
      <w:r>
        <w:rPr>
          <w:b/>
          <w:noProof/>
        </w:rPr>
        <w:t>Gestiune indirectă</w:t>
      </w:r>
      <w:r>
        <w:rPr>
          <w:noProof/>
        </w:rPr>
        <w:t>, cu delegarea sarcinilor de execuție bugetară:</w:t>
      </w:r>
    </w:p>
    <w:p>
      <w:pPr>
        <w:pStyle w:val="ListDash2"/>
        <w:rPr>
          <w:noProof/>
        </w:rPr>
      </w:pPr>
      <w:r>
        <w:rPr>
          <w:noProof/>
        </w:rPr>
        <w:sym w:font="Wingdings" w:char="F0A8"/>
      </w:r>
      <w:r>
        <w:rPr>
          <w:noProof/>
        </w:rPr>
        <w:t xml:space="preserve"> țărilor terțe sau organismelor pe care le-au desemnat acestea;</w:t>
      </w:r>
    </w:p>
    <w:p>
      <w:pPr>
        <w:pStyle w:val="ListDash2"/>
        <w:rPr>
          <w:noProof/>
        </w:rPr>
      </w:pPr>
      <w:r>
        <w:rPr>
          <w:noProof/>
        </w:rPr>
        <w:sym w:font="Wingdings" w:char="F0A8"/>
      </w:r>
      <w:r>
        <w:rPr>
          <w:noProof/>
        </w:rPr>
        <w:t xml:space="preserve"> organizațiilor internaționale și agențiilor acestora (a se preciza);</w:t>
      </w:r>
    </w:p>
    <w:p>
      <w:pPr>
        <w:pStyle w:val="ListDash2"/>
        <w:rPr>
          <w:noProof/>
        </w:rPr>
      </w:pPr>
      <w:r>
        <w:rPr>
          <w:noProof/>
        </w:rPr>
        <w:sym w:font="Wingdings" w:char="F0A8"/>
      </w:r>
      <w:r>
        <w:rPr>
          <w:noProof/>
        </w:rPr>
        <w:t xml:space="preserve"> BEI și Fondului european de investiții;</w:t>
      </w:r>
    </w:p>
    <w:p>
      <w:pPr>
        <w:pStyle w:val="ListDash2"/>
        <w:rPr>
          <w:noProof/>
        </w:rPr>
      </w:pPr>
      <w:r>
        <w:rPr>
          <w:noProof/>
        </w:rPr>
        <w:sym w:font="Wingdings" w:char="F0A8"/>
      </w:r>
      <w:r>
        <w:rPr>
          <w:noProof/>
        </w:rPr>
        <w:t xml:space="preserve"> organismelor menționate la articolele 70 și 71 din Regulamentul financiar;</w:t>
      </w:r>
    </w:p>
    <w:p>
      <w:pPr>
        <w:pStyle w:val="ListDash2"/>
        <w:rPr>
          <w:noProof/>
        </w:rPr>
      </w:pPr>
      <w:r>
        <w:rPr>
          <w:noProof/>
        </w:rPr>
        <w:sym w:font="Wingdings" w:char="F0A8"/>
      </w:r>
      <w:r>
        <w:rPr>
          <w:noProof/>
        </w:rPr>
        <w:t xml:space="preserve"> organismelor de drept public;</w:t>
      </w:r>
    </w:p>
    <w:p>
      <w:pPr>
        <w:pStyle w:val="ListDash2"/>
        <w:rPr>
          <w:noProof/>
        </w:rPr>
      </w:pPr>
      <w:r>
        <w:rPr>
          <w:noProof/>
        </w:rPr>
        <w:sym w:font="Wingdings" w:char="F0A8"/>
      </w:r>
      <w:r>
        <w:rPr>
          <w:noProof/>
        </w:rPr>
        <w:t xml:space="preserve"> organismelor de drept privat cu misiune de serviciu public, cu condiția să prezinte garanții financiare adecvate;</w:t>
      </w:r>
    </w:p>
    <w:p>
      <w:pPr>
        <w:pStyle w:val="ListDash2"/>
        <w:rPr>
          <w:noProof/>
        </w:rPr>
      </w:pPr>
      <w:r>
        <w:rPr>
          <w:noProof/>
        </w:rPr>
        <w:sym w:font="Wingdings" w:char="F0A8"/>
      </w:r>
      <w:r>
        <w:rPr>
          <w:noProof/>
        </w:rPr>
        <w:t xml:space="preserve"> organismelor de drept privat dintr-un stat membru care sunt responsabile cu punerea în aplicare a unui parteneriat public-privat și care prezintă garanții financiare adecvate;</w:t>
      </w:r>
    </w:p>
    <w:p>
      <w:pPr>
        <w:pStyle w:val="ListDash2"/>
        <w:rPr>
          <w:noProof/>
        </w:rPr>
      </w:pPr>
      <w:r>
        <w:rPr>
          <w:noProof/>
        </w:rPr>
        <w:sym w:font="Wingdings" w:char="F0A8"/>
      </w:r>
      <w:r>
        <w:rPr>
          <w:noProof/>
        </w:rPr>
        <w:t xml:space="preserve"> persoanelor cărora li se încredințează executarea unor acțiuni specifice în cadrul PESC, în temeiul titlului V din TUE, și care sunt identificate în actul de bază relevant.</w:t>
      </w:r>
    </w:p>
    <w:p>
      <w:pPr>
        <w:pStyle w:val="ListDash2"/>
        <w:rPr>
          <w:i/>
          <w:noProof/>
          <w:sz w:val="18"/>
          <w:u w:val="single"/>
        </w:rPr>
      </w:pPr>
      <w:r>
        <w:rPr>
          <w:i/>
          <w:noProof/>
          <w:sz w:val="18"/>
        </w:rPr>
        <w:t>Dacă se indică mai multe moduri de gestiune, a se furniza detalii suplimentare în secțiunea „Observații”.</w:t>
      </w:r>
    </w:p>
    <w:p>
      <w:pPr>
        <w:rPr>
          <w:noProof/>
        </w:rPr>
      </w:pPr>
      <w:r>
        <w:rPr>
          <w:noProof/>
        </w:rPr>
        <w:t xml:space="preserve">Observații </w:t>
      </w:r>
    </w:p>
    <w:p>
      <w:pPr>
        <w:pBdr>
          <w:top w:val="single" w:sz="4" w:space="1" w:color="auto"/>
          <w:left w:val="single" w:sz="4" w:space="4" w:color="auto"/>
          <w:bottom w:val="single" w:sz="4" w:space="1" w:color="auto"/>
          <w:right w:val="single" w:sz="4" w:space="4" w:color="auto"/>
        </w:pBdr>
        <w:rPr>
          <w:noProof/>
        </w:rPr>
        <w:sectPr>
          <w:pgSz w:w="11907" w:h="16840" w:code="9"/>
          <w:pgMar w:top="1134" w:right="1418" w:bottom="1134" w:left="1418" w:header="709" w:footer="709" w:gutter="0"/>
          <w:cols w:space="708"/>
          <w:docGrid w:linePitch="360"/>
        </w:sectPr>
      </w:pPr>
      <w:r>
        <w:t>N/A</w:t>
      </w:r>
    </w:p>
    <w:p>
      <w:pPr>
        <w:pStyle w:val="ManualHeading1"/>
        <w:rPr>
          <w:bCs/>
          <w:noProof/>
          <w:szCs w:val="24"/>
        </w:rPr>
      </w:pPr>
      <w:bookmarkStart w:id="23" w:name="_Toc514938041"/>
      <w:bookmarkStart w:id="24" w:name="_Toc520485042"/>
      <w:r>
        <w:t>2.</w:t>
      </w:r>
      <w:r>
        <w:tab/>
      </w:r>
      <w:r>
        <w:rPr>
          <w:noProof/>
        </w:rPr>
        <w:t>MĂSURI DE GESTIUNE</w:t>
      </w:r>
      <w:bookmarkEnd w:id="23"/>
      <w:bookmarkEnd w:id="24"/>
      <w:r>
        <w:rPr>
          <w:noProof/>
        </w:rPr>
        <w:t xml:space="preserve"> </w:t>
      </w:r>
    </w:p>
    <w:p>
      <w:pPr>
        <w:pStyle w:val="ManualHeading2"/>
        <w:rPr>
          <w:noProof/>
        </w:rPr>
      </w:pPr>
      <w:bookmarkStart w:id="25" w:name="_Toc514938042"/>
      <w:bookmarkStart w:id="26" w:name="_Toc520485043"/>
      <w:r>
        <w:t>2.1.</w:t>
      </w:r>
      <w:r>
        <w:tab/>
      </w:r>
      <w:r>
        <w:rPr>
          <w:noProof/>
        </w:rPr>
        <w:t>Dispoziții în materie de monitorizare și de raportare</w:t>
      </w:r>
      <w:bookmarkEnd w:id="25"/>
      <w:bookmarkEnd w:id="26"/>
      <w:r>
        <w:rPr>
          <w:noProof/>
        </w:rPr>
        <w:t xml:space="preserve"> </w:t>
      </w:r>
    </w:p>
    <w:p>
      <w:pPr>
        <w:pStyle w:val="Text1"/>
        <w:rPr>
          <w:i/>
          <w:noProof/>
          <w:sz w:val="20"/>
        </w:rPr>
      </w:pPr>
      <w:r>
        <w:rPr>
          <w:i/>
          <w:noProof/>
          <w:sz w:val="20"/>
        </w:rPr>
        <w:t>A se preciza frecvența și condițiile aferente monitorizării și raportării.</w:t>
      </w:r>
    </w:p>
    <w:p>
      <w:pPr>
        <w:pStyle w:val="Text1"/>
        <w:pBdr>
          <w:top w:val="single" w:sz="4" w:space="1" w:color="auto"/>
          <w:left w:val="single" w:sz="4" w:space="4" w:color="auto"/>
          <w:bottom w:val="single" w:sz="4" w:space="1" w:color="auto"/>
          <w:right w:val="single" w:sz="4" w:space="4" w:color="auto"/>
        </w:pBdr>
        <w:rPr>
          <w:noProof/>
        </w:rPr>
      </w:pPr>
      <w:r>
        <w:t>N/A</w:t>
      </w:r>
    </w:p>
    <w:p>
      <w:pPr>
        <w:pStyle w:val="ManualHeading2"/>
        <w:rPr>
          <w:bCs/>
          <w:noProof/>
          <w:szCs w:val="24"/>
        </w:rPr>
      </w:pPr>
      <w:bookmarkStart w:id="27" w:name="_Toc514938045"/>
      <w:bookmarkStart w:id="28" w:name="_Toc520485044"/>
      <w:r>
        <w:t>2.2.</w:t>
      </w:r>
      <w:r>
        <w:tab/>
      </w:r>
      <w:r>
        <w:rPr>
          <w:noProof/>
        </w:rPr>
        <w:t>Sistemul (sistemele) de gestiune și de control</w:t>
      </w:r>
      <w:bookmarkEnd w:id="27"/>
      <w:bookmarkEnd w:id="28"/>
      <w:r>
        <w:rPr>
          <w:noProof/>
        </w:rPr>
        <w:t xml:space="preserve"> </w:t>
      </w:r>
    </w:p>
    <w:p>
      <w:pPr>
        <w:pStyle w:val="ManualHeading3"/>
        <w:rPr>
          <w:noProof/>
        </w:rPr>
      </w:pPr>
      <w:bookmarkStart w:id="29" w:name="_Toc514938046"/>
      <w:bookmarkStart w:id="30" w:name="_Toc520485045"/>
      <w:r>
        <w:t>2.2.1.</w:t>
      </w:r>
      <w:r>
        <w:tab/>
      </w:r>
      <w:r>
        <w:rPr>
          <w:noProof/>
        </w:rPr>
        <w:t>Justificarea modului (modurilor) de gestiune, a mecanismului (mecanismelor) de punere în aplicare a finanțării, a modalităților de plată și a strategiei de control propuse</w:t>
      </w:r>
      <w:bookmarkEnd w:id="29"/>
      <w:bookmarkEnd w:id="30"/>
    </w:p>
    <w:p>
      <w:pPr>
        <w:pStyle w:val="Text1"/>
        <w:pBdr>
          <w:top w:val="single" w:sz="4" w:space="1" w:color="auto"/>
          <w:left w:val="single" w:sz="4" w:space="4" w:color="auto"/>
          <w:bottom w:val="single" w:sz="4" w:space="1" w:color="auto"/>
          <w:right w:val="single" w:sz="4" w:space="4" w:color="auto"/>
        </w:pBdr>
        <w:rPr>
          <w:noProof/>
        </w:rPr>
      </w:pPr>
      <w:r>
        <w:t>N/A</w:t>
      </w:r>
    </w:p>
    <w:p>
      <w:pPr>
        <w:pStyle w:val="ManualHeading3"/>
        <w:rPr>
          <w:bCs/>
          <w:noProof/>
          <w:szCs w:val="24"/>
        </w:rPr>
      </w:pPr>
      <w:bookmarkStart w:id="31" w:name="_Toc514938047"/>
      <w:bookmarkStart w:id="32" w:name="_Toc520485046"/>
      <w:r>
        <w:t>2.2.2.</w:t>
      </w:r>
      <w:r>
        <w:tab/>
      </w:r>
      <w:r>
        <w:rPr>
          <w:noProof/>
        </w:rPr>
        <w:t>Informații privind riscurile identificate și sistemul (sistemele) de control intern instituit(e) pentru atenuarea lor</w:t>
      </w:r>
      <w:bookmarkEnd w:id="31"/>
      <w:bookmarkEnd w:id="32"/>
    </w:p>
    <w:p>
      <w:pPr>
        <w:pStyle w:val="Text1"/>
        <w:pBdr>
          <w:top w:val="single" w:sz="4" w:space="1" w:color="auto"/>
          <w:left w:val="single" w:sz="4" w:space="4" w:color="auto"/>
          <w:bottom w:val="single" w:sz="4" w:space="1" w:color="auto"/>
          <w:right w:val="single" w:sz="4" w:space="4" w:color="auto"/>
        </w:pBdr>
        <w:rPr>
          <w:noProof/>
        </w:rPr>
      </w:pPr>
      <w:r>
        <w:t>N/A</w:t>
      </w:r>
    </w:p>
    <w:p>
      <w:pPr>
        <w:pStyle w:val="ManualHeading3"/>
        <w:rPr>
          <w:noProof/>
        </w:rPr>
      </w:pPr>
      <w:bookmarkStart w:id="33" w:name="_Toc514938048"/>
      <w:bookmarkStart w:id="34" w:name="_Toc520485047"/>
      <w:r>
        <w:t>2.2.3.</w:t>
      </w:r>
      <w:r>
        <w:tab/>
      </w:r>
      <w:r>
        <w:rPr>
          <w:noProof/>
        </w:rPr>
        <w:t>Estimarea și justificarea raportului cost-eficacitate al controalelor (raportul dintre costurile controalelor și valoarea fondurilor aferente gestionate) și evaluarea nivelurilor preconizate ale riscurilor de eroare (la plată și la închidere)</w:t>
      </w:r>
      <w:bookmarkEnd w:id="33"/>
      <w:bookmarkEnd w:id="34"/>
      <w:r>
        <w:rPr>
          <w:noProof/>
        </w:rPr>
        <w:t xml:space="preserve"> </w:t>
      </w:r>
    </w:p>
    <w:p>
      <w:pPr>
        <w:pStyle w:val="Text1"/>
        <w:pBdr>
          <w:top w:val="single" w:sz="4" w:space="1" w:color="auto"/>
          <w:left w:val="single" w:sz="4" w:space="4" w:color="auto"/>
          <w:bottom w:val="single" w:sz="4" w:space="1" w:color="auto"/>
          <w:right w:val="single" w:sz="4" w:space="4" w:color="auto"/>
        </w:pBdr>
      </w:pPr>
      <w:r>
        <w:t>N/A</w:t>
      </w:r>
    </w:p>
    <w:p>
      <w:pPr>
        <w:pStyle w:val="ManualHeading2"/>
        <w:rPr>
          <w:bCs/>
          <w:noProof/>
          <w:szCs w:val="24"/>
        </w:rPr>
      </w:pPr>
      <w:bookmarkStart w:id="35" w:name="_Toc514938049"/>
      <w:bookmarkStart w:id="36" w:name="_Toc520485048"/>
      <w:r>
        <w:t>2.3.</w:t>
      </w:r>
      <w:r>
        <w:tab/>
      </w:r>
      <w:r>
        <w:rPr>
          <w:noProof/>
        </w:rPr>
        <w:t>Măsuri de prevenire a fraudelor și a neregulilor</w:t>
      </w:r>
      <w:bookmarkEnd w:id="35"/>
      <w:bookmarkEnd w:id="36"/>
      <w:r>
        <w:rPr>
          <w:noProof/>
        </w:rPr>
        <w:t xml:space="preserve"> </w:t>
      </w:r>
    </w:p>
    <w:p>
      <w:pPr>
        <w:pStyle w:val="Text1"/>
        <w:rPr>
          <w:i/>
          <w:noProof/>
          <w:sz w:val="20"/>
        </w:rPr>
      </w:pPr>
      <w:r>
        <w:rPr>
          <w:i/>
          <w:noProof/>
          <w:sz w:val="20"/>
        </w:rPr>
        <w:t>A se preciza măsurile de prevenire și de protecție existente sau preconizate, de exemplu din strategia antifraudă.</w:t>
      </w:r>
    </w:p>
    <w:p>
      <w:pPr>
        <w:pStyle w:val="Text1"/>
        <w:pBdr>
          <w:top w:val="single" w:sz="4" w:space="1" w:color="auto"/>
          <w:left w:val="single" w:sz="4" w:space="4" w:color="auto"/>
          <w:bottom w:val="single" w:sz="4" w:space="1" w:color="auto"/>
          <w:right w:val="single" w:sz="4" w:space="4" w:color="auto"/>
        </w:pBdr>
        <w:rPr>
          <w:noProof/>
        </w:rPr>
        <w:sectPr>
          <w:pgSz w:w="11907" w:h="16840" w:code="9"/>
          <w:pgMar w:top="1134" w:right="1418" w:bottom="1134" w:left="1418" w:header="709" w:footer="709" w:gutter="0"/>
          <w:cols w:space="708"/>
          <w:docGrid w:linePitch="360"/>
        </w:sectPr>
      </w:pPr>
      <w:r>
        <w:t>N/A</w:t>
      </w:r>
    </w:p>
    <w:p>
      <w:pPr>
        <w:pStyle w:val="ManualHeading1"/>
        <w:rPr>
          <w:bCs/>
          <w:noProof/>
          <w:szCs w:val="24"/>
        </w:rPr>
      </w:pPr>
      <w:bookmarkStart w:id="37" w:name="_Toc514938050"/>
      <w:bookmarkStart w:id="38" w:name="_Toc520485049"/>
      <w:r>
        <w:t>3.</w:t>
      </w:r>
      <w:r>
        <w:tab/>
      </w:r>
      <w:r>
        <w:rPr>
          <w:noProof/>
        </w:rPr>
        <w:t>IMPACTUL FINANCIAR ESTIMAT AL PROPUNERII/INIȚIATIVEI</w:t>
      </w:r>
      <w:bookmarkEnd w:id="37"/>
      <w:bookmarkEnd w:id="38"/>
      <w:r>
        <w:rPr>
          <w:noProof/>
        </w:rPr>
        <w:t xml:space="preserve"> </w:t>
      </w:r>
    </w:p>
    <w:p>
      <w:pPr>
        <w:pStyle w:val="ManualHeading2"/>
        <w:rPr>
          <w:noProof/>
        </w:rPr>
      </w:pPr>
      <w:bookmarkStart w:id="39" w:name="_Toc514938051"/>
      <w:bookmarkStart w:id="40" w:name="_Toc520485050"/>
      <w:r>
        <w:t>3.1.</w:t>
      </w:r>
      <w:r>
        <w:tab/>
      </w:r>
      <w:r>
        <w:rPr>
          <w:noProof/>
        </w:rPr>
        <w:t>Rubrica (rubricile) din cadrul financiar multianual și linia (liniile) bugetară (bugetare) de cheltuieli afectată (afectate)</w:t>
      </w:r>
      <w:bookmarkEnd w:id="39"/>
      <w:bookmarkEnd w:id="40"/>
      <w:r>
        <w:rPr>
          <w:noProof/>
        </w:rPr>
        <w:t xml:space="preserve"> </w:t>
      </w:r>
    </w:p>
    <w:p>
      <w:pPr>
        <w:pStyle w:val="ListBullet1"/>
        <w:rPr>
          <w:noProof/>
        </w:rPr>
      </w:pPr>
      <w:r>
        <w:rPr>
          <w:noProof/>
        </w:rPr>
        <w:t xml:space="preserve">Linii bugetare existente </w:t>
      </w:r>
    </w:p>
    <w:p>
      <w:pPr>
        <w:pStyle w:val="Text1"/>
        <w:rPr>
          <w:i/>
          <w:noProof/>
        </w:rPr>
      </w:pPr>
      <w:r>
        <w:rPr>
          <w:i/>
          <w:noProof/>
          <w:u w:val="single"/>
        </w:rPr>
        <w:t>În ordinea</w:t>
      </w:r>
      <w:r>
        <w:rPr>
          <w:i/>
          <w:noProof/>
        </w:rPr>
        <w:t xml:space="preserve"> rubricilor din cadrul financiar multianual și a liniilor bugetare.</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Rubrica din cadrul financiar multianual</w:t>
            </w:r>
          </w:p>
        </w:tc>
        <w:tc>
          <w:tcPr>
            <w:tcW w:w="3960" w:type="dxa"/>
            <w:vAlign w:val="center"/>
          </w:tcPr>
          <w:p>
            <w:pPr>
              <w:spacing w:before="60" w:after="60"/>
              <w:jc w:val="center"/>
              <w:rPr>
                <w:noProof/>
              </w:rPr>
            </w:pPr>
            <w:r>
              <w:rPr>
                <w:noProof/>
                <w:sz w:val="20"/>
              </w:rPr>
              <w:t>Linia bugetară</w:t>
            </w:r>
          </w:p>
        </w:tc>
        <w:tc>
          <w:tcPr>
            <w:tcW w:w="1080" w:type="dxa"/>
            <w:vAlign w:val="center"/>
          </w:tcPr>
          <w:p>
            <w:pPr>
              <w:spacing w:before="60" w:after="60"/>
              <w:jc w:val="center"/>
              <w:rPr>
                <w:noProof/>
              </w:rPr>
            </w:pPr>
            <w:r>
              <w:rPr>
                <w:noProof/>
                <w:sz w:val="18"/>
              </w:rPr>
              <w:t>Tipul de</w:t>
            </w:r>
            <w:r>
              <w:rPr>
                <w:noProof/>
              </w:rPr>
              <w:t xml:space="preserve"> </w:t>
            </w:r>
            <w:r>
              <w:rPr>
                <w:noProof/>
                <w:sz w:val="22"/>
              </w:rPr>
              <w:br/>
            </w:r>
            <w:r>
              <w:rPr>
                <w:noProof/>
                <w:sz w:val="18"/>
              </w:rPr>
              <w:t>cheltuieli</w:t>
            </w:r>
          </w:p>
        </w:tc>
        <w:tc>
          <w:tcPr>
            <w:tcW w:w="4440" w:type="dxa"/>
            <w:gridSpan w:val="4"/>
            <w:vAlign w:val="center"/>
          </w:tcPr>
          <w:p>
            <w:pPr>
              <w:spacing w:before="60" w:after="60"/>
              <w:jc w:val="center"/>
              <w:rPr>
                <w:noProof/>
              </w:rPr>
            </w:pPr>
            <w:r>
              <w:rPr>
                <w:noProof/>
                <w:sz w:val="20"/>
              </w:rPr>
              <w:t xml:space="preserve">Contribuție </w:t>
            </w:r>
          </w:p>
        </w:tc>
      </w:tr>
      <w:tr>
        <w:tc>
          <w:tcPr>
            <w:tcW w:w="1080" w:type="dxa"/>
            <w:vMerge/>
            <w:vAlign w:val="center"/>
          </w:tcPr>
          <w:p>
            <w:pPr>
              <w:jc w:val="center"/>
              <w:rPr>
                <w:noProof/>
              </w:rPr>
            </w:pPr>
          </w:p>
        </w:tc>
        <w:tc>
          <w:tcPr>
            <w:tcW w:w="3960" w:type="dxa"/>
            <w:vAlign w:val="center"/>
          </w:tcPr>
          <w:p>
            <w:pPr>
              <w:rPr>
                <w:noProof/>
              </w:rPr>
            </w:pPr>
            <w:r>
              <w:rPr>
                <w:noProof/>
                <w:sz w:val="20"/>
              </w:rPr>
              <w:t xml:space="preserve">Numărul </w:t>
            </w:r>
            <w:r>
              <w:rPr>
                <w:noProof/>
                <w:sz w:val="22"/>
              </w:rPr>
              <w:br/>
            </w:r>
          </w:p>
        </w:tc>
        <w:tc>
          <w:tcPr>
            <w:tcW w:w="1080" w:type="dxa"/>
            <w:vAlign w:val="center"/>
          </w:tcPr>
          <w:p>
            <w:pPr>
              <w:jc w:val="center"/>
              <w:rPr>
                <w:noProof/>
              </w:rPr>
            </w:pPr>
            <w:r>
              <w:rPr>
                <w:noProof/>
                <w:sz w:val="18"/>
              </w:rPr>
              <w:t>Dif./Nedif.</w:t>
            </w:r>
            <w:r>
              <w:rPr>
                <w:rStyle w:val="FootnoteReference"/>
                <w:noProof/>
                <w:sz w:val="18"/>
              </w:rPr>
              <w:footnoteReference w:id="10"/>
            </w:r>
          </w:p>
        </w:tc>
        <w:tc>
          <w:tcPr>
            <w:tcW w:w="956" w:type="dxa"/>
            <w:vAlign w:val="center"/>
          </w:tcPr>
          <w:p>
            <w:pPr>
              <w:jc w:val="center"/>
              <w:rPr>
                <w:noProof/>
              </w:rPr>
            </w:pPr>
            <w:r>
              <w:rPr>
                <w:noProof/>
                <w:sz w:val="18"/>
              </w:rPr>
              <w:t>din partea țărilor AELS</w:t>
            </w:r>
            <w:r>
              <w:rPr>
                <w:rStyle w:val="FootnoteReference"/>
                <w:noProof/>
                <w:sz w:val="18"/>
              </w:rPr>
              <w:footnoteReference w:id="11"/>
            </w:r>
          </w:p>
          <w:p>
            <w:pPr>
              <w:spacing w:before="0" w:after="0"/>
              <w:jc w:val="center"/>
              <w:rPr>
                <w:b/>
                <w:noProof/>
                <w:sz w:val="18"/>
              </w:rPr>
            </w:pPr>
          </w:p>
        </w:tc>
        <w:tc>
          <w:tcPr>
            <w:tcW w:w="1080" w:type="dxa"/>
            <w:vAlign w:val="center"/>
          </w:tcPr>
          <w:p>
            <w:pPr>
              <w:jc w:val="center"/>
              <w:rPr>
                <w:noProof/>
              </w:rPr>
            </w:pPr>
            <w:r>
              <w:rPr>
                <w:noProof/>
                <w:sz w:val="18"/>
              </w:rPr>
              <w:t>din partea țărilor candidate</w:t>
            </w:r>
            <w:r>
              <w:rPr>
                <w:rStyle w:val="FootnoteReference"/>
                <w:noProof/>
                <w:sz w:val="18"/>
              </w:rPr>
              <w:footnoteReference w:id="12"/>
            </w:r>
          </w:p>
          <w:p>
            <w:pPr>
              <w:spacing w:before="0" w:after="0"/>
              <w:jc w:val="center"/>
              <w:rPr>
                <w:noProof/>
                <w:sz w:val="18"/>
              </w:rPr>
            </w:pPr>
          </w:p>
        </w:tc>
        <w:tc>
          <w:tcPr>
            <w:tcW w:w="956" w:type="dxa"/>
            <w:vAlign w:val="center"/>
          </w:tcPr>
          <w:p>
            <w:pPr>
              <w:jc w:val="center"/>
              <w:rPr>
                <w:noProof/>
                <w:sz w:val="18"/>
              </w:rPr>
            </w:pPr>
            <w:r>
              <w:rPr>
                <w:noProof/>
                <w:sz w:val="18"/>
              </w:rPr>
              <w:t>din partea țărilor terțe</w:t>
            </w:r>
          </w:p>
        </w:tc>
        <w:tc>
          <w:tcPr>
            <w:tcW w:w="1448" w:type="dxa"/>
            <w:vAlign w:val="center"/>
          </w:tcPr>
          <w:p>
            <w:pPr>
              <w:jc w:val="center"/>
              <w:rPr>
                <w:noProof/>
              </w:rPr>
            </w:pPr>
            <w:r>
              <w:rPr>
                <w:noProof/>
                <w:sz w:val="16"/>
              </w:rPr>
              <w:t xml:space="preserve">în sensul articolului 21 alineatul (2) litera (b) din Regulamentul financiar </w:t>
            </w:r>
          </w:p>
        </w:tc>
      </w:tr>
      <w:tr>
        <w:tc>
          <w:tcPr>
            <w:tcW w:w="1080" w:type="dxa"/>
            <w:vAlign w:val="center"/>
          </w:tcPr>
          <w:p>
            <w:pPr>
              <w:jc w:val="center"/>
              <w:rPr>
                <w:noProof/>
                <w:color w:val="0000FF"/>
              </w:rPr>
            </w:pPr>
            <w:r>
              <w:rPr>
                <w:noProof/>
                <w:color w:val="0000FF"/>
              </w:rPr>
              <w:t>13</w:t>
            </w:r>
          </w:p>
        </w:tc>
        <w:tc>
          <w:tcPr>
            <w:tcW w:w="3960" w:type="dxa"/>
            <w:vAlign w:val="center"/>
          </w:tcPr>
          <w:p>
            <w:pPr>
              <w:spacing w:before="60"/>
              <w:rPr>
                <w:noProof/>
                <w:sz w:val="22"/>
              </w:rPr>
            </w:pPr>
          </w:p>
          <w:p>
            <w:pPr>
              <w:spacing w:before="60"/>
              <w:rPr>
                <w:noProof/>
              </w:rPr>
            </w:pPr>
            <w:r>
              <w:rPr>
                <w:noProof/>
                <w:sz w:val="22"/>
              </w:rPr>
              <w:t>13.03.64.01 - Fondul european de dezvoltare regională (FEDR) – Cooperare teritorială europeană</w:t>
            </w:r>
          </w:p>
          <w:p>
            <w:pPr>
              <w:spacing w:after="60"/>
              <w:rPr>
                <w:noProof/>
              </w:rPr>
            </w:pPr>
          </w:p>
        </w:tc>
        <w:tc>
          <w:tcPr>
            <w:tcW w:w="1080" w:type="dxa"/>
            <w:vAlign w:val="center"/>
          </w:tcPr>
          <w:p>
            <w:pPr>
              <w:jc w:val="center"/>
              <w:rPr>
                <w:noProof/>
                <w:color w:val="0000FF"/>
              </w:rPr>
            </w:pPr>
            <w:r>
              <w:rPr>
                <w:noProof/>
                <w:sz w:val="22"/>
              </w:rPr>
              <w:t>Dif.</w:t>
            </w:r>
          </w:p>
        </w:tc>
        <w:tc>
          <w:tcPr>
            <w:tcW w:w="956" w:type="dxa"/>
            <w:vAlign w:val="center"/>
          </w:tcPr>
          <w:p>
            <w:pPr>
              <w:jc w:val="center"/>
              <w:rPr>
                <w:noProof/>
                <w:sz w:val="20"/>
                <w:szCs w:val="20"/>
              </w:rPr>
            </w:pPr>
            <w:r>
              <w:rPr>
                <w:noProof/>
                <w:sz w:val="20"/>
              </w:rPr>
              <w:t>NU</w:t>
            </w:r>
          </w:p>
        </w:tc>
        <w:tc>
          <w:tcPr>
            <w:tcW w:w="1080" w:type="dxa"/>
            <w:vAlign w:val="center"/>
          </w:tcPr>
          <w:p>
            <w:pPr>
              <w:jc w:val="center"/>
              <w:rPr>
                <w:noProof/>
                <w:sz w:val="20"/>
                <w:szCs w:val="20"/>
              </w:rPr>
            </w:pPr>
            <w:r>
              <w:rPr>
                <w:noProof/>
                <w:sz w:val="20"/>
              </w:rPr>
              <w:t>NU</w:t>
            </w:r>
          </w:p>
        </w:tc>
        <w:tc>
          <w:tcPr>
            <w:tcW w:w="956" w:type="dxa"/>
            <w:vAlign w:val="center"/>
          </w:tcPr>
          <w:p>
            <w:pPr>
              <w:jc w:val="center"/>
              <w:rPr>
                <w:noProof/>
                <w:sz w:val="20"/>
                <w:szCs w:val="20"/>
              </w:rPr>
            </w:pPr>
            <w:r>
              <w:rPr>
                <w:noProof/>
                <w:sz w:val="20"/>
              </w:rPr>
              <w:t>NU</w:t>
            </w:r>
          </w:p>
        </w:tc>
        <w:tc>
          <w:tcPr>
            <w:tcW w:w="1448" w:type="dxa"/>
            <w:vAlign w:val="center"/>
          </w:tcPr>
          <w:p>
            <w:pPr>
              <w:rPr>
                <w:noProof/>
                <w:sz w:val="20"/>
                <w:szCs w:val="20"/>
              </w:rPr>
            </w:pPr>
            <w:r>
              <w:rPr>
                <w:noProof/>
                <w:sz w:val="20"/>
              </w:rPr>
              <w:t xml:space="preserve">      NU</w:t>
            </w:r>
          </w:p>
        </w:tc>
      </w:tr>
    </w:tbl>
    <w:p>
      <w:pPr>
        <w:pStyle w:val="ManualHeading2"/>
        <w:rPr>
          <w:bCs/>
          <w:noProof/>
          <w:szCs w:val="24"/>
        </w:rPr>
      </w:pPr>
      <w:bookmarkStart w:id="41" w:name="_Toc514938052"/>
      <w:bookmarkStart w:id="42" w:name="_Toc520485051"/>
      <w:r>
        <w:t>3.2.</w:t>
      </w:r>
      <w:r>
        <w:tab/>
      </w:r>
      <w:r>
        <w:rPr>
          <w:noProof/>
        </w:rPr>
        <w:t>Impactul financiar estimat al propunerii asupra creditelor</w:t>
      </w:r>
      <w:bookmarkEnd w:id="41"/>
      <w:bookmarkEnd w:id="42"/>
      <w:r>
        <w:rPr>
          <w:noProof/>
        </w:rPr>
        <w:t xml:space="preserve"> </w:t>
      </w:r>
    </w:p>
    <w:p>
      <w:pPr>
        <w:pStyle w:val="ManualHeading3"/>
        <w:rPr>
          <w:noProof/>
        </w:rPr>
      </w:pPr>
      <w:bookmarkStart w:id="43" w:name="_Toc514938053"/>
      <w:bookmarkStart w:id="44" w:name="_Toc520485052"/>
      <w:r>
        <w:t>3.2.1.</w:t>
      </w:r>
      <w:r>
        <w:tab/>
      </w:r>
      <w:r>
        <w:rPr>
          <w:noProof/>
        </w:rPr>
        <w:t>Sinteza impactului estimat asupra creditelor operaționale</w:t>
      </w:r>
      <w:bookmarkEnd w:id="43"/>
      <w:bookmarkEnd w:id="44"/>
      <w:r>
        <w:rPr>
          <w:noProof/>
        </w:rPr>
        <w:t xml:space="preserve"> </w:t>
      </w:r>
    </w:p>
    <w:p>
      <w:pPr>
        <w:pStyle w:val="ListDash1"/>
        <w:rPr>
          <w:b/>
          <w:noProof/>
        </w:rPr>
      </w:pPr>
      <w:r>
        <w:rPr>
          <w:b/>
          <w:noProof/>
        </w:rPr>
        <w:t>X</w:t>
      </w:r>
      <w:r>
        <w:rPr>
          <w:noProof/>
        </w:rPr>
        <w:tab/>
      </w:r>
      <w:r>
        <w:rPr>
          <w:b/>
          <w:noProof/>
        </w:rPr>
        <w:t xml:space="preserve">Prezentul regulament nu are niciun impact financiar.  </w:t>
      </w:r>
    </w:p>
    <w:p>
      <w:pPr>
        <w:pStyle w:val="Text1"/>
        <w:rPr>
          <w:noProof/>
        </w:rPr>
      </w:pPr>
      <w:r>
        <w:rPr>
          <w:noProof/>
        </w:rPr>
        <w:sym w:font="Wingdings" w:char="F0A8"/>
      </w:r>
      <w:r>
        <w:rPr>
          <w:noProof/>
        </w:rPr>
        <w:tab/>
        <w:t>Propunerea/inițiativa implică utilizarea de credite operaționale, conform explicațiilor de mai jos:</w:t>
      </w:r>
    </w:p>
    <w:p>
      <w:pPr>
        <w:jc w:val="right"/>
        <w:rPr>
          <w:noProof/>
          <w:sz w:val="18"/>
          <w:szCs w:val="18"/>
        </w:rPr>
      </w:pPr>
      <w:r>
        <w:rPr>
          <w:noProof/>
          <w:sz w:val="18"/>
        </w:rPr>
        <w:t xml:space="preserve">EUR </w:t>
      </w:r>
    </w:p>
    <w:p>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Rubrica din cadrul financiar</w:t>
            </w:r>
            <w:r>
              <w:rPr>
                <w:noProof/>
                <w:sz w:val="22"/>
              </w:rPr>
              <w:br/>
            </w:r>
            <w:r>
              <w:rPr>
                <w:b/>
                <w:noProof/>
                <w:sz w:val="22"/>
              </w:rPr>
              <w:t xml:space="preserve">multianual </w:t>
            </w:r>
          </w:p>
        </w:tc>
        <w:tc>
          <w:tcPr>
            <w:tcW w:w="1080" w:type="dxa"/>
            <w:vAlign w:val="center"/>
          </w:tcPr>
          <w:p>
            <w:pPr>
              <w:spacing w:before="60" w:after="60"/>
              <w:jc w:val="center"/>
              <w:rPr>
                <w:noProof/>
              </w:rPr>
            </w:pPr>
            <w:r>
              <w:rPr>
                <w:noProof/>
                <w:sz w:val="22"/>
              </w:rPr>
              <w:t>13</w:t>
            </w:r>
          </w:p>
        </w:tc>
        <w:tc>
          <w:tcPr>
            <w:tcW w:w="7817" w:type="dxa"/>
            <w:vAlign w:val="center"/>
          </w:tcPr>
          <w:p>
            <w:pPr>
              <w:spacing w:before="60" w:after="60"/>
              <w:rPr>
                <w:noProof/>
              </w:rPr>
            </w:pPr>
          </w:p>
        </w:tc>
      </w:tr>
    </w:tbl>
    <w:p>
      <w:pPr>
        <w:rPr>
          <w:noProof/>
          <w:sz w:val="16"/>
        </w:rPr>
      </w:pPr>
    </w:p>
    <w:tbl>
      <w:tblPr>
        <w:tblW w:w="15952" w:type="dxa"/>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1252"/>
        <w:gridCol w:w="1116"/>
        <w:gridCol w:w="1010"/>
        <w:gridCol w:w="1134"/>
        <w:gridCol w:w="1418"/>
        <w:gridCol w:w="1559"/>
        <w:gridCol w:w="2409"/>
      </w:tblGrid>
      <w:tr>
        <w:trPr>
          <w:trHeight w:val="1068"/>
        </w:trPr>
        <w:tc>
          <w:tcPr>
            <w:tcW w:w="3960" w:type="dxa"/>
            <w:vAlign w:val="center"/>
          </w:tcPr>
          <w:p>
            <w:pPr>
              <w:rPr>
                <w:noProof/>
              </w:rPr>
            </w:pPr>
          </w:p>
        </w:tc>
        <w:tc>
          <w:tcPr>
            <w:tcW w:w="1560" w:type="dxa"/>
            <w:gridSpan w:val="2"/>
          </w:tcPr>
          <w:p>
            <w:pPr>
              <w:rPr>
                <w:noProof/>
                <w:sz w:val="20"/>
              </w:rPr>
            </w:pPr>
          </w:p>
        </w:tc>
        <w:tc>
          <w:tcPr>
            <w:tcW w:w="534" w:type="dxa"/>
          </w:tcPr>
          <w:p>
            <w:pPr>
              <w:jc w:val="center"/>
              <w:rPr>
                <w:noProof/>
                <w:sz w:val="20"/>
              </w:rPr>
            </w:pPr>
          </w:p>
        </w:tc>
        <w:tc>
          <w:tcPr>
            <w:tcW w:w="1252" w:type="dxa"/>
            <w:vAlign w:val="center"/>
          </w:tcPr>
          <w:p>
            <w:pPr>
              <w:jc w:val="center"/>
              <w:rPr>
                <w:noProof/>
                <w:sz w:val="20"/>
              </w:rPr>
            </w:pPr>
            <w:r>
              <w:rPr>
                <w:noProof/>
                <w:sz w:val="20"/>
              </w:rPr>
              <w:t>2019</w:t>
            </w:r>
          </w:p>
        </w:tc>
        <w:tc>
          <w:tcPr>
            <w:tcW w:w="1116" w:type="dxa"/>
            <w:vAlign w:val="center"/>
          </w:tcPr>
          <w:p>
            <w:pPr>
              <w:jc w:val="center"/>
              <w:rPr>
                <w:noProof/>
                <w:sz w:val="20"/>
              </w:rPr>
            </w:pPr>
            <w:r>
              <w:rPr>
                <w:noProof/>
                <w:sz w:val="20"/>
              </w:rPr>
              <w:t>2020</w:t>
            </w:r>
          </w:p>
        </w:tc>
        <w:tc>
          <w:tcPr>
            <w:tcW w:w="1010" w:type="dxa"/>
            <w:vAlign w:val="center"/>
          </w:tcPr>
          <w:p>
            <w:pPr>
              <w:jc w:val="center"/>
              <w:rPr>
                <w:noProof/>
                <w:sz w:val="20"/>
              </w:rPr>
            </w:pPr>
            <w:r>
              <w:rPr>
                <w:noProof/>
                <w:sz w:val="20"/>
              </w:rPr>
              <w:t>2021</w:t>
            </w:r>
          </w:p>
        </w:tc>
        <w:tc>
          <w:tcPr>
            <w:tcW w:w="1134" w:type="dxa"/>
            <w:vAlign w:val="center"/>
          </w:tcPr>
          <w:p>
            <w:pPr>
              <w:jc w:val="center"/>
              <w:rPr>
                <w:noProof/>
                <w:sz w:val="20"/>
              </w:rPr>
            </w:pPr>
            <w:r>
              <w:rPr>
                <w:noProof/>
                <w:sz w:val="20"/>
              </w:rPr>
              <w:t>2022</w:t>
            </w:r>
          </w:p>
        </w:tc>
        <w:tc>
          <w:tcPr>
            <w:tcW w:w="1418" w:type="dxa"/>
          </w:tcPr>
          <w:p>
            <w:pPr>
              <w:rPr>
                <w:noProof/>
                <w:sz w:val="20"/>
              </w:rPr>
            </w:pPr>
            <w:r>
              <w:rPr>
                <w:noProof/>
                <w:sz w:val="20"/>
              </w:rPr>
              <w:t xml:space="preserve">   </w:t>
            </w:r>
          </w:p>
          <w:p>
            <w:pPr>
              <w:rPr>
                <w:noProof/>
                <w:sz w:val="20"/>
              </w:rPr>
            </w:pPr>
            <w:r>
              <w:rPr>
                <w:noProof/>
                <w:sz w:val="20"/>
              </w:rPr>
              <w:t xml:space="preserve">      2023</w:t>
            </w:r>
          </w:p>
        </w:tc>
        <w:tc>
          <w:tcPr>
            <w:tcW w:w="1559" w:type="dxa"/>
          </w:tcPr>
          <w:p>
            <w:pPr>
              <w:jc w:val="center"/>
              <w:rPr>
                <w:noProof/>
                <w:sz w:val="20"/>
              </w:rPr>
            </w:pPr>
          </w:p>
          <w:p>
            <w:pPr>
              <w:jc w:val="center"/>
              <w:rPr>
                <w:noProof/>
                <w:sz w:val="20"/>
              </w:rPr>
            </w:pPr>
            <w:r>
              <w:rPr>
                <w:noProof/>
                <w:sz w:val="20"/>
              </w:rPr>
              <w:t>Anii următori</w:t>
            </w:r>
          </w:p>
        </w:tc>
        <w:tc>
          <w:tcPr>
            <w:tcW w:w="2409" w:type="dxa"/>
            <w:vAlign w:val="center"/>
          </w:tcPr>
          <w:p>
            <w:pPr>
              <w:jc w:val="center"/>
              <w:rPr>
                <w:b/>
                <w:noProof/>
                <w:sz w:val="20"/>
              </w:rPr>
            </w:pPr>
            <w:r>
              <w:rPr>
                <w:b/>
                <w:noProof/>
                <w:sz w:val="20"/>
              </w:rPr>
              <w:t>TOTAL</w:t>
            </w:r>
          </w:p>
        </w:tc>
      </w:tr>
      <w:tr>
        <w:trPr>
          <w:trHeight w:val="213"/>
        </w:trPr>
        <w:tc>
          <w:tcPr>
            <w:tcW w:w="6054" w:type="dxa"/>
            <w:gridSpan w:val="4"/>
            <w:vAlign w:val="center"/>
          </w:tcPr>
          <w:p>
            <w:pPr>
              <w:spacing w:before="20" w:after="20"/>
              <w:rPr>
                <w:b/>
                <w:noProof/>
                <w:szCs w:val="24"/>
              </w:rPr>
            </w:pPr>
            <w:r>
              <w:rPr>
                <w:noProof/>
                <w:sz w:val="21"/>
              </w:rPr>
              <w:sym w:font="Wingdings" w:char="F09F"/>
            </w:r>
            <w:r>
              <w:rPr>
                <w:noProof/>
                <w:sz w:val="21"/>
              </w:rPr>
              <w:t xml:space="preserve"> </w:t>
            </w:r>
            <w:r>
              <w:rPr>
                <w:b/>
                <w:noProof/>
              </w:rPr>
              <w:t>Anularea de credite operaționale</w:t>
            </w:r>
          </w:p>
        </w:tc>
        <w:tc>
          <w:tcPr>
            <w:tcW w:w="1252" w:type="dxa"/>
            <w:vAlign w:val="center"/>
          </w:tcPr>
          <w:p>
            <w:pPr>
              <w:rPr>
                <w:noProof/>
                <w:sz w:val="20"/>
              </w:rPr>
            </w:pPr>
          </w:p>
        </w:tc>
        <w:tc>
          <w:tcPr>
            <w:tcW w:w="1116" w:type="dxa"/>
            <w:vAlign w:val="center"/>
          </w:tcPr>
          <w:p>
            <w:pPr>
              <w:rPr>
                <w:noProof/>
                <w:sz w:val="20"/>
              </w:rPr>
            </w:pPr>
          </w:p>
        </w:tc>
        <w:tc>
          <w:tcPr>
            <w:tcW w:w="1010" w:type="dxa"/>
            <w:vAlign w:val="center"/>
          </w:tcPr>
          <w:p>
            <w:pPr>
              <w:rPr>
                <w:noProof/>
                <w:sz w:val="20"/>
              </w:rPr>
            </w:pPr>
          </w:p>
        </w:tc>
        <w:tc>
          <w:tcPr>
            <w:tcW w:w="1134" w:type="dxa"/>
            <w:vAlign w:val="center"/>
          </w:tcPr>
          <w:p>
            <w:pPr>
              <w:rPr>
                <w:noProof/>
                <w:sz w:val="20"/>
              </w:rPr>
            </w:pPr>
          </w:p>
        </w:tc>
        <w:tc>
          <w:tcPr>
            <w:tcW w:w="1418" w:type="dxa"/>
          </w:tcPr>
          <w:p>
            <w:pPr>
              <w:rPr>
                <w:b/>
                <w:noProof/>
                <w:sz w:val="20"/>
              </w:rPr>
            </w:pPr>
          </w:p>
        </w:tc>
        <w:tc>
          <w:tcPr>
            <w:tcW w:w="1559" w:type="dxa"/>
          </w:tcPr>
          <w:p>
            <w:pPr>
              <w:rPr>
                <w:b/>
                <w:noProof/>
                <w:sz w:val="20"/>
              </w:rPr>
            </w:pPr>
          </w:p>
        </w:tc>
        <w:tc>
          <w:tcPr>
            <w:tcW w:w="2409" w:type="dxa"/>
            <w:vAlign w:val="center"/>
          </w:tcPr>
          <w:p>
            <w:pPr>
              <w:rPr>
                <w:b/>
                <w:noProof/>
                <w:sz w:val="20"/>
              </w:rPr>
            </w:pPr>
          </w:p>
        </w:tc>
      </w:tr>
      <w:tr>
        <w:trPr>
          <w:trHeight w:val="509"/>
        </w:trPr>
        <w:tc>
          <w:tcPr>
            <w:tcW w:w="3960" w:type="dxa"/>
            <w:vMerge w:val="restart"/>
            <w:vAlign w:val="center"/>
          </w:tcPr>
          <w:p>
            <w:pPr>
              <w:rPr>
                <w:noProof/>
                <w:sz w:val="20"/>
              </w:rPr>
            </w:pPr>
            <w:r>
              <w:rPr>
                <w:noProof/>
                <w:sz w:val="20"/>
              </w:rPr>
              <w:t>13.03.64.01 - Fondul european de dezvoltare regională (FEDR) – Cooperare teritorială europeană</w:t>
            </w:r>
          </w:p>
        </w:tc>
        <w:tc>
          <w:tcPr>
            <w:tcW w:w="1440" w:type="dxa"/>
            <w:vAlign w:val="center"/>
          </w:tcPr>
          <w:p>
            <w:pPr>
              <w:spacing w:before="20" w:after="20"/>
              <w:rPr>
                <w:noProof/>
                <w:sz w:val="18"/>
              </w:rPr>
            </w:pPr>
            <w:r>
              <w:rPr>
                <w:noProof/>
                <w:sz w:val="18"/>
              </w:rPr>
              <w:t>Angajamente</w:t>
            </w:r>
          </w:p>
        </w:tc>
        <w:tc>
          <w:tcPr>
            <w:tcW w:w="654" w:type="dxa"/>
            <w:gridSpan w:val="2"/>
            <w:vAlign w:val="center"/>
          </w:tcPr>
          <w:p>
            <w:pPr>
              <w:spacing w:before="20" w:after="20"/>
              <w:jc w:val="center"/>
              <w:rPr>
                <w:noProof/>
                <w:sz w:val="14"/>
              </w:rPr>
            </w:pPr>
            <w:r>
              <w:rPr>
                <w:noProof/>
                <w:sz w:val="14"/>
              </w:rPr>
              <w:t>(1a)</w:t>
            </w:r>
          </w:p>
        </w:tc>
        <w:tc>
          <w:tcPr>
            <w:tcW w:w="1252" w:type="dxa"/>
            <w:vAlign w:val="center"/>
          </w:tcPr>
          <w:p>
            <w:pPr>
              <w:spacing w:before="20" w:after="20"/>
              <w:rPr>
                <w:noProof/>
                <w:sz w:val="18"/>
                <w:szCs w:val="18"/>
              </w:rPr>
            </w:pPr>
          </w:p>
        </w:tc>
        <w:tc>
          <w:tcPr>
            <w:tcW w:w="1116" w:type="dxa"/>
            <w:vAlign w:val="center"/>
          </w:tcPr>
          <w:p>
            <w:pPr>
              <w:spacing w:before="20" w:after="20"/>
              <w:jc w:val="right"/>
              <w:rPr>
                <w:noProof/>
                <w:sz w:val="18"/>
                <w:szCs w:val="18"/>
              </w:rPr>
            </w:pPr>
          </w:p>
        </w:tc>
        <w:tc>
          <w:tcPr>
            <w:tcW w:w="1010" w:type="dxa"/>
            <w:vAlign w:val="center"/>
          </w:tcPr>
          <w:p>
            <w:pPr>
              <w:spacing w:before="20" w:after="20"/>
              <w:jc w:val="right"/>
              <w:rPr>
                <w:noProof/>
                <w:sz w:val="20"/>
              </w:rPr>
            </w:pPr>
          </w:p>
        </w:tc>
        <w:tc>
          <w:tcPr>
            <w:tcW w:w="1134" w:type="dxa"/>
            <w:vAlign w:val="center"/>
          </w:tcPr>
          <w:p>
            <w:pPr>
              <w:spacing w:before="20" w:after="20"/>
              <w:jc w:val="right"/>
              <w:rPr>
                <w:noProof/>
                <w:sz w:val="20"/>
              </w:rPr>
            </w:pPr>
          </w:p>
        </w:tc>
        <w:tc>
          <w:tcPr>
            <w:tcW w:w="1418" w:type="dxa"/>
          </w:tcPr>
          <w:p>
            <w:pPr>
              <w:spacing w:before="20" w:after="20"/>
              <w:jc w:val="right"/>
              <w:rPr>
                <w:b/>
                <w:noProof/>
                <w:sz w:val="20"/>
              </w:rPr>
            </w:pPr>
          </w:p>
        </w:tc>
        <w:tc>
          <w:tcPr>
            <w:tcW w:w="1559" w:type="dxa"/>
          </w:tcPr>
          <w:p>
            <w:pPr>
              <w:spacing w:before="20" w:after="20"/>
              <w:jc w:val="right"/>
              <w:rPr>
                <w:b/>
                <w:noProof/>
                <w:sz w:val="20"/>
              </w:rPr>
            </w:pPr>
          </w:p>
        </w:tc>
        <w:tc>
          <w:tcPr>
            <w:tcW w:w="2409" w:type="dxa"/>
            <w:vAlign w:val="center"/>
          </w:tcPr>
          <w:p>
            <w:pPr>
              <w:spacing w:before="20" w:after="20"/>
              <w:jc w:val="right"/>
              <w:rPr>
                <w:noProof/>
                <w:sz w:val="18"/>
                <w:szCs w:val="18"/>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Plăți</w:t>
            </w:r>
          </w:p>
        </w:tc>
        <w:tc>
          <w:tcPr>
            <w:tcW w:w="654" w:type="dxa"/>
            <w:gridSpan w:val="2"/>
            <w:vAlign w:val="center"/>
          </w:tcPr>
          <w:p>
            <w:pPr>
              <w:spacing w:before="20" w:after="20"/>
              <w:jc w:val="center"/>
              <w:rPr>
                <w:noProof/>
                <w:sz w:val="14"/>
              </w:rPr>
            </w:pPr>
            <w:r>
              <w:rPr>
                <w:noProof/>
                <w:sz w:val="14"/>
              </w:rPr>
              <w:t>(2a)</w:t>
            </w:r>
          </w:p>
        </w:tc>
        <w:tc>
          <w:tcPr>
            <w:tcW w:w="1252" w:type="dxa"/>
            <w:vAlign w:val="center"/>
          </w:tcPr>
          <w:p>
            <w:pPr>
              <w:spacing w:before="20" w:after="20"/>
              <w:jc w:val="right"/>
              <w:rPr>
                <w:noProof/>
                <w:sz w:val="18"/>
                <w:szCs w:val="18"/>
              </w:rPr>
            </w:pPr>
          </w:p>
        </w:tc>
        <w:tc>
          <w:tcPr>
            <w:tcW w:w="1116" w:type="dxa"/>
            <w:vAlign w:val="center"/>
          </w:tcPr>
          <w:p>
            <w:pPr>
              <w:spacing w:before="20" w:after="20"/>
              <w:jc w:val="right"/>
              <w:rPr>
                <w:noProof/>
                <w:sz w:val="18"/>
                <w:szCs w:val="18"/>
              </w:rPr>
            </w:pPr>
          </w:p>
        </w:tc>
        <w:tc>
          <w:tcPr>
            <w:tcW w:w="1010" w:type="dxa"/>
            <w:vAlign w:val="center"/>
          </w:tcPr>
          <w:p>
            <w:pPr>
              <w:spacing w:before="20" w:after="20"/>
              <w:jc w:val="right"/>
              <w:rPr>
                <w:noProof/>
                <w:sz w:val="18"/>
                <w:szCs w:val="18"/>
                <w:highlight w:val="yellow"/>
              </w:rPr>
            </w:pPr>
          </w:p>
        </w:tc>
        <w:tc>
          <w:tcPr>
            <w:tcW w:w="1134" w:type="dxa"/>
            <w:vAlign w:val="center"/>
          </w:tcPr>
          <w:p>
            <w:pPr>
              <w:spacing w:before="20" w:after="20"/>
              <w:jc w:val="right"/>
              <w:rPr>
                <w:noProof/>
                <w:sz w:val="18"/>
                <w:szCs w:val="18"/>
              </w:rPr>
            </w:pPr>
          </w:p>
        </w:tc>
        <w:tc>
          <w:tcPr>
            <w:tcW w:w="1418" w:type="dxa"/>
          </w:tcPr>
          <w:p>
            <w:pPr>
              <w:spacing w:before="20" w:after="20"/>
              <w:jc w:val="right"/>
              <w:rPr>
                <w:noProof/>
                <w:sz w:val="18"/>
                <w:szCs w:val="18"/>
              </w:rPr>
            </w:pPr>
          </w:p>
        </w:tc>
        <w:tc>
          <w:tcPr>
            <w:tcW w:w="1559" w:type="dxa"/>
          </w:tcPr>
          <w:p>
            <w:pPr>
              <w:spacing w:before="20" w:after="20"/>
              <w:jc w:val="right"/>
              <w:rPr>
                <w:noProof/>
                <w:sz w:val="18"/>
                <w:szCs w:val="18"/>
              </w:rPr>
            </w:pPr>
          </w:p>
        </w:tc>
        <w:tc>
          <w:tcPr>
            <w:tcW w:w="2409" w:type="dxa"/>
            <w:vAlign w:val="center"/>
          </w:tcPr>
          <w:p>
            <w:pPr>
              <w:spacing w:before="20" w:after="20"/>
              <w:jc w:val="right"/>
              <w:rPr>
                <w:noProof/>
                <w:sz w:val="18"/>
                <w:szCs w:val="18"/>
              </w:rPr>
            </w:pPr>
          </w:p>
        </w:tc>
      </w:tr>
      <w:tr>
        <w:tc>
          <w:tcPr>
            <w:tcW w:w="3960" w:type="dxa"/>
            <w:vMerge w:val="restart"/>
            <w:vAlign w:val="center"/>
          </w:tcPr>
          <w:p>
            <w:pPr>
              <w:jc w:val="center"/>
              <w:rPr>
                <w:b/>
                <w:noProof/>
              </w:rPr>
            </w:pPr>
            <w:r>
              <w:rPr>
                <w:b/>
                <w:noProof/>
                <w:sz w:val="22"/>
              </w:rPr>
              <w:t>TOTAL credite</w:t>
            </w:r>
            <w:r>
              <w:rPr>
                <w:noProof/>
                <w:sz w:val="22"/>
              </w:rPr>
              <w:br/>
            </w:r>
          </w:p>
        </w:tc>
        <w:tc>
          <w:tcPr>
            <w:tcW w:w="1440" w:type="dxa"/>
            <w:vAlign w:val="center"/>
          </w:tcPr>
          <w:p>
            <w:pPr>
              <w:rPr>
                <w:noProof/>
                <w:sz w:val="18"/>
              </w:rPr>
            </w:pPr>
            <w:r>
              <w:rPr>
                <w:noProof/>
                <w:sz w:val="18"/>
              </w:rPr>
              <w:t>Angajamente</w:t>
            </w:r>
          </w:p>
        </w:tc>
        <w:tc>
          <w:tcPr>
            <w:tcW w:w="654" w:type="dxa"/>
            <w:gridSpan w:val="2"/>
            <w:vAlign w:val="center"/>
          </w:tcPr>
          <w:p>
            <w:pPr>
              <w:jc w:val="center"/>
              <w:rPr>
                <w:noProof/>
                <w:sz w:val="14"/>
              </w:rPr>
            </w:pPr>
            <w:r>
              <w:rPr>
                <w:noProof/>
                <w:sz w:val="14"/>
              </w:rPr>
              <w:t>=1a+1b +3</w:t>
            </w:r>
          </w:p>
        </w:tc>
        <w:tc>
          <w:tcPr>
            <w:tcW w:w="1252" w:type="dxa"/>
            <w:vAlign w:val="center"/>
          </w:tcPr>
          <w:p>
            <w:pPr>
              <w:spacing w:before="20" w:after="20"/>
              <w:jc w:val="right"/>
              <w:rPr>
                <w:noProof/>
                <w:sz w:val="18"/>
                <w:szCs w:val="18"/>
              </w:rPr>
            </w:pPr>
          </w:p>
        </w:tc>
        <w:tc>
          <w:tcPr>
            <w:tcW w:w="1116" w:type="dxa"/>
            <w:vAlign w:val="center"/>
          </w:tcPr>
          <w:p>
            <w:pPr>
              <w:spacing w:before="20" w:after="20"/>
              <w:jc w:val="right"/>
              <w:rPr>
                <w:noProof/>
                <w:sz w:val="18"/>
                <w:szCs w:val="18"/>
              </w:rPr>
            </w:pPr>
          </w:p>
        </w:tc>
        <w:tc>
          <w:tcPr>
            <w:tcW w:w="1010" w:type="dxa"/>
            <w:vAlign w:val="center"/>
          </w:tcPr>
          <w:p>
            <w:pPr>
              <w:spacing w:before="20" w:after="20"/>
              <w:jc w:val="right"/>
              <w:rPr>
                <w:noProof/>
                <w:sz w:val="18"/>
                <w:szCs w:val="18"/>
              </w:rPr>
            </w:pPr>
          </w:p>
        </w:tc>
        <w:tc>
          <w:tcPr>
            <w:tcW w:w="1134" w:type="dxa"/>
            <w:vAlign w:val="center"/>
          </w:tcPr>
          <w:p>
            <w:pPr>
              <w:spacing w:before="20" w:after="20"/>
              <w:jc w:val="right"/>
              <w:rPr>
                <w:noProof/>
                <w:sz w:val="18"/>
                <w:szCs w:val="18"/>
              </w:rPr>
            </w:pPr>
          </w:p>
        </w:tc>
        <w:tc>
          <w:tcPr>
            <w:tcW w:w="1418" w:type="dxa"/>
          </w:tcPr>
          <w:p>
            <w:pPr>
              <w:spacing w:before="20" w:after="20"/>
              <w:jc w:val="right"/>
              <w:rPr>
                <w:b/>
                <w:noProof/>
                <w:sz w:val="18"/>
                <w:szCs w:val="18"/>
              </w:rPr>
            </w:pPr>
          </w:p>
        </w:tc>
        <w:tc>
          <w:tcPr>
            <w:tcW w:w="1559" w:type="dxa"/>
          </w:tcPr>
          <w:p>
            <w:pPr>
              <w:spacing w:before="20" w:after="20"/>
              <w:jc w:val="right"/>
              <w:rPr>
                <w:b/>
                <w:noProof/>
                <w:sz w:val="18"/>
                <w:szCs w:val="18"/>
              </w:rPr>
            </w:pPr>
          </w:p>
        </w:tc>
        <w:tc>
          <w:tcPr>
            <w:tcW w:w="2409" w:type="dxa"/>
            <w:vAlign w:val="center"/>
          </w:tcPr>
          <w:p>
            <w:pPr>
              <w:spacing w:before="20" w:after="20"/>
              <w:jc w:val="right"/>
              <w:rPr>
                <w:b/>
                <w:noProof/>
                <w:sz w:val="18"/>
                <w:szCs w:val="18"/>
              </w:rPr>
            </w:pPr>
          </w:p>
        </w:tc>
      </w:tr>
      <w:tr>
        <w:tc>
          <w:tcPr>
            <w:tcW w:w="3960" w:type="dxa"/>
            <w:vMerge/>
          </w:tcPr>
          <w:p>
            <w:pPr>
              <w:rPr>
                <w:noProof/>
                <w:sz w:val="20"/>
              </w:rPr>
            </w:pPr>
          </w:p>
        </w:tc>
        <w:tc>
          <w:tcPr>
            <w:tcW w:w="1440" w:type="dxa"/>
            <w:vAlign w:val="center"/>
          </w:tcPr>
          <w:p>
            <w:pPr>
              <w:rPr>
                <w:noProof/>
                <w:sz w:val="18"/>
              </w:rPr>
            </w:pPr>
            <w:r>
              <w:rPr>
                <w:noProof/>
                <w:sz w:val="18"/>
              </w:rPr>
              <w:t>Plăți</w:t>
            </w:r>
          </w:p>
        </w:tc>
        <w:tc>
          <w:tcPr>
            <w:tcW w:w="654" w:type="dxa"/>
            <w:gridSpan w:val="2"/>
            <w:vAlign w:val="center"/>
          </w:tcPr>
          <w:p>
            <w:pPr>
              <w:jc w:val="center"/>
              <w:rPr>
                <w:noProof/>
                <w:sz w:val="14"/>
              </w:rPr>
            </w:pPr>
            <w:r>
              <w:rPr>
                <w:noProof/>
                <w:sz w:val="14"/>
              </w:rPr>
              <w:t>=2a+2b</w:t>
            </w:r>
          </w:p>
          <w:p>
            <w:pPr>
              <w:jc w:val="center"/>
              <w:rPr>
                <w:noProof/>
                <w:sz w:val="14"/>
              </w:rPr>
            </w:pPr>
            <w:r>
              <w:rPr>
                <w:noProof/>
                <w:sz w:val="14"/>
              </w:rPr>
              <w:t>+3</w:t>
            </w:r>
          </w:p>
        </w:tc>
        <w:tc>
          <w:tcPr>
            <w:tcW w:w="1252" w:type="dxa"/>
            <w:vAlign w:val="center"/>
          </w:tcPr>
          <w:p>
            <w:pPr>
              <w:spacing w:before="20" w:after="20"/>
              <w:jc w:val="right"/>
              <w:rPr>
                <w:noProof/>
                <w:sz w:val="18"/>
                <w:szCs w:val="18"/>
              </w:rPr>
            </w:pPr>
          </w:p>
        </w:tc>
        <w:tc>
          <w:tcPr>
            <w:tcW w:w="1116" w:type="dxa"/>
            <w:vAlign w:val="center"/>
          </w:tcPr>
          <w:p>
            <w:pPr>
              <w:spacing w:before="20" w:after="20"/>
              <w:jc w:val="right"/>
              <w:rPr>
                <w:noProof/>
                <w:sz w:val="18"/>
                <w:szCs w:val="18"/>
              </w:rPr>
            </w:pPr>
          </w:p>
        </w:tc>
        <w:tc>
          <w:tcPr>
            <w:tcW w:w="1010" w:type="dxa"/>
            <w:vAlign w:val="center"/>
          </w:tcPr>
          <w:p>
            <w:pPr>
              <w:spacing w:before="20" w:after="20"/>
              <w:jc w:val="right"/>
              <w:rPr>
                <w:noProof/>
                <w:sz w:val="18"/>
                <w:szCs w:val="18"/>
              </w:rPr>
            </w:pPr>
          </w:p>
        </w:tc>
        <w:tc>
          <w:tcPr>
            <w:tcW w:w="1134" w:type="dxa"/>
            <w:vAlign w:val="center"/>
          </w:tcPr>
          <w:p>
            <w:pPr>
              <w:spacing w:before="20" w:after="20"/>
              <w:jc w:val="right"/>
              <w:rPr>
                <w:noProof/>
                <w:sz w:val="18"/>
                <w:szCs w:val="18"/>
              </w:rPr>
            </w:pPr>
          </w:p>
        </w:tc>
        <w:tc>
          <w:tcPr>
            <w:tcW w:w="1418" w:type="dxa"/>
          </w:tcPr>
          <w:p>
            <w:pPr>
              <w:spacing w:before="20" w:after="20"/>
              <w:jc w:val="right"/>
              <w:rPr>
                <w:b/>
                <w:noProof/>
                <w:sz w:val="18"/>
                <w:szCs w:val="18"/>
              </w:rPr>
            </w:pPr>
          </w:p>
        </w:tc>
        <w:tc>
          <w:tcPr>
            <w:tcW w:w="1559" w:type="dxa"/>
          </w:tcPr>
          <w:p>
            <w:pPr>
              <w:spacing w:before="20" w:after="20"/>
              <w:jc w:val="right"/>
              <w:rPr>
                <w:b/>
                <w:noProof/>
                <w:sz w:val="18"/>
                <w:szCs w:val="18"/>
              </w:rPr>
            </w:pPr>
          </w:p>
        </w:tc>
        <w:tc>
          <w:tcPr>
            <w:tcW w:w="2409" w:type="dxa"/>
            <w:vAlign w:val="center"/>
          </w:tcPr>
          <w:p>
            <w:pPr>
              <w:spacing w:before="20" w:after="20"/>
              <w:jc w:val="right"/>
              <w:rPr>
                <w:b/>
                <w:noProof/>
                <w:sz w:val="18"/>
                <w:szCs w:val="18"/>
              </w:rPr>
            </w:pPr>
          </w:p>
        </w:tc>
      </w:tr>
    </w:tbl>
    <w:p>
      <w:pPr>
        <w:rPr>
          <w:noProof/>
        </w:rPr>
      </w:pPr>
      <w:r>
        <w:rPr>
          <w:noProof/>
        </w:rPr>
        <w:br/>
      </w:r>
    </w:p>
    <w:tbl>
      <w:tblPr>
        <w:tblW w:w="1439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1252"/>
        <w:gridCol w:w="1116"/>
        <w:gridCol w:w="1152"/>
        <w:gridCol w:w="1134"/>
        <w:gridCol w:w="1134"/>
        <w:gridCol w:w="1134"/>
        <w:gridCol w:w="1418"/>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sz w:val="21"/>
              </w:rPr>
              <w:t xml:space="preserve"> TOTAL credite operaționale </w:t>
            </w:r>
          </w:p>
        </w:tc>
        <w:tc>
          <w:tcPr>
            <w:tcW w:w="1440" w:type="dxa"/>
            <w:vAlign w:val="center"/>
          </w:tcPr>
          <w:p>
            <w:pPr>
              <w:spacing w:beforeLines="20" w:before="48" w:afterLines="20" w:after="48"/>
              <w:rPr>
                <w:noProof/>
                <w:sz w:val="18"/>
              </w:rPr>
            </w:pPr>
            <w:r>
              <w:rPr>
                <w:noProof/>
                <w:sz w:val="18"/>
              </w:rPr>
              <w:t>Angajamente</w:t>
            </w:r>
          </w:p>
        </w:tc>
        <w:tc>
          <w:tcPr>
            <w:tcW w:w="654" w:type="dxa"/>
            <w:vAlign w:val="center"/>
          </w:tcPr>
          <w:p>
            <w:pPr>
              <w:spacing w:beforeLines="20" w:before="48" w:afterLines="20" w:after="48"/>
              <w:jc w:val="center"/>
              <w:rPr>
                <w:noProof/>
                <w:sz w:val="14"/>
              </w:rPr>
            </w:pPr>
            <w:r>
              <w:rPr>
                <w:noProof/>
                <w:sz w:val="14"/>
              </w:rPr>
              <w:t>(4)</w:t>
            </w:r>
          </w:p>
        </w:tc>
        <w:tc>
          <w:tcPr>
            <w:tcW w:w="1252" w:type="dxa"/>
            <w:vAlign w:val="center"/>
          </w:tcPr>
          <w:p>
            <w:pPr>
              <w:spacing w:before="20" w:after="20"/>
              <w:jc w:val="right"/>
              <w:rPr>
                <w:noProof/>
                <w:sz w:val="20"/>
              </w:rPr>
            </w:pPr>
          </w:p>
        </w:tc>
        <w:tc>
          <w:tcPr>
            <w:tcW w:w="1116" w:type="dxa"/>
            <w:vAlign w:val="center"/>
          </w:tcPr>
          <w:p>
            <w:pPr>
              <w:spacing w:before="20" w:after="20"/>
              <w:jc w:val="right"/>
              <w:rPr>
                <w:noProof/>
                <w:sz w:val="20"/>
              </w:rPr>
            </w:pPr>
          </w:p>
        </w:tc>
        <w:tc>
          <w:tcPr>
            <w:tcW w:w="1152" w:type="dxa"/>
            <w:vAlign w:val="center"/>
          </w:tcPr>
          <w:p>
            <w:pPr>
              <w:spacing w:before="20" w:after="20"/>
              <w:jc w:val="right"/>
              <w:rPr>
                <w:noProof/>
                <w:sz w:val="20"/>
              </w:rPr>
            </w:pPr>
          </w:p>
        </w:tc>
        <w:tc>
          <w:tcPr>
            <w:tcW w:w="1134" w:type="dxa"/>
            <w:vAlign w:val="center"/>
          </w:tcPr>
          <w:p>
            <w:pPr>
              <w:spacing w:before="20" w:after="20"/>
              <w:jc w:val="right"/>
              <w:rPr>
                <w:noProof/>
                <w:sz w:val="20"/>
              </w:rPr>
            </w:pPr>
          </w:p>
        </w:tc>
        <w:tc>
          <w:tcPr>
            <w:tcW w:w="1134" w:type="dxa"/>
            <w:vAlign w:val="center"/>
          </w:tcPr>
          <w:p>
            <w:pPr>
              <w:spacing w:before="20" w:after="20"/>
              <w:jc w:val="right"/>
              <w:rPr>
                <w:noProof/>
                <w:sz w:val="20"/>
              </w:rPr>
            </w:pPr>
          </w:p>
        </w:tc>
        <w:tc>
          <w:tcPr>
            <w:tcW w:w="1134" w:type="dxa"/>
            <w:vAlign w:val="center"/>
          </w:tcPr>
          <w:p>
            <w:pPr>
              <w:spacing w:before="20" w:after="20"/>
              <w:jc w:val="right"/>
              <w:rPr>
                <w:noProof/>
                <w:sz w:val="20"/>
              </w:rPr>
            </w:pPr>
          </w:p>
        </w:tc>
        <w:tc>
          <w:tcPr>
            <w:tcW w:w="1418"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Plăți</w:t>
            </w:r>
          </w:p>
        </w:tc>
        <w:tc>
          <w:tcPr>
            <w:tcW w:w="654" w:type="dxa"/>
            <w:vAlign w:val="center"/>
          </w:tcPr>
          <w:p>
            <w:pPr>
              <w:spacing w:beforeLines="20" w:before="48" w:afterLines="20" w:after="48"/>
              <w:jc w:val="center"/>
              <w:rPr>
                <w:noProof/>
                <w:sz w:val="14"/>
              </w:rPr>
            </w:pPr>
            <w:r>
              <w:rPr>
                <w:noProof/>
                <w:sz w:val="14"/>
              </w:rPr>
              <w:t>(5)</w:t>
            </w:r>
          </w:p>
        </w:tc>
        <w:tc>
          <w:tcPr>
            <w:tcW w:w="1252" w:type="dxa"/>
            <w:vAlign w:val="center"/>
          </w:tcPr>
          <w:p>
            <w:pPr>
              <w:spacing w:before="20" w:after="20"/>
              <w:jc w:val="right"/>
              <w:rPr>
                <w:noProof/>
                <w:sz w:val="20"/>
              </w:rPr>
            </w:pPr>
          </w:p>
        </w:tc>
        <w:tc>
          <w:tcPr>
            <w:tcW w:w="1116" w:type="dxa"/>
            <w:vAlign w:val="center"/>
          </w:tcPr>
          <w:p>
            <w:pPr>
              <w:spacing w:before="20" w:after="20"/>
              <w:jc w:val="right"/>
              <w:rPr>
                <w:noProof/>
                <w:sz w:val="20"/>
              </w:rPr>
            </w:pPr>
          </w:p>
        </w:tc>
        <w:tc>
          <w:tcPr>
            <w:tcW w:w="1152" w:type="dxa"/>
            <w:vAlign w:val="center"/>
          </w:tcPr>
          <w:p>
            <w:pPr>
              <w:spacing w:before="20" w:after="20"/>
              <w:jc w:val="right"/>
              <w:rPr>
                <w:noProof/>
                <w:sz w:val="20"/>
              </w:rPr>
            </w:pPr>
          </w:p>
        </w:tc>
        <w:tc>
          <w:tcPr>
            <w:tcW w:w="1134" w:type="dxa"/>
            <w:vAlign w:val="center"/>
          </w:tcPr>
          <w:p>
            <w:pPr>
              <w:spacing w:before="20" w:after="20"/>
              <w:jc w:val="right"/>
              <w:rPr>
                <w:noProof/>
                <w:sz w:val="20"/>
              </w:rPr>
            </w:pPr>
          </w:p>
        </w:tc>
        <w:tc>
          <w:tcPr>
            <w:tcW w:w="1134" w:type="dxa"/>
            <w:vAlign w:val="center"/>
          </w:tcPr>
          <w:p>
            <w:pPr>
              <w:spacing w:before="20" w:after="20"/>
              <w:jc w:val="right"/>
              <w:rPr>
                <w:noProof/>
                <w:sz w:val="20"/>
              </w:rPr>
            </w:pPr>
          </w:p>
        </w:tc>
        <w:tc>
          <w:tcPr>
            <w:tcW w:w="1134" w:type="dxa"/>
            <w:vAlign w:val="center"/>
          </w:tcPr>
          <w:p>
            <w:pPr>
              <w:spacing w:before="20" w:after="20"/>
              <w:jc w:val="right"/>
              <w:rPr>
                <w:noProof/>
                <w:sz w:val="20"/>
              </w:rPr>
            </w:pPr>
          </w:p>
        </w:tc>
        <w:tc>
          <w:tcPr>
            <w:tcW w:w="1418" w:type="dxa"/>
            <w:vAlign w:val="center"/>
          </w:tcPr>
          <w:p>
            <w:pPr>
              <w:spacing w:before="20" w:after="20"/>
              <w:jc w:val="right"/>
              <w:rPr>
                <w:b/>
                <w:noProof/>
                <w:sz w:val="20"/>
              </w:rPr>
            </w:pP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 xml:space="preserve"> TOTAL credite cu caracter administrativ finanțate din bugetul unor programe specifice</w:t>
            </w:r>
            <w:r>
              <w:rPr>
                <w:noProof/>
              </w:rPr>
              <w:t xml:space="preserve"> </w:t>
            </w:r>
          </w:p>
        </w:tc>
        <w:tc>
          <w:tcPr>
            <w:tcW w:w="654" w:type="dxa"/>
            <w:vAlign w:val="center"/>
          </w:tcPr>
          <w:p>
            <w:pPr>
              <w:spacing w:beforeLines="20" w:before="48" w:afterLines="20" w:after="48"/>
              <w:jc w:val="center"/>
              <w:rPr>
                <w:noProof/>
                <w:sz w:val="14"/>
              </w:rPr>
            </w:pPr>
            <w:r>
              <w:rPr>
                <w:noProof/>
                <w:sz w:val="14"/>
              </w:rPr>
              <w:t>(6)</w:t>
            </w:r>
          </w:p>
        </w:tc>
        <w:tc>
          <w:tcPr>
            <w:tcW w:w="1252" w:type="dxa"/>
            <w:vAlign w:val="center"/>
          </w:tcPr>
          <w:p>
            <w:pPr>
              <w:spacing w:before="20" w:after="20"/>
              <w:jc w:val="right"/>
              <w:rPr>
                <w:b/>
                <w:noProof/>
                <w:sz w:val="20"/>
              </w:rPr>
            </w:pPr>
          </w:p>
        </w:tc>
        <w:tc>
          <w:tcPr>
            <w:tcW w:w="1116" w:type="dxa"/>
            <w:vAlign w:val="center"/>
          </w:tcPr>
          <w:p>
            <w:pPr>
              <w:spacing w:before="20" w:after="20"/>
              <w:jc w:val="right"/>
              <w:rPr>
                <w:b/>
                <w:noProof/>
                <w:sz w:val="20"/>
              </w:rPr>
            </w:pPr>
          </w:p>
        </w:tc>
        <w:tc>
          <w:tcPr>
            <w:tcW w:w="1152" w:type="dxa"/>
            <w:vAlign w:val="center"/>
          </w:tcPr>
          <w:p>
            <w:pPr>
              <w:spacing w:before="20" w:after="20"/>
              <w:jc w:val="right"/>
              <w:rPr>
                <w:b/>
                <w:noProof/>
                <w:sz w:val="20"/>
              </w:rPr>
            </w:pPr>
          </w:p>
        </w:tc>
        <w:tc>
          <w:tcPr>
            <w:tcW w:w="1134" w:type="dxa"/>
            <w:vAlign w:val="center"/>
          </w:tcPr>
          <w:p>
            <w:pPr>
              <w:spacing w:before="20" w:after="20"/>
              <w:jc w:val="right"/>
              <w:rPr>
                <w:b/>
                <w:noProof/>
                <w:sz w:val="20"/>
              </w:rPr>
            </w:pPr>
          </w:p>
        </w:tc>
        <w:tc>
          <w:tcPr>
            <w:tcW w:w="1134" w:type="dxa"/>
            <w:vAlign w:val="center"/>
          </w:tcPr>
          <w:p>
            <w:pPr>
              <w:spacing w:before="20" w:after="20"/>
              <w:jc w:val="right"/>
              <w:rPr>
                <w:b/>
                <w:noProof/>
                <w:sz w:val="20"/>
              </w:rPr>
            </w:pPr>
          </w:p>
        </w:tc>
        <w:tc>
          <w:tcPr>
            <w:tcW w:w="1134" w:type="dxa"/>
            <w:vAlign w:val="center"/>
          </w:tcPr>
          <w:p>
            <w:pPr>
              <w:spacing w:before="20" w:after="20"/>
              <w:jc w:val="right"/>
              <w:rPr>
                <w:b/>
                <w:noProof/>
                <w:sz w:val="20"/>
              </w:rPr>
            </w:pPr>
          </w:p>
        </w:tc>
        <w:tc>
          <w:tcPr>
            <w:tcW w:w="1418"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rPr>
            </w:pPr>
            <w:r>
              <w:rPr>
                <w:b/>
                <w:noProof/>
                <w:sz w:val="22"/>
              </w:rPr>
              <w:t>TOTAL credite</w:t>
            </w:r>
            <w:r>
              <w:rPr>
                <w:noProof/>
                <w:sz w:val="22"/>
              </w:rPr>
              <w:br/>
            </w:r>
            <w:r>
              <w:rPr>
                <w:b/>
                <w:noProof/>
                <w:sz w:val="22"/>
              </w:rPr>
              <w:t>pentru RUBRICA 13</w:t>
            </w:r>
            <w:r>
              <w:rPr>
                <w:noProof/>
                <w:sz w:val="22"/>
              </w:rPr>
              <w:br/>
              <w:t>din cadrul financiar multianual</w:t>
            </w:r>
          </w:p>
        </w:tc>
        <w:tc>
          <w:tcPr>
            <w:tcW w:w="1440" w:type="dxa"/>
            <w:vAlign w:val="center"/>
          </w:tcPr>
          <w:p>
            <w:pPr>
              <w:rPr>
                <w:noProof/>
                <w:sz w:val="18"/>
              </w:rPr>
            </w:pPr>
            <w:r>
              <w:rPr>
                <w:noProof/>
                <w:sz w:val="18"/>
              </w:rPr>
              <w:t>Angajamente</w:t>
            </w:r>
          </w:p>
        </w:tc>
        <w:tc>
          <w:tcPr>
            <w:tcW w:w="654" w:type="dxa"/>
            <w:vAlign w:val="center"/>
          </w:tcPr>
          <w:p>
            <w:pPr>
              <w:jc w:val="center"/>
              <w:rPr>
                <w:noProof/>
                <w:sz w:val="14"/>
              </w:rPr>
            </w:pPr>
            <w:r>
              <w:rPr>
                <w:noProof/>
                <w:sz w:val="14"/>
              </w:rPr>
              <w:t>=4+ 6</w:t>
            </w:r>
          </w:p>
        </w:tc>
        <w:tc>
          <w:tcPr>
            <w:tcW w:w="1252" w:type="dxa"/>
            <w:vAlign w:val="center"/>
          </w:tcPr>
          <w:p>
            <w:pPr>
              <w:spacing w:before="20" w:after="20"/>
              <w:jc w:val="right"/>
              <w:rPr>
                <w:noProof/>
                <w:sz w:val="18"/>
                <w:szCs w:val="18"/>
              </w:rPr>
            </w:pPr>
          </w:p>
        </w:tc>
        <w:tc>
          <w:tcPr>
            <w:tcW w:w="1116" w:type="dxa"/>
            <w:vAlign w:val="center"/>
          </w:tcPr>
          <w:p>
            <w:pPr>
              <w:spacing w:before="20" w:after="20"/>
              <w:jc w:val="right"/>
              <w:rPr>
                <w:noProof/>
                <w:sz w:val="18"/>
                <w:szCs w:val="18"/>
              </w:rPr>
            </w:pPr>
          </w:p>
        </w:tc>
        <w:tc>
          <w:tcPr>
            <w:tcW w:w="1152" w:type="dxa"/>
            <w:vAlign w:val="center"/>
          </w:tcPr>
          <w:p>
            <w:pPr>
              <w:spacing w:before="20" w:after="20"/>
              <w:jc w:val="right"/>
              <w:rPr>
                <w:noProof/>
                <w:sz w:val="18"/>
                <w:szCs w:val="18"/>
              </w:rPr>
            </w:pPr>
          </w:p>
        </w:tc>
        <w:tc>
          <w:tcPr>
            <w:tcW w:w="1134" w:type="dxa"/>
            <w:vAlign w:val="center"/>
          </w:tcPr>
          <w:p>
            <w:pPr>
              <w:spacing w:before="20" w:after="20"/>
              <w:jc w:val="right"/>
              <w:rPr>
                <w:noProof/>
                <w:sz w:val="18"/>
                <w:szCs w:val="18"/>
              </w:rPr>
            </w:pPr>
          </w:p>
        </w:tc>
        <w:tc>
          <w:tcPr>
            <w:tcW w:w="1134" w:type="dxa"/>
          </w:tcPr>
          <w:p>
            <w:pPr>
              <w:spacing w:before="20" w:after="20"/>
              <w:jc w:val="right"/>
              <w:rPr>
                <w:noProof/>
                <w:sz w:val="18"/>
                <w:szCs w:val="18"/>
              </w:rPr>
            </w:pPr>
          </w:p>
        </w:tc>
        <w:tc>
          <w:tcPr>
            <w:tcW w:w="1134" w:type="dxa"/>
          </w:tcPr>
          <w:p>
            <w:pPr>
              <w:spacing w:before="20" w:after="20"/>
              <w:jc w:val="right"/>
              <w:rPr>
                <w:noProof/>
                <w:sz w:val="18"/>
                <w:szCs w:val="18"/>
              </w:rPr>
            </w:pPr>
          </w:p>
        </w:tc>
        <w:tc>
          <w:tcPr>
            <w:tcW w:w="1418" w:type="dxa"/>
            <w:vAlign w:val="center"/>
          </w:tcPr>
          <w:p>
            <w:pPr>
              <w:spacing w:before="20" w:after="20"/>
              <w:jc w:val="right"/>
              <w:rPr>
                <w:b/>
                <w:noProof/>
                <w:sz w:val="18"/>
                <w:szCs w:val="18"/>
              </w:rPr>
            </w:pP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Plăți</w:t>
            </w:r>
          </w:p>
        </w:tc>
        <w:tc>
          <w:tcPr>
            <w:tcW w:w="654" w:type="dxa"/>
            <w:vAlign w:val="center"/>
          </w:tcPr>
          <w:p>
            <w:pPr>
              <w:jc w:val="center"/>
              <w:rPr>
                <w:noProof/>
                <w:sz w:val="14"/>
              </w:rPr>
            </w:pPr>
            <w:r>
              <w:rPr>
                <w:noProof/>
                <w:sz w:val="14"/>
              </w:rPr>
              <w:t>=5+ 6</w:t>
            </w:r>
          </w:p>
        </w:tc>
        <w:tc>
          <w:tcPr>
            <w:tcW w:w="1252" w:type="dxa"/>
            <w:vAlign w:val="center"/>
          </w:tcPr>
          <w:p>
            <w:pPr>
              <w:spacing w:before="20" w:after="20"/>
              <w:jc w:val="right"/>
              <w:rPr>
                <w:noProof/>
                <w:sz w:val="18"/>
                <w:szCs w:val="18"/>
              </w:rPr>
            </w:pPr>
          </w:p>
        </w:tc>
        <w:tc>
          <w:tcPr>
            <w:tcW w:w="1116" w:type="dxa"/>
            <w:vAlign w:val="center"/>
          </w:tcPr>
          <w:p>
            <w:pPr>
              <w:spacing w:before="20" w:after="20"/>
              <w:jc w:val="right"/>
              <w:rPr>
                <w:noProof/>
                <w:sz w:val="18"/>
                <w:szCs w:val="18"/>
              </w:rPr>
            </w:pPr>
          </w:p>
        </w:tc>
        <w:tc>
          <w:tcPr>
            <w:tcW w:w="1152" w:type="dxa"/>
            <w:vAlign w:val="center"/>
          </w:tcPr>
          <w:p>
            <w:pPr>
              <w:spacing w:before="20" w:after="20"/>
              <w:jc w:val="right"/>
              <w:rPr>
                <w:noProof/>
                <w:sz w:val="18"/>
                <w:szCs w:val="18"/>
              </w:rPr>
            </w:pPr>
          </w:p>
        </w:tc>
        <w:tc>
          <w:tcPr>
            <w:tcW w:w="1134" w:type="dxa"/>
            <w:vAlign w:val="center"/>
          </w:tcPr>
          <w:p>
            <w:pPr>
              <w:spacing w:before="20" w:after="20"/>
              <w:jc w:val="right"/>
              <w:rPr>
                <w:noProof/>
                <w:sz w:val="18"/>
                <w:szCs w:val="18"/>
              </w:rPr>
            </w:pPr>
          </w:p>
        </w:tc>
        <w:tc>
          <w:tcPr>
            <w:tcW w:w="1134" w:type="dxa"/>
          </w:tcPr>
          <w:p>
            <w:pPr>
              <w:spacing w:before="20" w:after="20"/>
              <w:jc w:val="right"/>
              <w:rPr>
                <w:noProof/>
                <w:sz w:val="18"/>
                <w:szCs w:val="18"/>
              </w:rPr>
            </w:pPr>
          </w:p>
        </w:tc>
        <w:tc>
          <w:tcPr>
            <w:tcW w:w="1134" w:type="dxa"/>
          </w:tcPr>
          <w:p>
            <w:pPr>
              <w:spacing w:before="20" w:after="20"/>
              <w:jc w:val="right"/>
              <w:rPr>
                <w:noProof/>
                <w:sz w:val="18"/>
                <w:szCs w:val="18"/>
              </w:rPr>
            </w:pPr>
          </w:p>
        </w:tc>
        <w:tc>
          <w:tcPr>
            <w:tcW w:w="1418" w:type="dxa"/>
            <w:vAlign w:val="center"/>
          </w:tcPr>
          <w:p>
            <w:pPr>
              <w:spacing w:before="20" w:after="20"/>
              <w:jc w:val="right"/>
              <w:rPr>
                <w:b/>
                <w:noProof/>
                <w:sz w:val="18"/>
                <w:szCs w:val="18"/>
              </w:rPr>
            </w:pPr>
          </w:p>
        </w:tc>
      </w:tr>
    </w:tbl>
    <w:p>
      <w:pPr>
        <w:spacing w:after="40"/>
        <w:rPr>
          <w:b/>
          <w:noProof/>
          <w:sz w:val="22"/>
          <w:u w:val="single"/>
        </w:rPr>
      </w:pPr>
    </w:p>
    <w:p>
      <w:pPr>
        <w:spacing w:after="40"/>
        <w:rPr>
          <w:b/>
          <w:noProof/>
          <w:sz w:val="22"/>
          <w:u w:val="single"/>
        </w:rPr>
      </w:pPr>
      <w:r>
        <w:rPr>
          <w:b/>
          <w:noProof/>
          <w:sz w:val="22"/>
          <w:u w:val="single"/>
        </w:rPr>
        <w:t>În cazul în care propunerea/inițiativa afectează mai multe rubrici operaționale, a se repeta secțiunea de mai sus:</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auto"/>
              <w:left w:val="single" w:sz="4" w:space="0" w:color="auto"/>
              <w:bottom w:val="single" w:sz="4" w:space="0" w:color="FF0000"/>
            </w:tcBorders>
            <w:vAlign w:val="center"/>
          </w:tcPr>
          <w:p>
            <w:pPr>
              <w:spacing w:before="20" w:after="20"/>
              <w:rPr>
                <w:noProof/>
              </w:rPr>
            </w:pPr>
            <w:r>
              <w:rPr>
                <w:noProof/>
                <w:sz w:val="21"/>
              </w:rPr>
              <w:sym w:font="Wingdings" w:char="F09F"/>
            </w:r>
            <w:r>
              <w:rPr>
                <w:noProof/>
                <w:sz w:val="21"/>
              </w:rPr>
              <w:t xml:space="preserve"> TOTAL credite operaționale (toate rubricile operaționale)</w:t>
            </w:r>
          </w:p>
        </w:tc>
        <w:tc>
          <w:tcPr>
            <w:tcW w:w="1440" w:type="dxa"/>
            <w:tcBorders>
              <w:top w:val="single" w:sz="4" w:space="0" w:color="auto"/>
            </w:tcBorders>
            <w:vAlign w:val="center"/>
          </w:tcPr>
          <w:p>
            <w:pPr>
              <w:spacing w:beforeLines="20" w:before="48" w:afterLines="20" w:after="48"/>
              <w:rPr>
                <w:noProof/>
                <w:sz w:val="18"/>
              </w:rPr>
            </w:pPr>
            <w:r>
              <w:rPr>
                <w:noProof/>
                <w:sz w:val="18"/>
              </w:rPr>
              <w:t>Angajamente</w:t>
            </w:r>
          </w:p>
        </w:tc>
        <w:tc>
          <w:tcPr>
            <w:tcW w:w="654" w:type="dxa"/>
            <w:tcBorders>
              <w:top w:val="single" w:sz="4" w:space="0" w:color="auto"/>
            </w:tcBorders>
            <w:vAlign w:val="center"/>
          </w:tcPr>
          <w:p>
            <w:pPr>
              <w:spacing w:beforeLines="20" w:before="48" w:afterLines="20" w:after="48"/>
              <w:jc w:val="center"/>
              <w:rPr>
                <w:noProof/>
                <w:sz w:val="14"/>
              </w:rPr>
            </w:pPr>
            <w:r>
              <w:rPr>
                <w:noProof/>
                <w:sz w:val="14"/>
              </w:rPr>
              <w:t>(4)</w:t>
            </w: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b/>
                <w:noProof/>
                <w:sz w:val="20"/>
              </w:rPr>
            </w:pPr>
          </w:p>
        </w:tc>
        <w:tc>
          <w:tcPr>
            <w:tcW w:w="1777" w:type="dxa"/>
            <w:tcBorders>
              <w:top w:val="single" w:sz="4" w:space="0" w:color="auto"/>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Plăți</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rPr>
            </w:pPr>
            <w:r>
              <w:rPr>
                <w:noProof/>
                <w:sz w:val="21"/>
              </w:rPr>
              <w:t xml:space="preserve"> TOTAL credite cu caracter administrativ finanțate din bugetul unor programe specifice (toate rubricile operaționale)</w:t>
            </w:r>
          </w:p>
        </w:tc>
        <w:tc>
          <w:tcPr>
            <w:tcW w:w="654" w:type="dxa"/>
            <w:vAlign w:val="center"/>
          </w:tcPr>
          <w:p>
            <w:pPr>
              <w:rPr>
                <w:noProof/>
              </w:rPr>
            </w:pPr>
          </w:p>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rPr>
            </w:pPr>
            <w:r>
              <w:rPr>
                <w:b/>
                <w:noProof/>
                <w:sz w:val="22"/>
              </w:rPr>
              <w:t>TOTAL credite</w:t>
            </w:r>
            <w:r>
              <w:rPr>
                <w:noProof/>
                <w:sz w:val="22"/>
              </w:rPr>
              <w:br/>
            </w:r>
            <w:r>
              <w:rPr>
                <w:b/>
                <w:noProof/>
                <w:sz w:val="22"/>
              </w:rPr>
              <w:t>de la RUBRICILE 1-4</w:t>
            </w:r>
            <w:r>
              <w:rPr>
                <w:noProof/>
                <w:sz w:val="22"/>
              </w:rPr>
              <w:br/>
              <w:t>din cadrul financiar multianual</w:t>
            </w:r>
            <w:r>
              <w:rPr>
                <w:noProof/>
                <w:sz w:val="22"/>
              </w:rPr>
              <w:br/>
            </w:r>
            <w:r>
              <w:rPr>
                <w:noProof/>
                <w:sz w:val="20"/>
              </w:rPr>
              <w:t>(Suma de referință)</w:t>
            </w:r>
          </w:p>
        </w:tc>
        <w:tc>
          <w:tcPr>
            <w:tcW w:w="1440" w:type="dxa"/>
            <w:vAlign w:val="center"/>
          </w:tcPr>
          <w:p>
            <w:pPr>
              <w:rPr>
                <w:noProof/>
                <w:sz w:val="18"/>
              </w:rPr>
            </w:pPr>
            <w:r>
              <w:rPr>
                <w:noProof/>
                <w:sz w:val="18"/>
              </w:rPr>
              <w:t>Angajamente</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auto"/>
            </w:tcBorders>
            <w:shd w:val="thinDiagStripe" w:color="C0C0C0" w:fill="auto"/>
          </w:tcPr>
          <w:p>
            <w:pPr>
              <w:rPr>
                <w:noProof/>
                <w:sz w:val="20"/>
              </w:rPr>
            </w:pPr>
          </w:p>
        </w:tc>
        <w:tc>
          <w:tcPr>
            <w:tcW w:w="1440" w:type="dxa"/>
            <w:tcBorders>
              <w:bottom w:val="single" w:sz="4" w:space="0" w:color="auto"/>
            </w:tcBorders>
            <w:vAlign w:val="center"/>
          </w:tcPr>
          <w:p>
            <w:pPr>
              <w:rPr>
                <w:noProof/>
                <w:sz w:val="18"/>
              </w:rPr>
            </w:pPr>
            <w:r>
              <w:rPr>
                <w:noProof/>
                <w:sz w:val="18"/>
              </w:rPr>
              <w:t>Plăți</w:t>
            </w:r>
          </w:p>
        </w:tc>
        <w:tc>
          <w:tcPr>
            <w:tcW w:w="654" w:type="dxa"/>
            <w:tcBorders>
              <w:bottom w:val="single" w:sz="4" w:space="0" w:color="auto"/>
            </w:tcBorders>
            <w:vAlign w:val="center"/>
          </w:tcPr>
          <w:p>
            <w:pPr>
              <w:jc w:val="center"/>
              <w:rPr>
                <w:noProof/>
                <w:sz w:val="14"/>
              </w:rPr>
            </w:pPr>
            <w:r>
              <w:rPr>
                <w:noProof/>
                <w:sz w:val="14"/>
              </w:rPr>
              <w:t>=5+ 6</w:t>
            </w:r>
          </w:p>
        </w:tc>
        <w:tc>
          <w:tcPr>
            <w:tcW w:w="868" w:type="dxa"/>
            <w:tcBorders>
              <w:bottom w:val="single" w:sz="4" w:space="0" w:color="auto"/>
            </w:tcBorders>
            <w:vAlign w:val="center"/>
          </w:tcPr>
          <w:p>
            <w:pPr>
              <w:spacing w:before="20" w:after="20"/>
              <w:jc w:val="right"/>
              <w:rPr>
                <w:noProof/>
                <w:sz w:val="20"/>
              </w:rPr>
            </w:pPr>
          </w:p>
        </w:tc>
        <w:tc>
          <w:tcPr>
            <w:tcW w:w="868" w:type="dxa"/>
            <w:tcBorders>
              <w:bottom w:val="single" w:sz="4" w:space="0" w:color="auto"/>
            </w:tcBorders>
            <w:vAlign w:val="center"/>
          </w:tcPr>
          <w:p>
            <w:pPr>
              <w:spacing w:before="20" w:after="20"/>
              <w:jc w:val="right"/>
              <w:rPr>
                <w:noProof/>
                <w:sz w:val="20"/>
              </w:rPr>
            </w:pPr>
          </w:p>
        </w:tc>
        <w:tc>
          <w:tcPr>
            <w:tcW w:w="868" w:type="dxa"/>
            <w:tcBorders>
              <w:bottom w:val="single" w:sz="4" w:space="0" w:color="auto"/>
            </w:tcBorders>
            <w:vAlign w:val="center"/>
          </w:tcPr>
          <w:p>
            <w:pPr>
              <w:spacing w:before="20" w:after="20"/>
              <w:jc w:val="right"/>
              <w:rPr>
                <w:noProof/>
                <w:sz w:val="20"/>
              </w:rPr>
            </w:pPr>
          </w:p>
        </w:tc>
        <w:tc>
          <w:tcPr>
            <w:tcW w:w="868" w:type="dxa"/>
            <w:tcBorders>
              <w:bottom w:val="single" w:sz="4" w:space="0" w:color="auto"/>
            </w:tcBorders>
            <w:vAlign w:val="center"/>
          </w:tcPr>
          <w:p>
            <w:pPr>
              <w:spacing w:before="20" w:after="20"/>
              <w:jc w:val="right"/>
              <w:rPr>
                <w:noProof/>
                <w:sz w:val="20"/>
              </w:rPr>
            </w:pPr>
          </w:p>
        </w:tc>
        <w:tc>
          <w:tcPr>
            <w:tcW w:w="868" w:type="dxa"/>
            <w:tcBorders>
              <w:bottom w:val="single" w:sz="4" w:space="0" w:color="auto"/>
            </w:tcBorders>
            <w:vAlign w:val="center"/>
          </w:tcPr>
          <w:p>
            <w:pPr>
              <w:spacing w:before="20" w:after="20"/>
              <w:jc w:val="right"/>
              <w:rPr>
                <w:noProof/>
                <w:sz w:val="20"/>
              </w:rPr>
            </w:pPr>
          </w:p>
        </w:tc>
        <w:tc>
          <w:tcPr>
            <w:tcW w:w="868" w:type="dxa"/>
            <w:tcBorders>
              <w:bottom w:val="single" w:sz="4" w:space="0" w:color="auto"/>
            </w:tcBorders>
            <w:vAlign w:val="center"/>
          </w:tcPr>
          <w:p>
            <w:pPr>
              <w:spacing w:before="20" w:after="20"/>
              <w:jc w:val="right"/>
              <w:rPr>
                <w:noProof/>
                <w:sz w:val="20"/>
              </w:rPr>
            </w:pPr>
          </w:p>
        </w:tc>
        <w:tc>
          <w:tcPr>
            <w:tcW w:w="868" w:type="dxa"/>
            <w:tcBorders>
              <w:bottom w:val="single" w:sz="4" w:space="0" w:color="auto"/>
            </w:tcBorders>
            <w:vAlign w:val="center"/>
          </w:tcPr>
          <w:p>
            <w:pPr>
              <w:spacing w:before="20" w:after="20"/>
              <w:jc w:val="right"/>
              <w:rPr>
                <w:b/>
                <w:noProof/>
                <w:sz w:val="20"/>
              </w:rPr>
            </w:pPr>
          </w:p>
        </w:tc>
        <w:tc>
          <w:tcPr>
            <w:tcW w:w="1777" w:type="dxa"/>
            <w:tcBorders>
              <w:bottom w:val="single" w:sz="4" w:space="0" w:color="auto"/>
              <w:right w:val="single" w:sz="4" w:space="0" w:color="auto"/>
            </w:tcBorders>
            <w:vAlign w:val="center"/>
          </w:tcPr>
          <w:p>
            <w:pPr>
              <w:spacing w:before="20" w:after="20"/>
              <w:jc w:val="right"/>
              <w:rPr>
                <w:b/>
                <w:noProof/>
                <w:sz w:val="20"/>
              </w:rPr>
            </w:pPr>
          </w:p>
        </w:tc>
      </w:tr>
    </w:tbl>
    <w:p>
      <w:pPr>
        <w:rPr>
          <w:noProof/>
        </w:rPr>
      </w:pPr>
    </w:p>
    <w:p>
      <w:pPr>
        <w:spacing w:before="0" w:after="0"/>
        <w:jc w:val="left"/>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 xml:space="preserve">Rubrica din cadrul financiar </w:t>
            </w:r>
            <w:r>
              <w:rPr>
                <w:noProof/>
                <w:sz w:val="22"/>
              </w:rPr>
              <w:br/>
            </w:r>
            <w:r>
              <w:rPr>
                <w:b/>
                <w:noProof/>
                <w:sz w:val="22"/>
              </w:rPr>
              <w:t xml:space="preserve">multianual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„Cheltuieli administrative”</w:t>
            </w:r>
          </w:p>
        </w:tc>
      </w:tr>
    </w:tbl>
    <w:p>
      <w:pPr>
        <w:jc w:val="left"/>
        <w:rPr>
          <w:noProof/>
          <w:sz w:val="20"/>
        </w:rPr>
      </w:pPr>
      <w:r>
        <w:rPr>
          <w:noProof/>
        </w:rPr>
        <w:t xml:space="preserve">Această secțiune ar trebui completată utilizând „datele bugetare cu caracter administrativ” care trebuie introduse mai întâi în </w:t>
      </w:r>
      <w:hyperlink r:id="rId22">
        <w:r>
          <w:rPr>
            <w:rStyle w:val="Hyperlink"/>
            <w:noProof/>
          </w:rPr>
          <w:t>anexa la fișa financiară legislativă</w:t>
        </w:r>
      </w:hyperlink>
      <w:r>
        <w:rPr>
          <w:noProof/>
        </w:rPr>
        <w:t xml:space="preserve"> (anexa V la normele interne), încărcată în DECIDE pentru consultarea interservicii.</w:t>
      </w:r>
    </w:p>
    <w:p>
      <w:pPr>
        <w:jc w:val="right"/>
        <w:rPr>
          <w:noProof/>
          <w:sz w:val="20"/>
        </w:rPr>
      </w:pPr>
      <w:r>
        <w:rPr>
          <w:noProof/>
          <w:sz w:val="20"/>
        </w:rPr>
        <w:t>milioane EUR (cu trei zecimale)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Anul</w:t>
            </w:r>
            <w:r>
              <w:rPr>
                <w:noProof/>
                <w:sz w:val="22"/>
              </w:rPr>
              <w:br/>
            </w:r>
            <w:r>
              <w:rPr>
                <w:b/>
                <w:noProof/>
                <w:sz w:val="20"/>
              </w:rPr>
              <w:t>N</w:t>
            </w:r>
          </w:p>
        </w:tc>
        <w:tc>
          <w:tcPr>
            <w:tcW w:w="868" w:type="dxa"/>
            <w:vAlign w:val="center"/>
          </w:tcPr>
          <w:p>
            <w:pPr>
              <w:jc w:val="center"/>
              <w:rPr>
                <w:noProof/>
                <w:sz w:val="20"/>
              </w:rPr>
            </w:pPr>
            <w:r>
              <w:rPr>
                <w:noProof/>
                <w:sz w:val="20"/>
              </w:rPr>
              <w:t>Anul</w:t>
            </w:r>
            <w:r>
              <w:rPr>
                <w:noProof/>
                <w:sz w:val="22"/>
              </w:rPr>
              <w:br/>
            </w:r>
            <w:r>
              <w:rPr>
                <w:b/>
                <w:noProof/>
                <w:sz w:val="20"/>
              </w:rPr>
              <w:t>N+1</w:t>
            </w:r>
          </w:p>
        </w:tc>
        <w:tc>
          <w:tcPr>
            <w:tcW w:w="868" w:type="dxa"/>
            <w:vAlign w:val="center"/>
          </w:tcPr>
          <w:p>
            <w:pPr>
              <w:jc w:val="center"/>
              <w:rPr>
                <w:noProof/>
                <w:sz w:val="20"/>
              </w:rPr>
            </w:pPr>
            <w:r>
              <w:rPr>
                <w:noProof/>
                <w:sz w:val="20"/>
              </w:rPr>
              <w:t>Anul</w:t>
            </w:r>
            <w:r>
              <w:rPr>
                <w:noProof/>
                <w:sz w:val="22"/>
              </w:rPr>
              <w:br/>
            </w:r>
            <w:r>
              <w:rPr>
                <w:b/>
                <w:noProof/>
                <w:sz w:val="20"/>
              </w:rPr>
              <w:t>N+2</w:t>
            </w:r>
          </w:p>
        </w:tc>
        <w:tc>
          <w:tcPr>
            <w:tcW w:w="868" w:type="dxa"/>
            <w:vAlign w:val="center"/>
          </w:tcPr>
          <w:p>
            <w:pPr>
              <w:jc w:val="center"/>
              <w:rPr>
                <w:noProof/>
                <w:sz w:val="20"/>
              </w:rPr>
            </w:pPr>
            <w:r>
              <w:rPr>
                <w:noProof/>
                <w:sz w:val="20"/>
              </w:rPr>
              <w:t>Anul</w:t>
            </w:r>
            <w:r>
              <w:rPr>
                <w:noProof/>
                <w:sz w:val="22"/>
              </w:rPr>
              <w:br/>
            </w:r>
            <w:r>
              <w:rPr>
                <w:b/>
                <w:noProof/>
                <w:sz w:val="20"/>
              </w:rPr>
              <w:t>N+3</w:t>
            </w:r>
          </w:p>
        </w:tc>
        <w:tc>
          <w:tcPr>
            <w:tcW w:w="2604" w:type="dxa"/>
            <w:gridSpan w:val="3"/>
            <w:vAlign w:val="center"/>
          </w:tcPr>
          <w:p>
            <w:pPr>
              <w:jc w:val="center"/>
              <w:rPr>
                <w:b/>
                <w:noProof/>
                <w:sz w:val="18"/>
              </w:rPr>
            </w:pPr>
            <w:r>
              <w:rPr>
                <w:noProof/>
                <w:sz w:val="18"/>
              </w:rPr>
              <w:t xml:space="preserve">A se introduce atâția ani câți sunt considerați necesari pentru a reflecta durata impactului (a se vedea punctul 1.6) </w:t>
            </w:r>
          </w:p>
        </w:tc>
        <w:tc>
          <w:tcPr>
            <w:tcW w:w="1777" w:type="dxa"/>
            <w:vAlign w:val="center"/>
          </w:tcPr>
          <w:p>
            <w:pPr>
              <w:jc w:val="center"/>
              <w:rPr>
                <w:b/>
                <w:noProof/>
                <w:sz w:val="20"/>
              </w:rPr>
            </w:pPr>
            <w:r>
              <w:rPr>
                <w:b/>
                <w:noProof/>
                <w:sz w:val="20"/>
              </w:rPr>
              <w:t>TOTAL</w:t>
            </w:r>
          </w:p>
        </w:tc>
      </w:tr>
      <w:tr>
        <w:trPr>
          <w:gridAfter w:val="10"/>
          <w:wAfter w:w="9947" w:type="dxa"/>
        </w:trPr>
        <w:tc>
          <w:tcPr>
            <w:tcW w:w="3960" w:type="dxa"/>
            <w:vAlign w:val="center"/>
          </w:tcPr>
          <w:p>
            <w:pPr>
              <w:spacing w:before="60" w:after="60"/>
              <w:jc w:val="center"/>
              <w:rPr>
                <w:noProof/>
              </w:rPr>
            </w:pPr>
            <w:r>
              <w:rPr>
                <w:noProof/>
                <w:sz w:val="22"/>
              </w:rPr>
              <w:t>DG: &lt;…….&gt;</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 xml:space="preserve"> Resurse umane </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Alte cheltuieli administrative </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rPr>
            </w:pPr>
            <w:r>
              <w:rPr>
                <w:b/>
                <w:noProof/>
                <w:sz w:val="22"/>
              </w:rPr>
              <w:t xml:space="preserve">TOTAL Direcția Generală </w:t>
            </w:r>
            <w:r>
              <w:rPr>
                <w:noProof/>
                <w:sz w:val="22"/>
              </w:rPr>
              <w:t>&lt;…….&gt;</w:t>
            </w:r>
          </w:p>
        </w:tc>
        <w:tc>
          <w:tcPr>
            <w:tcW w:w="2094" w:type="dxa"/>
            <w:gridSpan w:val="2"/>
            <w:vAlign w:val="center"/>
          </w:tcPr>
          <w:p>
            <w:pPr>
              <w:rPr>
                <w:noProof/>
                <w:sz w:val="14"/>
              </w:rPr>
            </w:pPr>
            <w:r>
              <w:rPr>
                <w:noProof/>
                <w:sz w:val="18"/>
              </w:rPr>
              <w:t xml:space="preserve">Credite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rPr>
            </w:pPr>
            <w:r>
              <w:rPr>
                <w:b/>
                <w:noProof/>
                <w:sz w:val="22"/>
              </w:rPr>
              <w:t>TOTAL credite</w:t>
            </w:r>
            <w:r>
              <w:rPr>
                <w:noProof/>
                <w:sz w:val="22"/>
              </w:rPr>
              <w:br/>
            </w:r>
            <w:r>
              <w:rPr>
                <w:b/>
                <w:noProof/>
                <w:sz w:val="22"/>
              </w:rPr>
              <w:t>pentru RUBRICA 5</w:t>
            </w:r>
            <w:r>
              <w:rPr>
                <w:noProof/>
                <w:sz w:val="22"/>
              </w:rPr>
              <w:br/>
              <w:t>din cadrul financiar multianual</w:t>
            </w:r>
            <w:r>
              <w:rPr>
                <w:b/>
                <w:noProof/>
                <w:sz w:val="22"/>
              </w:rPr>
              <w:t xml:space="preserve"> </w:t>
            </w:r>
          </w:p>
        </w:tc>
        <w:tc>
          <w:tcPr>
            <w:tcW w:w="2094" w:type="dxa"/>
            <w:vAlign w:val="center"/>
          </w:tcPr>
          <w:p>
            <w:pPr>
              <w:spacing w:before="40" w:after="40"/>
              <w:rPr>
                <w:noProof/>
              </w:rPr>
            </w:pPr>
            <w:r>
              <w:rPr>
                <w:noProof/>
                <w:sz w:val="18"/>
              </w:rPr>
              <w:t>(Total angajamente = Total plăți)</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milioane EUR (cu trei zecimale)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Anul</w:t>
            </w:r>
            <w:r>
              <w:rPr>
                <w:noProof/>
                <w:sz w:val="22"/>
              </w:rPr>
              <w:br/>
            </w:r>
            <w:r>
              <w:rPr>
                <w:b/>
                <w:noProof/>
                <w:sz w:val="20"/>
              </w:rPr>
              <w:t>N</w:t>
            </w:r>
            <w:r>
              <w:rPr>
                <w:rStyle w:val="FootnoteReference"/>
                <w:b/>
                <w:noProof/>
                <w:sz w:val="20"/>
              </w:rPr>
              <w:footnoteReference w:id="13"/>
            </w:r>
          </w:p>
        </w:tc>
        <w:tc>
          <w:tcPr>
            <w:tcW w:w="868" w:type="dxa"/>
            <w:vAlign w:val="center"/>
          </w:tcPr>
          <w:p>
            <w:pPr>
              <w:jc w:val="center"/>
              <w:rPr>
                <w:noProof/>
                <w:sz w:val="20"/>
              </w:rPr>
            </w:pPr>
            <w:r>
              <w:rPr>
                <w:noProof/>
                <w:sz w:val="20"/>
              </w:rPr>
              <w:t>Anul</w:t>
            </w:r>
            <w:r>
              <w:rPr>
                <w:noProof/>
                <w:sz w:val="22"/>
              </w:rPr>
              <w:br/>
            </w:r>
            <w:r>
              <w:rPr>
                <w:b/>
                <w:noProof/>
                <w:sz w:val="20"/>
              </w:rPr>
              <w:t>N+1</w:t>
            </w:r>
          </w:p>
        </w:tc>
        <w:tc>
          <w:tcPr>
            <w:tcW w:w="868" w:type="dxa"/>
            <w:vAlign w:val="center"/>
          </w:tcPr>
          <w:p>
            <w:pPr>
              <w:jc w:val="center"/>
              <w:rPr>
                <w:noProof/>
                <w:sz w:val="20"/>
              </w:rPr>
            </w:pPr>
            <w:r>
              <w:rPr>
                <w:noProof/>
                <w:sz w:val="20"/>
              </w:rPr>
              <w:t>Anul</w:t>
            </w:r>
            <w:r>
              <w:rPr>
                <w:noProof/>
                <w:sz w:val="22"/>
              </w:rPr>
              <w:br/>
            </w:r>
            <w:r>
              <w:rPr>
                <w:b/>
                <w:noProof/>
                <w:sz w:val="20"/>
              </w:rPr>
              <w:t>N+2</w:t>
            </w:r>
          </w:p>
        </w:tc>
        <w:tc>
          <w:tcPr>
            <w:tcW w:w="868" w:type="dxa"/>
            <w:vAlign w:val="center"/>
          </w:tcPr>
          <w:p>
            <w:pPr>
              <w:jc w:val="center"/>
              <w:rPr>
                <w:noProof/>
                <w:sz w:val="20"/>
              </w:rPr>
            </w:pPr>
            <w:r>
              <w:rPr>
                <w:noProof/>
                <w:sz w:val="20"/>
              </w:rPr>
              <w:t>Anul</w:t>
            </w:r>
            <w:r>
              <w:rPr>
                <w:noProof/>
                <w:sz w:val="22"/>
              </w:rPr>
              <w:br/>
            </w:r>
            <w:r>
              <w:rPr>
                <w:b/>
                <w:noProof/>
                <w:sz w:val="20"/>
              </w:rPr>
              <w:t>N+3</w:t>
            </w:r>
          </w:p>
        </w:tc>
        <w:tc>
          <w:tcPr>
            <w:tcW w:w="2604" w:type="dxa"/>
            <w:gridSpan w:val="3"/>
            <w:vAlign w:val="center"/>
          </w:tcPr>
          <w:p>
            <w:pPr>
              <w:jc w:val="center"/>
              <w:rPr>
                <w:b/>
                <w:noProof/>
                <w:sz w:val="18"/>
              </w:rPr>
            </w:pPr>
            <w:r>
              <w:rPr>
                <w:noProof/>
                <w:sz w:val="18"/>
              </w:rPr>
              <w:t>A se introduce atâția ani câți sunt considerați necesari pentru a reflecta durata impactului (a se vedea punctul 1.6)</w:t>
            </w:r>
          </w:p>
        </w:tc>
        <w:tc>
          <w:tcPr>
            <w:tcW w:w="1777" w:type="dxa"/>
            <w:vAlign w:val="center"/>
          </w:tcPr>
          <w:p>
            <w:pPr>
              <w:jc w:val="center"/>
              <w:rPr>
                <w:b/>
                <w:noProof/>
                <w:sz w:val="20"/>
              </w:rPr>
            </w:pPr>
            <w:r>
              <w:rPr>
                <w:b/>
                <w:noProof/>
                <w:sz w:val="20"/>
              </w:rPr>
              <w:t>TOTAL</w:t>
            </w:r>
          </w:p>
        </w:tc>
      </w:tr>
      <w:tr>
        <w:tc>
          <w:tcPr>
            <w:tcW w:w="3960" w:type="dxa"/>
            <w:vMerge w:val="restart"/>
            <w:shd w:val="clear" w:color="auto" w:fill="C0C0C0"/>
            <w:vAlign w:val="center"/>
          </w:tcPr>
          <w:p>
            <w:pPr>
              <w:jc w:val="center"/>
              <w:rPr>
                <w:b/>
                <w:noProof/>
              </w:rPr>
            </w:pPr>
            <w:r>
              <w:rPr>
                <w:b/>
                <w:noProof/>
                <w:sz w:val="22"/>
              </w:rPr>
              <w:t>TOTAL credite</w:t>
            </w:r>
            <w:r>
              <w:rPr>
                <w:noProof/>
                <w:sz w:val="22"/>
              </w:rPr>
              <w:br/>
            </w:r>
            <w:r>
              <w:rPr>
                <w:b/>
                <w:noProof/>
                <w:sz w:val="22"/>
              </w:rPr>
              <w:t>de la RUBRICILE 1-5</w:t>
            </w:r>
            <w:r>
              <w:rPr>
                <w:noProof/>
                <w:sz w:val="22"/>
              </w:rPr>
              <w:br/>
              <w:t>din cadrul financiar multianual</w:t>
            </w:r>
            <w:r>
              <w:rPr>
                <w:b/>
                <w:noProof/>
                <w:sz w:val="22"/>
              </w:rPr>
              <w:t xml:space="preserve"> </w:t>
            </w:r>
          </w:p>
        </w:tc>
        <w:tc>
          <w:tcPr>
            <w:tcW w:w="2094" w:type="dxa"/>
            <w:gridSpan w:val="2"/>
            <w:vAlign w:val="center"/>
          </w:tcPr>
          <w:p>
            <w:pPr>
              <w:rPr>
                <w:noProof/>
                <w:sz w:val="14"/>
              </w:rPr>
            </w:pPr>
            <w:r>
              <w:rPr>
                <w:noProof/>
                <w:sz w:val="18"/>
              </w:rPr>
              <w:t>Angajamente</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Plăți</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p>
        </w:tc>
      </w:tr>
    </w:tbl>
    <w:p>
      <w:pPr>
        <w:rPr>
          <w:noProof/>
        </w:rPr>
      </w:pPr>
    </w:p>
    <w:p>
      <w:pPr>
        <w:pStyle w:val="ManualHeading3"/>
        <w:rPr>
          <w:bCs/>
          <w:noProof/>
          <w:szCs w:val="24"/>
        </w:rPr>
      </w:pPr>
      <w:bookmarkStart w:id="45" w:name="_Toc514938054"/>
      <w:bookmarkStart w:id="46" w:name="_Toc520485053"/>
      <w:r>
        <w:t>3.2.2.</w:t>
      </w:r>
      <w:r>
        <w:tab/>
      </w:r>
      <w:r>
        <w:rPr>
          <w:noProof/>
        </w:rPr>
        <w:t>Realizările preconizate finanțate din credite operaționale</w:t>
      </w:r>
      <w:bookmarkEnd w:id="45"/>
      <w:bookmarkEnd w:id="46"/>
      <w:r>
        <w:rPr>
          <w:noProof/>
        </w:rPr>
        <w:t xml:space="preserve"> </w:t>
      </w:r>
    </w:p>
    <w:p>
      <w:pPr>
        <w:jc w:val="right"/>
        <w:rPr>
          <w:noProof/>
          <w:sz w:val="20"/>
        </w:rPr>
      </w:pPr>
      <w:r>
        <w:rPr>
          <w:noProof/>
          <w:sz w:val="20"/>
        </w:rPr>
        <w:t>Credite de angajament în milioane EUR (cu trei zecimale)</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A se indica obiectivele și realizările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18"/>
              </w:rPr>
              <w:t>Anul</w:t>
            </w:r>
            <w:r>
              <w:rPr>
                <w:noProof/>
                <w:sz w:val="22"/>
              </w:rPr>
              <w:br/>
            </w:r>
            <w:r>
              <w:rPr>
                <w:b/>
                <w:noProof/>
                <w:sz w:val="18"/>
              </w:rPr>
              <w:t>N</w:t>
            </w:r>
          </w:p>
        </w:tc>
        <w:tc>
          <w:tcPr>
            <w:tcW w:w="1260" w:type="dxa"/>
            <w:gridSpan w:val="2"/>
            <w:vAlign w:val="center"/>
          </w:tcPr>
          <w:p>
            <w:pPr>
              <w:ind w:right="-29"/>
              <w:jc w:val="center"/>
              <w:rPr>
                <w:noProof/>
                <w:sz w:val="18"/>
                <w:szCs w:val="18"/>
              </w:rPr>
            </w:pPr>
            <w:r>
              <w:rPr>
                <w:noProof/>
                <w:sz w:val="18"/>
              </w:rPr>
              <w:t>Anul</w:t>
            </w:r>
            <w:r>
              <w:rPr>
                <w:noProof/>
                <w:sz w:val="22"/>
              </w:rPr>
              <w:br/>
            </w:r>
            <w:r>
              <w:rPr>
                <w:b/>
                <w:noProof/>
                <w:sz w:val="18"/>
              </w:rPr>
              <w:t>N+1</w:t>
            </w:r>
          </w:p>
        </w:tc>
        <w:tc>
          <w:tcPr>
            <w:tcW w:w="1440" w:type="dxa"/>
            <w:gridSpan w:val="2"/>
            <w:vAlign w:val="center"/>
          </w:tcPr>
          <w:p>
            <w:pPr>
              <w:ind w:right="-29"/>
              <w:jc w:val="center"/>
              <w:rPr>
                <w:noProof/>
                <w:sz w:val="18"/>
                <w:szCs w:val="18"/>
              </w:rPr>
            </w:pPr>
            <w:r>
              <w:rPr>
                <w:noProof/>
                <w:sz w:val="18"/>
              </w:rPr>
              <w:t>Anul</w:t>
            </w:r>
            <w:r>
              <w:rPr>
                <w:noProof/>
                <w:sz w:val="22"/>
              </w:rPr>
              <w:br/>
            </w:r>
            <w:r>
              <w:rPr>
                <w:b/>
                <w:noProof/>
                <w:sz w:val="18"/>
              </w:rPr>
              <w:t>N+2</w:t>
            </w:r>
          </w:p>
        </w:tc>
        <w:tc>
          <w:tcPr>
            <w:tcW w:w="1620" w:type="dxa"/>
            <w:gridSpan w:val="3"/>
            <w:vAlign w:val="center"/>
          </w:tcPr>
          <w:p>
            <w:pPr>
              <w:ind w:right="-29"/>
              <w:jc w:val="center"/>
              <w:rPr>
                <w:noProof/>
                <w:sz w:val="18"/>
                <w:szCs w:val="18"/>
              </w:rPr>
            </w:pPr>
            <w:r>
              <w:rPr>
                <w:noProof/>
                <w:sz w:val="18"/>
              </w:rPr>
              <w:t>Anul</w:t>
            </w:r>
            <w:r>
              <w:rPr>
                <w:noProof/>
                <w:sz w:val="22"/>
              </w:rPr>
              <w:br/>
            </w:r>
            <w:r>
              <w:rPr>
                <w:b/>
                <w:noProof/>
                <w:sz w:val="18"/>
              </w:rPr>
              <w:t>N+3</w:t>
            </w:r>
          </w:p>
        </w:tc>
        <w:tc>
          <w:tcPr>
            <w:tcW w:w="3600" w:type="dxa"/>
            <w:gridSpan w:val="6"/>
            <w:vAlign w:val="center"/>
          </w:tcPr>
          <w:p>
            <w:pPr>
              <w:jc w:val="center"/>
              <w:rPr>
                <w:noProof/>
                <w:sz w:val="18"/>
                <w:szCs w:val="18"/>
              </w:rPr>
            </w:pPr>
            <w:r>
              <w:rPr>
                <w:noProof/>
                <w:sz w:val="18"/>
              </w:rPr>
              <w:t>A se introduce atâția ani câți sunt considerați necesari pentru a reflecta durata impactului (a se vedea punctul 1.6)</w:t>
            </w:r>
          </w:p>
        </w:tc>
        <w:tc>
          <w:tcPr>
            <w:tcW w:w="1620" w:type="dxa"/>
            <w:gridSpan w:val="2"/>
            <w:tcBorders>
              <w:left w:val="nil"/>
              <w:bottom w:val="nil"/>
            </w:tcBorders>
            <w:vAlign w:val="center"/>
          </w:tcPr>
          <w:p>
            <w:pPr>
              <w:ind w:right="-29"/>
              <w:jc w:val="center"/>
              <w:rPr>
                <w:noProof/>
                <w:sz w:val="18"/>
                <w:szCs w:val="18"/>
              </w:rPr>
            </w:pPr>
            <w:r>
              <w:rPr>
                <w:b/>
                <w:noProof/>
                <w:sz w:val="18"/>
              </w:rPr>
              <w:t>TOTAL</w:t>
            </w:r>
          </w:p>
        </w:tc>
      </w:tr>
      <w:tr>
        <w:trPr>
          <w:jc w:val="center"/>
        </w:trPr>
        <w:tc>
          <w:tcPr>
            <w:tcW w:w="1423" w:type="dxa"/>
            <w:vMerge/>
            <w:vAlign w:val="center"/>
          </w:tcPr>
          <w:p>
            <w:pPr>
              <w:ind w:right="-29"/>
              <w:jc w:val="center"/>
              <w:rPr>
                <w:noProof/>
                <w:sz w:val="18"/>
                <w:szCs w:val="18"/>
              </w:rPr>
            </w:pPr>
          </w:p>
        </w:tc>
        <w:tc>
          <w:tcPr>
            <w:tcW w:w="12185" w:type="dxa"/>
            <w:gridSpan w:val="19"/>
            <w:vAlign w:val="center"/>
          </w:tcPr>
          <w:p>
            <w:pPr>
              <w:spacing w:before="60" w:after="60"/>
              <w:ind w:right="-29"/>
              <w:jc w:val="center"/>
              <w:rPr>
                <w:noProof/>
                <w:sz w:val="18"/>
                <w:szCs w:val="18"/>
              </w:rPr>
            </w:pPr>
            <w:r>
              <w:rPr>
                <w:b/>
                <w:noProof/>
                <w:sz w:val="18"/>
              </w:rPr>
              <w:t>REALIZĂRI</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Tip</w:t>
            </w:r>
            <w:r>
              <w:rPr>
                <w:rStyle w:val="FootnoteReference"/>
                <w:noProof/>
                <w:sz w:val="18"/>
              </w:rPr>
              <w:footnoteReference w:id="14"/>
            </w:r>
          </w:p>
          <w:p>
            <w:pPr>
              <w:spacing w:before="0" w:after="0"/>
              <w:jc w:val="center"/>
              <w:rPr>
                <w:noProof/>
                <w:sz w:val="18"/>
                <w:szCs w:val="18"/>
              </w:rPr>
            </w:pPr>
          </w:p>
        </w:tc>
        <w:tc>
          <w:tcPr>
            <w:tcW w:w="701" w:type="dxa"/>
            <w:vAlign w:val="center"/>
          </w:tcPr>
          <w:p>
            <w:pPr>
              <w:jc w:val="center"/>
              <w:rPr>
                <w:noProof/>
                <w:sz w:val="18"/>
                <w:szCs w:val="18"/>
              </w:rPr>
            </w:pPr>
            <w:r>
              <w:rPr>
                <w:noProof/>
                <w:sz w:val="18"/>
              </w:rPr>
              <w:t>Costuri medii</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Nr.</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Nr.</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Nr.</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Nr.</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Costuri</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Nr.</w:t>
            </w:r>
          </w:p>
        </w:tc>
        <w:tc>
          <w:tcPr>
            <w:tcW w:w="648"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Nr.</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Nr.</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Total nr.</w:t>
            </w:r>
          </w:p>
        </w:tc>
        <w:tc>
          <w:tcPr>
            <w:tcW w:w="900" w:type="dxa"/>
            <w:tcBorders>
              <w:left w:val="dashSmallGap" w:sz="4" w:space="0" w:color="auto"/>
            </w:tcBorders>
            <w:shd w:val="pct10" w:color="auto" w:fill="auto"/>
            <w:vAlign w:val="center"/>
          </w:tcPr>
          <w:p>
            <w:pPr>
              <w:jc w:val="center"/>
              <w:rPr>
                <w:noProof/>
                <w:sz w:val="18"/>
                <w:szCs w:val="18"/>
              </w:rPr>
            </w:pPr>
            <w:r>
              <w:rPr>
                <w:noProof/>
                <w:sz w:val="18"/>
              </w:rPr>
              <w:t>Total costuri</w:t>
            </w:r>
          </w:p>
        </w:tc>
      </w:tr>
      <w:tr>
        <w:trPr>
          <w:jc w:val="center"/>
        </w:trPr>
        <w:tc>
          <w:tcPr>
            <w:tcW w:w="2844" w:type="dxa"/>
            <w:gridSpan w:val="3"/>
            <w:vAlign w:val="center"/>
          </w:tcPr>
          <w:p>
            <w:pPr>
              <w:spacing w:before="60" w:after="60"/>
              <w:ind w:right="-29"/>
              <w:jc w:val="center"/>
              <w:rPr>
                <w:noProof/>
                <w:sz w:val="18"/>
                <w:szCs w:val="18"/>
              </w:rPr>
            </w:pPr>
            <w:r>
              <w:rPr>
                <w:noProof/>
                <w:sz w:val="18"/>
              </w:rPr>
              <w:t>OBIECTIVUL SPECIFIC NR. 1</w:t>
            </w:r>
            <w:r>
              <w:rPr>
                <w:rStyle w:val="FootnoteReference"/>
                <w:noProof/>
                <w:sz w:val="18"/>
              </w:rPr>
              <w:footnoteReference w:id="15"/>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Realizare</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Realizare</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Realizare</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val="77"/>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Subtotal pentru obiectivul specific nr. 1</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vAlign w:val="center"/>
          </w:tcPr>
          <w:p>
            <w:pPr>
              <w:spacing w:before="60" w:after="60"/>
              <w:ind w:right="-29"/>
              <w:jc w:val="center"/>
              <w:rPr>
                <w:noProof/>
                <w:sz w:val="18"/>
                <w:szCs w:val="18"/>
              </w:rPr>
            </w:pPr>
            <w:r>
              <w:rPr>
                <w:noProof/>
                <w:sz w:val="18"/>
              </w:rPr>
              <w:t>OBIECTIVUL SPECIFIC NR. 2…</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Realizare</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szCs w:val="18"/>
              </w:rPr>
            </w:pPr>
            <w:r>
              <w:rPr>
                <w:noProof/>
                <w:sz w:val="18"/>
              </w:rPr>
              <w:t>Subtotal pentru obiectivul specific nr. 2</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5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TOTALURI</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p>
        </w:tc>
        <w:tc>
          <w:tcPr>
            <w:tcW w:w="432"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p>
        </w:tc>
      </w:tr>
    </w:tbl>
    <w:p>
      <w:pPr>
        <w:rPr>
          <w:noProof/>
        </w:rPr>
        <w:sectPr>
          <w:headerReference w:type="default" r:id="rId23"/>
          <w:footerReference w:type="default" r:id="rId24"/>
          <w:headerReference w:type="first" r:id="rId25"/>
          <w:footerReference w:type="first" r:id="rId26"/>
          <w:pgSz w:w="16840" w:h="11907" w:orient="landscape" w:code="9"/>
          <w:pgMar w:top="1134" w:right="1418" w:bottom="567" w:left="1418" w:header="709" w:footer="709" w:gutter="0"/>
          <w:cols w:space="708"/>
          <w:docGrid w:linePitch="360"/>
        </w:sectPr>
      </w:pPr>
    </w:p>
    <w:p>
      <w:pPr>
        <w:pStyle w:val="ManualHeading3"/>
        <w:rPr>
          <w:bCs/>
          <w:noProof/>
          <w:szCs w:val="24"/>
        </w:rPr>
      </w:pPr>
      <w:bookmarkStart w:id="47" w:name="_Toc514938055"/>
      <w:bookmarkStart w:id="48" w:name="_Toc520485054"/>
      <w:r>
        <w:t>3.2.3.</w:t>
      </w:r>
      <w:r>
        <w:tab/>
      </w:r>
      <w:r>
        <w:rPr>
          <w:noProof/>
        </w:rPr>
        <w:t>Sinteza impactului estimat asupra creditelor administrative</w:t>
      </w:r>
      <w:bookmarkEnd w:id="47"/>
      <w:bookmarkEnd w:id="48"/>
      <w:r>
        <w:rPr>
          <w:noProof/>
        </w:rPr>
        <w:t xml:space="preserve"> </w:t>
      </w:r>
    </w:p>
    <w:p>
      <w:pPr>
        <w:pStyle w:val="ListDash1"/>
        <w:rPr>
          <w:noProof/>
        </w:rPr>
      </w:pPr>
      <w:r>
        <w:rPr>
          <w:noProof/>
        </w:rPr>
        <w:sym w:font="Wingdings" w:char="F0A8"/>
      </w:r>
      <w:r>
        <w:rPr>
          <w:noProof/>
        </w:rPr>
        <w:tab/>
        <w:t xml:space="preserve">Propunerea/inițiativa nu implică utilizarea de credite cu caracter administrativ </w:t>
      </w:r>
    </w:p>
    <w:p>
      <w:pPr>
        <w:pStyle w:val="ListDash1"/>
        <w:rPr>
          <w:noProof/>
        </w:rPr>
      </w:pPr>
      <w:r>
        <w:rPr>
          <w:noProof/>
        </w:rPr>
        <w:sym w:font="Wingdings" w:char="F0A8"/>
      </w:r>
      <w:r>
        <w:rPr>
          <w:noProof/>
        </w:rPr>
        <w:tab/>
        <w:t>Propunerea/inițiativa implică utilizarea de credite cu caracter administrativ, conform explicațiilor de mai jos:</w:t>
      </w:r>
    </w:p>
    <w:p>
      <w:pPr>
        <w:jc w:val="right"/>
        <w:rPr>
          <w:noProof/>
          <w:sz w:val="20"/>
        </w:rPr>
      </w:pPr>
      <w:r>
        <w:rPr>
          <w:noProof/>
          <w:sz w:val="20"/>
        </w:rPr>
        <w:t>milioane EUR (cu trei zecimale)</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Anul</w:t>
            </w:r>
            <w:r>
              <w:rPr>
                <w:noProof/>
                <w:sz w:val="22"/>
              </w:rPr>
              <w:br/>
            </w:r>
            <w:r>
              <w:rPr>
                <w:b/>
                <w:noProof/>
                <w:sz w:val="16"/>
              </w:rPr>
              <w:t xml:space="preserve">N </w:t>
            </w:r>
            <w:r>
              <w:rPr>
                <w:rStyle w:val="FootnoteReference"/>
                <w:b/>
                <w:noProof/>
                <w:sz w:val="16"/>
              </w:rPr>
              <w:footnoteReference w:id="16"/>
            </w:r>
          </w:p>
        </w:tc>
        <w:tc>
          <w:tcPr>
            <w:tcW w:w="1080" w:type="dxa"/>
            <w:vAlign w:val="center"/>
          </w:tcPr>
          <w:p>
            <w:pPr>
              <w:spacing w:before="60" w:after="60" w:line="200" w:lineRule="exact"/>
              <w:jc w:val="center"/>
              <w:rPr>
                <w:noProof/>
                <w:sz w:val="16"/>
                <w:szCs w:val="16"/>
              </w:rPr>
            </w:pPr>
            <w:r>
              <w:rPr>
                <w:noProof/>
                <w:sz w:val="16"/>
              </w:rPr>
              <w:t>Anul</w:t>
            </w:r>
            <w:r>
              <w:rPr>
                <w:noProof/>
                <w:sz w:val="22"/>
              </w:rPr>
              <w:br/>
            </w:r>
            <w:r>
              <w:rPr>
                <w:b/>
                <w:noProof/>
                <w:sz w:val="16"/>
              </w:rPr>
              <w:t>N+1</w:t>
            </w:r>
          </w:p>
        </w:tc>
        <w:tc>
          <w:tcPr>
            <w:tcW w:w="1080" w:type="dxa"/>
            <w:vAlign w:val="center"/>
          </w:tcPr>
          <w:p>
            <w:pPr>
              <w:spacing w:before="60" w:after="60" w:line="200" w:lineRule="exact"/>
              <w:jc w:val="center"/>
              <w:rPr>
                <w:noProof/>
                <w:sz w:val="16"/>
                <w:szCs w:val="16"/>
              </w:rPr>
            </w:pPr>
            <w:r>
              <w:rPr>
                <w:noProof/>
                <w:sz w:val="16"/>
              </w:rPr>
              <w:t>Anul</w:t>
            </w:r>
            <w:r>
              <w:rPr>
                <w:noProof/>
                <w:sz w:val="22"/>
              </w:rPr>
              <w:br/>
            </w:r>
            <w:r>
              <w:rPr>
                <w:b/>
                <w:noProof/>
                <w:sz w:val="16"/>
              </w:rPr>
              <w:t>N+2</w:t>
            </w:r>
          </w:p>
        </w:tc>
        <w:tc>
          <w:tcPr>
            <w:tcW w:w="1080" w:type="dxa"/>
            <w:vAlign w:val="center"/>
          </w:tcPr>
          <w:p>
            <w:pPr>
              <w:spacing w:before="60" w:after="60" w:line="200" w:lineRule="exact"/>
              <w:jc w:val="center"/>
              <w:rPr>
                <w:noProof/>
                <w:sz w:val="16"/>
                <w:szCs w:val="16"/>
              </w:rPr>
            </w:pPr>
            <w:r>
              <w:rPr>
                <w:noProof/>
                <w:sz w:val="16"/>
              </w:rPr>
              <w:t>Anul</w:t>
            </w:r>
            <w:r>
              <w:rPr>
                <w:noProof/>
                <w:sz w:val="22"/>
              </w:rPr>
              <w:br/>
            </w:r>
            <w:r>
              <w:rPr>
                <w:b/>
                <w:noProof/>
                <w:sz w:val="16"/>
              </w:rPr>
              <w:t>N+3</w:t>
            </w:r>
          </w:p>
        </w:tc>
        <w:tc>
          <w:tcPr>
            <w:tcW w:w="3240" w:type="dxa"/>
            <w:vAlign w:val="center"/>
          </w:tcPr>
          <w:p>
            <w:pPr>
              <w:spacing w:line="200" w:lineRule="exact"/>
              <w:jc w:val="center"/>
              <w:rPr>
                <w:b/>
                <w:noProof/>
                <w:sz w:val="16"/>
                <w:szCs w:val="16"/>
              </w:rPr>
            </w:pPr>
            <w:r>
              <w:rPr>
                <w:noProof/>
                <w:sz w:val="16"/>
              </w:rPr>
              <w:t>A se introduce atâția ani câți sunt considerați necesari pentru a reflecta durata impactului (a se vedea punctul 1.6)</w:t>
            </w:r>
          </w:p>
        </w:tc>
        <w:tc>
          <w:tcPr>
            <w:tcW w:w="1080" w:type="dxa"/>
            <w:vAlign w:val="center"/>
          </w:tcPr>
          <w:p>
            <w:pPr>
              <w:spacing w:before="60" w:after="60" w:line="200" w:lineRule="exact"/>
              <w:jc w:val="center"/>
              <w:rPr>
                <w:b/>
                <w:noProof/>
                <w:sz w:val="16"/>
                <w:szCs w:val="16"/>
              </w:rPr>
            </w:pPr>
            <w:r>
              <w:rPr>
                <w:b/>
                <w:noProof/>
                <w:sz w:val="16"/>
              </w:rPr>
              <w:t>TOTAL</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RUBRICA 5</w:t>
            </w:r>
            <w:r>
              <w:rPr>
                <w:noProof/>
                <w:sz w:val="22"/>
              </w:rPr>
              <w:br/>
            </w:r>
            <w:r>
              <w:rPr>
                <w:b/>
                <w:noProof/>
                <w:sz w:val="16"/>
              </w:rPr>
              <w:t>din cadrul financiar multianual</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Resurse umane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Alte cheltuieli administrative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Subtotal RUBRICA 5</w:t>
            </w:r>
            <w:r>
              <w:rPr>
                <w:noProof/>
                <w:sz w:val="22"/>
              </w:rPr>
              <w:br/>
            </w:r>
            <w:r>
              <w:rPr>
                <w:b/>
                <w:noProof/>
                <w:sz w:val="16"/>
              </w:rPr>
              <w:t xml:space="preserve">din cadrul financiar multianual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În afara RUBRICII 5</w:t>
            </w:r>
            <w:r>
              <w:rPr>
                <w:rStyle w:val="FootnoteReference"/>
                <w:b/>
                <w:noProof/>
                <w:sz w:val="16"/>
              </w:rPr>
              <w:footnoteReference w:id="17"/>
            </w:r>
            <w:r>
              <w:rPr>
                <w:noProof/>
                <w:sz w:val="22"/>
              </w:rPr>
              <w:br/>
            </w:r>
            <w:r>
              <w:rPr>
                <w:b/>
                <w:noProof/>
                <w:sz w:val="16"/>
              </w:rPr>
              <w:t xml:space="preserve">din cadrul financiar multianual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Resurse umane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Alte cheltuieli </w:t>
            </w:r>
            <w:r>
              <w:rPr>
                <w:noProof/>
                <w:sz w:val="22"/>
              </w:rPr>
              <w:br/>
            </w:r>
            <w:r>
              <w:rPr>
                <w:noProof/>
                <w:sz w:val="16"/>
              </w:rPr>
              <w:t>cu caracter administrativ</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Subtotal </w:t>
            </w:r>
            <w:r>
              <w:rPr>
                <w:noProof/>
                <w:sz w:val="22"/>
              </w:rPr>
              <w:br/>
            </w:r>
            <w:r>
              <w:rPr>
                <w:b/>
                <w:noProof/>
                <w:sz w:val="16"/>
              </w:rPr>
              <w:t>în afara RUBRICII 5</w:t>
            </w:r>
            <w:r>
              <w:rPr>
                <w:noProof/>
                <w:sz w:val="22"/>
              </w:rPr>
              <w:br/>
            </w:r>
            <w:r>
              <w:rPr>
                <w:b/>
                <w:noProof/>
                <w:sz w:val="16"/>
              </w:rPr>
              <w:t xml:space="preserve">din cadrul financiar multianual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pPr>
      <w:r>
        <w:rPr>
          <w:noProof/>
          <w:sz w:val="18"/>
        </w:rPr>
        <w:t>Necesarul de credite pentru resursele umane și pentru alte cheltuieli cu caracter administrativ va fi acoperit de creditele direcției generale (DG) respective care sunt deja alocate pentru gestionarea acțiunii și/sau au fost redistribuite intern în cadrul DG-ului respectiv, completate, după caz, cu resurse suplimentare care ar putea fi alocate DG-ului care gestionează acțiunea în cadrul procedurii anuale de alocare și ținând seama de constrângerile bugetare.</w:t>
      </w:r>
    </w:p>
    <w:p>
      <w:pPr>
        <w:rPr>
          <w:noProof/>
          <w:sz w:val="18"/>
        </w:rPr>
        <w:sectPr>
          <w:headerReference w:type="default" r:id="rId27"/>
          <w:footerReference w:type="default" r:id="rId28"/>
          <w:headerReference w:type="first" r:id="rId29"/>
          <w:footerReference w:type="first" r:id="rId30"/>
          <w:pgSz w:w="11907" w:h="16840"/>
          <w:pgMar w:top="1134" w:right="1418" w:bottom="1134" w:left="1418" w:header="709" w:footer="709" w:gutter="0"/>
          <w:cols w:space="708"/>
          <w:docGrid w:linePitch="360"/>
        </w:sectPr>
      </w:pPr>
    </w:p>
    <w:p>
      <w:pPr>
        <w:pStyle w:val="ManualHeading4"/>
        <w:rPr>
          <w:bCs/>
          <w:noProof/>
          <w:szCs w:val="24"/>
        </w:rPr>
      </w:pPr>
      <w:r>
        <w:t>3.2.3.1.</w:t>
      </w:r>
      <w:r>
        <w:tab/>
      </w:r>
      <w:r>
        <w:rPr>
          <w:noProof/>
        </w:rPr>
        <w:t xml:space="preserve">Necesarul de resurse umane estimat </w:t>
      </w:r>
    </w:p>
    <w:p>
      <w:pPr>
        <w:pStyle w:val="ListDash1"/>
        <w:rPr>
          <w:noProof/>
        </w:rPr>
      </w:pPr>
      <w:r>
        <w:rPr>
          <w:noProof/>
        </w:rPr>
        <w:sym w:font="Wingdings" w:char="F0A8"/>
      </w:r>
      <w:r>
        <w:rPr>
          <w:noProof/>
        </w:rPr>
        <w:t xml:space="preserve"> Propunerea/inițiativa nu implică utilizarea de resurse umane. </w:t>
      </w:r>
    </w:p>
    <w:p>
      <w:pPr>
        <w:pStyle w:val="ListDash1"/>
        <w:rPr>
          <w:noProof/>
        </w:rPr>
      </w:pPr>
      <w:r>
        <w:rPr>
          <w:noProof/>
        </w:rPr>
        <w:sym w:font="Wingdings" w:char="F0A8"/>
      </w:r>
      <w:r>
        <w:rPr>
          <w:noProof/>
        </w:rPr>
        <w:t xml:space="preserve"> Propunerea/inițiativa implică utilizarea de resurse umane, conform explicațiilor de mai jos:</w:t>
      </w:r>
    </w:p>
    <w:p>
      <w:pPr>
        <w:spacing w:after="60"/>
        <w:jc w:val="right"/>
        <w:rPr>
          <w:i/>
          <w:noProof/>
          <w:sz w:val="20"/>
        </w:rPr>
      </w:pPr>
      <w:r>
        <w:rPr>
          <w:i/>
          <w:noProof/>
          <w:sz w:val="20"/>
        </w:rPr>
        <w:t>Estimări în echivalent normă întreagă</w:t>
      </w:r>
    </w:p>
    <w:tbl>
      <w:tblPr>
        <w:tblW w:w="98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
        <w:gridCol w:w="2376"/>
        <w:gridCol w:w="2378"/>
        <w:gridCol w:w="731"/>
        <w:gridCol w:w="731"/>
        <w:gridCol w:w="731"/>
        <w:gridCol w:w="731"/>
        <w:gridCol w:w="731"/>
        <w:gridCol w:w="731"/>
        <w:gridCol w:w="731"/>
      </w:tblGrid>
      <w:tr>
        <w:trPr>
          <w:gridBefore w:val="1"/>
          <w:wBefore w:w="13" w:type="dxa"/>
          <w:trHeight w:val="289"/>
          <w:jc w:val="center"/>
        </w:trPr>
        <w:tc>
          <w:tcPr>
            <w:tcW w:w="3906" w:type="dxa"/>
            <w:gridSpan w:val="2"/>
            <w:shd w:val="clear" w:color="auto" w:fill="auto"/>
          </w:tcPr>
          <w:p>
            <w:pPr>
              <w:pStyle w:val="Text1"/>
              <w:spacing w:before="40" w:after="40"/>
              <w:ind w:left="0"/>
              <w:jc w:val="center"/>
              <w:rPr>
                <w:i/>
                <w:noProof/>
                <w:sz w:val="16"/>
                <w:szCs w:val="16"/>
              </w:rPr>
            </w:pPr>
          </w:p>
        </w:tc>
        <w:tc>
          <w:tcPr>
            <w:tcW w:w="600" w:type="dxa"/>
            <w:shd w:val="clear" w:color="auto" w:fill="auto"/>
            <w:vAlign w:val="center"/>
          </w:tcPr>
          <w:p>
            <w:pPr>
              <w:spacing w:before="20" w:after="20"/>
              <w:jc w:val="center"/>
              <w:rPr>
                <w:noProof/>
                <w:sz w:val="16"/>
                <w:szCs w:val="16"/>
              </w:rPr>
            </w:pPr>
            <w:r>
              <w:rPr>
                <w:noProof/>
                <w:sz w:val="16"/>
              </w:rPr>
              <w:t>Anul</w:t>
            </w:r>
            <w:r>
              <w:rPr>
                <w:noProof/>
                <w:sz w:val="22"/>
              </w:rPr>
              <w:br/>
            </w:r>
            <w:r>
              <w:rPr>
                <w:b/>
                <w:noProof/>
                <w:sz w:val="16"/>
              </w:rPr>
              <w:t>N</w:t>
            </w:r>
          </w:p>
        </w:tc>
        <w:tc>
          <w:tcPr>
            <w:tcW w:w="600" w:type="dxa"/>
            <w:shd w:val="clear" w:color="auto" w:fill="auto"/>
            <w:vAlign w:val="center"/>
          </w:tcPr>
          <w:p>
            <w:pPr>
              <w:spacing w:before="20" w:after="20"/>
              <w:jc w:val="center"/>
              <w:rPr>
                <w:noProof/>
                <w:sz w:val="16"/>
                <w:szCs w:val="16"/>
              </w:rPr>
            </w:pPr>
            <w:r>
              <w:rPr>
                <w:noProof/>
                <w:sz w:val="16"/>
              </w:rPr>
              <w:t>Anul</w:t>
            </w:r>
            <w:r>
              <w:rPr>
                <w:noProof/>
                <w:sz w:val="22"/>
              </w:rPr>
              <w:br/>
            </w:r>
            <w:r>
              <w:rPr>
                <w:b/>
                <w:noProof/>
                <w:sz w:val="16"/>
              </w:rPr>
              <w:t>N+1</w:t>
            </w:r>
          </w:p>
        </w:tc>
        <w:tc>
          <w:tcPr>
            <w:tcW w:w="600" w:type="dxa"/>
            <w:shd w:val="clear" w:color="auto" w:fill="auto"/>
            <w:vAlign w:val="center"/>
          </w:tcPr>
          <w:p>
            <w:pPr>
              <w:spacing w:before="20" w:after="20"/>
              <w:jc w:val="center"/>
              <w:rPr>
                <w:noProof/>
                <w:sz w:val="16"/>
                <w:szCs w:val="16"/>
              </w:rPr>
            </w:pPr>
            <w:r>
              <w:rPr>
                <w:noProof/>
                <w:sz w:val="16"/>
              </w:rPr>
              <w:t xml:space="preserve">Anul </w:t>
            </w:r>
            <w:r>
              <w:rPr>
                <w:b/>
                <w:noProof/>
                <w:sz w:val="16"/>
              </w:rPr>
              <w:t>N+2</w:t>
            </w:r>
          </w:p>
        </w:tc>
        <w:tc>
          <w:tcPr>
            <w:tcW w:w="600" w:type="dxa"/>
            <w:shd w:val="clear" w:color="auto" w:fill="auto"/>
            <w:vAlign w:val="center"/>
          </w:tcPr>
          <w:p>
            <w:pPr>
              <w:spacing w:before="20" w:after="20"/>
              <w:jc w:val="center"/>
              <w:rPr>
                <w:noProof/>
                <w:sz w:val="16"/>
                <w:szCs w:val="16"/>
              </w:rPr>
            </w:pPr>
            <w:r>
              <w:rPr>
                <w:noProof/>
                <w:sz w:val="16"/>
              </w:rPr>
              <w:t xml:space="preserve">Anul </w:t>
            </w:r>
            <w:r>
              <w:rPr>
                <w:b/>
                <w:noProof/>
                <w:sz w:val="16"/>
              </w:rPr>
              <w:t>N+3</w:t>
            </w:r>
          </w:p>
        </w:tc>
        <w:tc>
          <w:tcPr>
            <w:tcW w:w="600" w:type="dxa"/>
            <w:gridSpan w:val="3"/>
            <w:shd w:val="clear" w:color="auto" w:fill="auto"/>
            <w:vAlign w:val="center"/>
          </w:tcPr>
          <w:p>
            <w:pPr>
              <w:jc w:val="center"/>
              <w:rPr>
                <w:b/>
                <w:noProof/>
                <w:sz w:val="16"/>
                <w:szCs w:val="16"/>
              </w:rPr>
            </w:pPr>
            <w:r>
              <w:rPr>
                <w:noProof/>
                <w:sz w:val="16"/>
              </w:rPr>
              <w:t>A se introduce atâția ani câți sunt considerați necesari pentru a reflecta durata impactului (a se vedea punctul 1.6)</w:t>
            </w:r>
          </w:p>
        </w:tc>
      </w:tr>
      <w:tr>
        <w:trPr>
          <w:gridBefore w:val="1"/>
          <w:wBefore w:w="13" w:type="dxa"/>
          <w:trHeight w:val="289"/>
          <w:jc w:val="center"/>
        </w:trPr>
        <w:tc>
          <w:tcPr>
            <w:tcW w:w="600" w:type="dxa"/>
            <w:gridSpan w:val="9"/>
            <w:shd w:val="clear" w:color="auto" w:fill="auto"/>
          </w:tcPr>
          <w:p>
            <w:pPr>
              <w:jc w:val="left"/>
              <w:rPr>
                <w:noProof/>
                <w:sz w:val="16"/>
                <w:szCs w:val="16"/>
              </w:rPr>
            </w:pPr>
            <w:r>
              <w:rPr>
                <w:b/>
                <w:noProof/>
                <w:sz w:val="16"/>
              </w:rPr>
              <w:sym w:font="Wingdings" w:char="F09F"/>
            </w:r>
            <w:r>
              <w:rPr>
                <w:b/>
                <w:noProof/>
                <w:sz w:val="16"/>
              </w:rPr>
              <w:t xml:space="preserve"> Posturi din schema de personal (funcționari și agenți temporari)</w:t>
            </w: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(la sediu și în reprezentanțele Comisiei)</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(în delegații)</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01/11/21 (cercetare indirectă)</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01/11 (cercetare directă)</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trHeight w:val="248"/>
          <w:jc w:val="center"/>
        </w:trPr>
        <w:tc>
          <w:tcPr>
            <w:tcW w:w="600" w:type="dxa"/>
            <w:gridSpan w:val="10"/>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Personal extern (în echivalent normă întreagă: ENI)</w:t>
            </w:r>
            <w:r>
              <w:rPr>
                <w:rStyle w:val="FootnoteReference"/>
                <w:b/>
                <w:noProof/>
                <w:sz w:val="16"/>
              </w:rPr>
              <w:footnoteReference w:id="18"/>
            </w:r>
          </w:p>
          <w:p>
            <w:pPr>
              <w:pStyle w:val="Text1"/>
              <w:spacing w:before="0" w:after="0"/>
              <w:ind w:left="0"/>
              <w:jc w:val="left"/>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(AC, END, INT din „pachetul global”)</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(AC, AL, END, INT și JPD în delegații)</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1952" w:type="dxa"/>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19"/>
            </w:r>
          </w:p>
          <w:p>
            <w:pPr>
              <w:pStyle w:val="Text1"/>
              <w:spacing w:beforeLines="20" w:before="48" w:afterLines="20" w:after="48"/>
              <w:ind w:left="136"/>
              <w:jc w:val="left"/>
              <w:rPr>
                <w:b/>
                <w:noProof/>
                <w:sz w:val="16"/>
                <w:szCs w:val="16"/>
              </w:rPr>
            </w:pPr>
          </w:p>
        </w:tc>
        <w:tc>
          <w:tcPr>
            <w:tcW w:w="1954" w:type="dxa"/>
            <w:shd w:val="clear" w:color="auto" w:fill="auto"/>
            <w:vAlign w:val="center"/>
          </w:tcPr>
          <w:p>
            <w:pPr>
              <w:pStyle w:val="Text1"/>
              <w:spacing w:beforeLines="20" w:before="48" w:afterLines="20" w:after="48"/>
              <w:ind w:left="136"/>
              <w:jc w:val="left"/>
              <w:rPr>
                <w:b/>
                <w:noProof/>
                <w:sz w:val="16"/>
                <w:szCs w:val="16"/>
              </w:rPr>
            </w:pPr>
            <w:r>
              <w:rPr>
                <w:noProof/>
                <w:sz w:val="16"/>
              </w:rPr>
              <w:t>- la sediu</w:t>
            </w:r>
          </w:p>
          <w:p>
            <w:pPr>
              <w:pStyle w:val="Text1"/>
              <w:spacing w:beforeLines="20" w:before="48" w:afterLines="20" w:after="48"/>
              <w:ind w:left="136"/>
              <w:jc w:val="left"/>
              <w:rPr>
                <w:b/>
                <w:noProof/>
                <w:sz w:val="16"/>
                <w:szCs w:val="16"/>
              </w:rPr>
            </w:pPr>
          </w:p>
        </w:tc>
        <w:tc>
          <w:tcPr>
            <w:tcW w:w="600" w:type="dxa"/>
            <w:shd w:val="clear" w:color="auto" w:fill="auto"/>
            <w:vAlign w:val="center"/>
          </w:tcPr>
          <w:p>
            <w:pPr>
              <w:pStyle w:val="Text1"/>
              <w:spacing w:beforeLines="20" w:before="48" w:afterLines="20" w:after="48"/>
              <w:ind w:left="0"/>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1952" w:type="dxa"/>
            <w:vMerge/>
            <w:shd w:val="clear" w:color="auto" w:fill="auto"/>
            <w:vAlign w:val="center"/>
          </w:tcPr>
          <w:p>
            <w:pPr>
              <w:pStyle w:val="Text1"/>
              <w:spacing w:beforeLines="20" w:before="48" w:afterLines="20" w:after="48"/>
              <w:ind w:left="136"/>
              <w:jc w:val="left"/>
              <w:rPr>
                <w:b/>
                <w:noProof/>
                <w:sz w:val="16"/>
                <w:szCs w:val="16"/>
              </w:rPr>
            </w:pPr>
          </w:p>
        </w:tc>
        <w:tc>
          <w:tcPr>
            <w:tcW w:w="1954" w:type="dxa"/>
            <w:shd w:val="clear" w:color="auto" w:fill="auto"/>
            <w:vAlign w:val="center"/>
          </w:tcPr>
          <w:p>
            <w:pPr>
              <w:pStyle w:val="Text1"/>
              <w:spacing w:beforeLines="20" w:before="48" w:afterLines="20" w:after="48"/>
              <w:ind w:left="136"/>
              <w:jc w:val="left"/>
              <w:rPr>
                <w:b/>
                <w:noProof/>
                <w:sz w:val="16"/>
                <w:szCs w:val="16"/>
              </w:rPr>
            </w:pPr>
            <w:r>
              <w:rPr>
                <w:noProof/>
                <w:sz w:val="16"/>
              </w:rPr>
              <w:t xml:space="preserve">- în delegații </w:t>
            </w:r>
          </w:p>
        </w:tc>
        <w:tc>
          <w:tcPr>
            <w:tcW w:w="600" w:type="dxa"/>
            <w:shd w:val="clear" w:color="auto" w:fill="auto"/>
            <w:vAlign w:val="center"/>
          </w:tcPr>
          <w:p>
            <w:pPr>
              <w:pStyle w:val="Text1"/>
              <w:spacing w:beforeLines="20" w:before="48" w:afterLines="20" w:after="48"/>
              <w:ind w:left="0"/>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xml:space="preserve"> 01 05 02/12/22 (AC, END, INT – cercetare indirectă)</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02/12 (AC, END, INT – cercetare directă)</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Alte linii bugetare (a se preciza)</w:t>
            </w: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TOTAL</w:t>
            </w: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rPr>
        <w:t>XX</w:t>
      </w:r>
      <w:r>
        <w:rPr>
          <w:noProof/>
          <w:sz w:val="18"/>
        </w:rPr>
        <w:t xml:space="preserve"> este domeniul de politică sau titlul din buget în cauză.</w:t>
      </w:r>
    </w:p>
    <w:p>
      <w:pPr>
        <w:pStyle w:val="Text1"/>
        <w:rPr>
          <w:noProof/>
          <w:sz w:val="18"/>
          <w:szCs w:val="18"/>
        </w:rPr>
      </w:pPr>
      <w:r>
        <w:rPr>
          <w:noProof/>
          <w:sz w:val="18"/>
        </w:rPr>
        <w:t>Necesarul de resurse umane va fi asigurat din efectivele de personal ale DG-ului în cauză alocate deja pentru gestionarea acțiunii și/sau redistribuite intern în cadrul DG-ului, completate, după caz, cu resurse suplimentare ce ar putea fi acordate DG-ului care gestionează acțiunea în cadrul procedurii anuale de alocare și ținând seama de constrângerile bugetare.</w:t>
      </w:r>
    </w:p>
    <w:p>
      <w:pPr>
        <w:rPr>
          <w:noProof/>
          <w:sz w:val="20"/>
        </w:rPr>
      </w:pPr>
      <w:r>
        <w:rPr>
          <w:noProof/>
          <w:sz w:val="20"/>
        </w:rPr>
        <w:t>Descrierea sarcinilor care trebuie efectuate:</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Funcționari și personal temporar</w:t>
            </w:r>
          </w:p>
        </w:tc>
        <w:tc>
          <w:tcPr>
            <w:tcW w:w="7200" w:type="dxa"/>
          </w:tcPr>
          <w:p>
            <w:pPr>
              <w:rPr>
                <w:noProof/>
                <w:sz w:val="20"/>
              </w:rPr>
            </w:pPr>
          </w:p>
        </w:tc>
      </w:tr>
      <w:tr>
        <w:tc>
          <w:tcPr>
            <w:tcW w:w="3240" w:type="dxa"/>
          </w:tcPr>
          <w:p>
            <w:pPr>
              <w:spacing w:before="60" w:after="60"/>
              <w:rPr>
                <w:noProof/>
                <w:sz w:val="20"/>
              </w:rPr>
            </w:pPr>
            <w:r>
              <w:rPr>
                <w:noProof/>
                <w:sz w:val="20"/>
              </w:rPr>
              <w:t>Personal extern</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noProof/>
        </w:rPr>
      </w:pPr>
      <w:bookmarkStart w:id="49" w:name="_Toc514938056"/>
      <w:bookmarkStart w:id="50" w:name="_Toc520485055"/>
      <w:r>
        <w:t>3.2.4.</w:t>
      </w:r>
      <w:r>
        <w:tab/>
      </w:r>
      <w:r>
        <w:rPr>
          <w:noProof/>
        </w:rPr>
        <w:t>Compatibilitatea cu cadrul financiar multianual actual</w:t>
      </w:r>
      <w:bookmarkEnd w:id="49"/>
      <w:bookmarkEnd w:id="50"/>
      <w:r>
        <w:rPr>
          <w:noProof/>
        </w:rPr>
        <w:t xml:space="preserve"> </w:t>
      </w:r>
    </w:p>
    <w:p>
      <w:pPr>
        <w:pStyle w:val="Text1"/>
        <w:rPr>
          <w:noProof/>
        </w:rPr>
      </w:pPr>
      <w:r>
        <w:rPr>
          <w:noProof/>
        </w:rPr>
        <w:t>Propunerea/inițiativa:</w:t>
      </w:r>
    </w:p>
    <w:p>
      <w:pPr>
        <w:pStyle w:val="ListDash1"/>
        <w:rPr>
          <w:noProof/>
        </w:rPr>
      </w:pPr>
      <w:r>
        <w:rPr>
          <w:b/>
          <w:noProof/>
        </w:rPr>
        <w:t>X</w:t>
      </w:r>
      <w:r>
        <w:rPr>
          <w:noProof/>
        </w:rPr>
        <w:tab/>
        <w:t>poate fi finanțată integral în cadrul rubricii relevante din cadrul financiar multianual (CFM).</w:t>
      </w:r>
    </w:p>
    <w:p>
      <w:pPr>
        <w:pStyle w:val="ListDash1"/>
        <w:rPr>
          <w:noProof/>
        </w:rPr>
      </w:pPr>
      <w:r>
        <w:rPr>
          <w:noProof/>
        </w:rPr>
        <w:sym w:font="Wingdings" w:char="F0A8"/>
      </w:r>
      <w:r>
        <w:rPr>
          <w:noProof/>
        </w:rPr>
        <w:tab/>
        <w:t>necesită utilizarea marjei nealocate din cadrul rubricii corespunzătoare din CFM și/sau utilizarea instrumentelor speciale, astfel cum sunt definite în Regulamentul privind CFM.</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A se explica necesitatea efectuării acestei acțiuni, precizând rubricile și liniile bugetare vizate, sumele aferente și instrumentele propuse a fi utilizate.</w:t>
      </w:r>
    </w:p>
    <w:p>
      <w:pPr>
        <w:pStyle w:val="ListDash1"/>
        <w:rPr>
          <w:noProof/>
        </w:rPr>
      </w:pPr>
      <w:r>
        <w:rPr>
          <w:noProof/>
        </w:rPr>
        <w:sym w:font="Wingdings" w:char="F0A8"/>
      </w:r>
      <w:r>
        <w:rPr>
          <w:noProof/>
        </w:rPr>
        <w:tab/>
        <w:t>necesită revizuirea CFM.</w:t>
      </w:r>
    </w:p>
    <w:p>
      <w:pPr>
        <w:pStyle w:val="Text1"/>
        <w:pBdr>
          <w:top w:val="single" w:sz="4" w:space="1" w:color="auto"/>
          <w:left w:val="single" w:sz="4" w:space="4" w:color="auto"/>
          <w:bottom w:val="single" w:sz="4" w:space="3" w:color="auto"/>
          <w:right w:val="single" w:sz="4" w:space="4" w:color="auto"/>
        </w:pBdr>
        <w:rPr>
          <w:noProof/>
          <w:sz w:val="20"/>
        </w:rPr>
      </w:pPr>
      <w:r>
        <w:rPr>
          <w:noProof/>
          <w:sz w:val="20"/>
        </w:rPr>
        <w:t>A se explica necesitatea efectuării acestei acțiuni, precizând rubricile și liniile bugetare vizate, precum și sumele aferente.</w:t>
      </w:r>
    </w:p>
    <w:p>
      <w:pPr>
        <w:pStyle w:val="ManualHeading3"/>
        <w:rPr>
          <w:bCs/>
          <w:noProof/>
          <w:szCs w:val="24"/>
        </w:rPr>
      </w:pPr>
      <w:bookmarkStart w:id="51" w:name="_Toc514938058"/>
      <w:bookmarkStart w:id="52" w:name="_Toc520485056"/>
      <w:r>
        <w:t>3.2.5.</w:t>
      </w:r>
      <w:r>
        <w:tab/>
      </w:r>
      <w:r>
        <w:rPr>
          <w:noProof/>
        </w:rPr>
        <w:t>Contribuțiile terților</w:t>
      </w:r>
      <w:bookmarkEnd w:id="51"/>
      <w:bookmarkEnd w:id="52"/>
      <w:r>
        <w:rPr>
          <w:noProof/>
        </w:rPr>
        <w:t xml:space="preserve"> </w:t>
      </w:r>
    </w:p>
    <w:p>
      <w:pPr>
        <w:pStyle w:val="Text1"/>
        <w:rPr>
          <w:noProof/>
        </w:rPr>
      </w:pPr>
      <w:r>
        <w:rPr>
          <w:noProof/>
        </w:rPr>
        <w:t>Propunerea/inițiativa:</w:t>
      </w:r>
    </w:p>
    <w:p>
      <w:pPr>
        <w:pStyle w:val="ListDash1"/>
        <w:rPr>
          <w:noProof/>
        </w:rPr>
      </w:pPr>
      <w:r>
        <w:rPr>
          <w:b/>
          <w:noProof/>
        </w:rPr>
        <w:t xml:space="preserve">X </w:t>
      </w:r>
      <w:r>
        <w:rPr>
          <w:noProof/>
        </w:rPr>
        <w:t>nu prevede cofinanțare din partea terților</w:t>
      </w:r>
    </w:p>
    <w:p>
      <w:pPr>
        <w:pStyle w:val="ListDash1"/>
        <w:rPr>
          <w:noProof/>
        </w:rPr>
      </w:pPr>
      <w:r>
        <w:rPr>
          <w:noProof/>
        </w:rPr>
        <w:tab/>
        <w:t>prevede cofinanțare din partea terților, estimată mai jos:</w:t>
      </w:r>
    </w:p>
    <w:p>
      <w:pPr>
        <w:jc w:val="right"/>
        <w:rPr>
          <w:noProof/>
          <w:sz w:val="20"/>
        </w:rPr>
      </w:pPr>
      <w:r>
        <w:rPr>
          <w:noProof/>
          <w:sz w:val="20"/>
        </w:rPr>
        <w:t xml:space="preserve">Credite în EUR </w:t>
      </w:r>
    </w:p>
    <w:p>
      <w:pPr>
        <w:jc w:val="right"/>
        <w:rPr>
          <w:noProof/>
          <w:sz w:val="20"/>
        </w:rPr>
      </w:pPr>
    </w:p>
    <w:p>
      <w:pPr>
        <w:rPr>
          <w:noProof/>
        </w:rPr>
      </w:pPr>
      <w:r>
        <w:rPr>
          <w:noProof/>
        </w:rPr>
        <w:br/>
      </w:r>
    </w:p>
    <w:p>
      <w:pPr>
        <w:pStyle w:val="ManualHeading2"/>
        <w:rPr>
          <w:bCs/>
          <w:noProof/>
          <w:szCs w:val="24"/>
        </w:rPr>
      </w:pPr>
      <w:r>
        <w:rPr>
          <w:noProof/>
        </w:rPr>
        <w:br w:type="page"/>
      </w:r>
      <w:bookmarkStart w:id="53" w:name="_Toc514938059"/>
      <w:bookmarkStart w:id="54" w:name="_Toc520485057"/>
      <w:r>
        <w:t>3.3.</w:t>
      </w:r>
      <w:r>
        <w:tab/>
      </w:r>
      <w:r>
        <w:rPr>
          <w:noProof/>
        </w:rPr>
        <w:t>Impactul estimat asupra veniturilor</w:t>
      </w:r>
      <w:bookmarkEnd w:id="53"/>
      <w:bookmarkEnd w:id="54"/>
      <w:r>
        <w:rPr>
          <w:noProof/>
        </w:rPr>
        <w:t xml:space="preserve"> </w:t>
      </w:r>
    </w:p>
    <w:p>
      <w:pPr>
        <w:pStyle w:val="ListDash1"/>
        <w:rPr>
          <w:noProof/>
        </w:rPr>
      </w:pPr>
      <w:r>
        <w:rPr>
          <w:b/>
          <w:noProof/>
        </w:rPr>
        <w:t>X</w:t>
      </w:r>
      <w:r>
        <w:rPr>
          <w:noProof/>
        </w:rPr>
        <w:tab/>
        <w:t xml:space="preserve">Propunerea/inițiativa nu are impact financiar asupra veniturilor. </w:t>
      </w:r>
    </w:p>
    <w:p>
      <w:pPr>
        <w:pStyle w:val="ListDash1"/>
        <w:rPr>
          <w:noProof/>
        </w:rPr>
      </w:pPr>
      <w:r>
        <w:rPr>
          <w:noProof/>
        </w:rPr>
        <w:tab/>
        <w:t>Propunerea/inițiativa are următorul impact financiar:</w:t>
      </w:r>
    </w:p>
    <w:p>
      <w:pPr>
        <w:pStyle w:val="Tiret2"/>
        <w:numPr>
          <w:ilvl w:val="0"/>
          <w:numId w:val="16"/>
        </w:numPr>
        <w:rPr>
          <w:noProof/>
        </w:rPr>
      </w:pPr>
      <w:r>
        <w:rPr>
          <w:noProof/>
        </w:rPr>
        <w:sym w:font="Wingdings" w:char="F0A8"/>
      </w:r>
      <w:r>
        <w:rPr>
          <w:noProof/>
        </w:rPr>
        <w:tab/>
        <w:t xml:space="preserve">asupra resurselor proprii </w:t>
      </w:r>
    </w:p>
    <w:p>
      <w:pPr>
        <w:pStyle w:val="Tiret2"/>
        <w:rPr>
          <w:noProof/>
        </w:rPr>
      </w:pPr>
      <w:r>
        <w:rPr>
          <w:noProof/>
        </w:rPr>
        <w:sym w:font="Wingdings" w:char="F0A8"/>
      </w:r>
      <w:r>
        <w:rPr>
          <w:noProof/>
        </w:rPr>
        <w:tab/>
        <w:t>asupra altor venituri</w:t>
      </w:r>
    </w:p>
    <w:p>
      <w:pPr>
        <w:pStyle w:val="Tiret2"/>
        <w:rPr>
          <w:noProof/>
        </w:rPr>
      </w:pPr>
      <w:r>
        <w:rPr>
          <w:noProof/>
        </w:rPr>
        <w:t>vă rugăm să precizați dacă veniturile sunt alocate unor linii de cheltuieli X</w:t>
      </w:r>
      <w:r>
        <w:rPr>
          <w:noProof/>
        </w:rPr>
        <w:tab/>
      </w:r>
    </w:p>
    <w:p>
      <w:pPr>
        <w:pStyle w:val="ListNumberLevel3"/>
        <w:tabs>
          <w:tab w:val="clear" w:pos="2126"/>
        </w:tabs>
        <w:ind w:firstLine="0"/>
        <w:rPr>
          <w:noProof/>
        </w:rPr>
      </w:pPr>
    </w:p>
    <w:p>
      <w:pPr>
        <w:ind w:left="4320"/>
        <w:rPr>
          <w:i/>
          <w:noProof/>
          <w:sz w:val="20"/>
        </w:rPr>
      </w:pPr>
      <w:r>
        <w:rPr>
          <w:noProof/>
        </w:rPr>
        <w:t xml:space="preserve">     EUR </w:t>
      </w:r>
    </w:p>
    <w:p>
      <w:pPr>
        <w:pStyle w:val="Text1"/>
        <w:rPr>
          <w:noProof/>
          <w:sz w:val="20"/>
        </w:rPr>
      </w:pPr>
      <w:r>
        <w:rPr>
          <w:noProof/>
        </w:rPr>
        <w:br/>
      </w:r>
    </w:p>
    <w:p>
      <w:pPr>
        <w:pStyle w:val="Text1"/>
        <w:rPr>
          <w:noProof/>
          <w:sz w:val="20"/>
        </w:rPr>
      </w:pPr>
      <w:r>
        <w:rPr>
          <w:noProof/>
          <w:sz w:val="20"/>
        </w:rPr>
        <w:t>Pentru veniturile alocate, a se preciza linia (liniile) bugetară (bugetare) de cheltuieli afectată (afectate).</w:t>
      </w:r>
    </w:p>
    <w:p>
      <w:pPr>
        <w:pStyle w:val="Text1"/>
        <w:pBdr>
          <w:top w:val="single" w:sz="4" w:space="1" w:color="auto"/>
          <w:left w:val="single" w:sz="4" w:space="4" w:color="auto"/>
          <w:bottom w:val="single" w:sz="4" w:space="1" w:color="auto"/>
          <w:right w:val="single" w:sz="4" w:space="4" w:color="auto"/>
        </w:pBdr>
        <w:rPr>
          <w:noProof/>
        </w:rPr>
      </w:pPr>
      <w:r>
        <w:t>N/A</w:t>
      </w:r>
    </w:p>
    <w:p>
      <w:pPr>
        <w:pStyle w:val="Text1"/>
        <w:rPr>
          <w:noProof/>
        </w:rPr>
      </w:pPr>
      <w:r>
        <w:rPr>
          <w:noProof/>
          <w:sz w:val="20"/>
        </w:rPr>
        <w:t>Alte observații (de exemplu, metoda/formula utilizată pentru calcularea impactului asupra veniturilor sau orice alte informații).</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RO</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RO</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r>
      <w:hyperlink r:id="rId1">
        <w:r>
          <w:rPr>
            <w:rStyle w:val="Hyperlink"/>
          </w:rPr>
          <w:t>https://ec.europa.eu/commission/sites/beta-political/files/draft_withdrawal_agreement_0.pdf</w:t>
        </w:r>
      </w:hyperlink>
      <w:r>
        <w:t>.</w:t>
      </w:r>
    </w:p>
  </w:footnote>
  <w:footnote w:id="2">
    <w:p>
      <w:pPr>
        <w:pStyle w:val="FootnoteText"/>
      </w:pPr>
      <w:r>
        <w:rPr>
          <w:rStyle w:val="FootnoteReference"/>
        </w:rPr>
        <w:footnoteRef/>
      </w:r>
      <w:r>
        <w:tab/>
        <w:t>COM(2018) 880 final, 13.11.2018.</w:t>
      </w:r>
    </w:p>
  </w:footnote>
  <w:footnote w:id="3">
    <w:p>
      <w:pPr>
        <w:pStyle w:val="FootnoteText"/>
      </w:pPr>
      <w:r>
        <w:rPr>
          <w:rStyle w:val="FootnoteReference"/>
        </w:rPr>
        <w:footnoteRef/>
      </w:r>
      <w:r>
        <w:tab/>
        <w:t>Sursă de inspirație: Propunere de Regulament al Parlamentului European și al Consiliului de modificare a Regulamentului (UE) nr. 1316/2013 în ceea ce privește retragerea Regatului Unit din Uniune - COM(2018) 568, 1.8.2018.</w:t>
      </w:r>
    </w:p>
  </w:footnote>
  <w:footnote w:id="4">
    <w:p>
      <w:pPr>
        <w:pStyle w:val="FootnoteText"/>
      </w:pPr>
      <w:r>
        <w:rPr>
          <w:rStyle w:val="FootnoteReference"/>
        </w:rPr>
        <w:footnoteRef/>
      </w:r>
      <w:r>
        <w:tab/>
        <w:t>JO C , , p. .</w:t>
      </w:r>
    </w:p>
  </w:footnote>
  <w:footnote w:id="5">
    <w:p>
      <w:pPr>
        <w:pStyle w:val="FootnoteText"/>
      </w:pPr>
      <w:r>
        <w:rPr>
          <w:rStyle w:val="FootnoteReference"/>
        </w:rPr>
        <w:footnoteRef/>
      </w:r>
      <w:r>
        <w:tab/>
        <w:t>JO C , , p. .</w:t>
      </w:r>
    </w:p>
  </w:footnote>
  <w:footnote w:id="6">
    <w:p>
      <w:pPr>
        <w:pStyle w:val="FootnoteText"/>
      </w:pPr>
      <w:r>
        <w:rPr>
          <w:rStyle w:val="FootnoteReference"/>
        </w:rPr>
        <w:footnoteRef/>
      </w:r>
      <w:r>
        <w:tab/>
        <w:t>Regulamentul (UE) nr. 1299/2013 al Parlamentului European și al Consiliului din 17 decembrie 2013 privind dispoziții specifice pentru sprijinul din partea Fondului european de dezvoltare regională pentru obiectivul de cooperare teritorială europeană (JO L 347, 20.12.2013, p. 259).</w:t>
      </w:r>
    </w:p>
  </w:footnote>
  <w:footnote w:id="7">
    <w:p>
      <w:pPr>
        <w:pStyle w:val="FootnoteText"/>
      </w:pPr>
      <w:r>
        <w:rPr>
          <w:rStyle w:val="FootnoteReference"/>
        </w:rPr>
        <w:footnoteRef/>
      </w:r>
      <w:r>
        <w:tab/>
        <w:t>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(JO L 347, 20.12.2013, p. 320).</w:t>
      </w:r>
    </w:p>
  </w:footnote>
  <w:footnote w:id="8">
    <w:p>
      <w:pPr>
        <w:pStyle w:val="FootnoteText"/>
      </w:pPr>
      <w:r>
        <w:rPr>
          <w:rStyle w:val="FootnoteReference"/>
        </w:rPr>
        <w:footnoteRef/>
      </w:r>
      <w:r>
        <w:tab/>
        <w:t>Regulamentul (UE, Euratom) 2018/1046 al Parlamentului European și al Consiliului din 18 iulie 2018 privind normele financiare aplicabile bugetului general al Uniunii, de modificare a Regulamentelor (UE) nr. 1296/2013, (UE) nr. 1301/2013, (UE) nr. 1303/2013, (UE) nr. 1304/2013, (UE) nr. 1309/2013, (UE) nr. 1316/2013, (UE) nr. 223/2014, (UE) nr. 283/2014 și a Deciziei nr. 541/2014/UE și de abrogare a Regulamentului (UE, Euratom) nr. 966/2012 (JO L 193, 30.7.2018, p. 1).</w:t>
      </w:r>
    </w:p>
  </w:footnote>
  <w:footnote w:id="9">
    <w:p>
      <w:pPr>
        <w:pStyle w:val="FootnoteText"/>
        <w:jc w:val="left"/>
        <w:rPr>
          <w:szCs w:val="24"/>
        </w:rPr>
      </w:pPr>
      <w:r>
        <w:rPr>
          <w:rStyle w:val="FootnoteReference"/>
        </w:rPr>
        <w:footnoteRef/>
      </w:r>
      <w:r>
        <w:tab/>
        <w:t xml:space="preserve">Explicații detaliate privind modurile de gestiune, precum și trimiterile la Regulamentul financiar sunt disponibile pe site-ul BudgWeb: </w:t>
      </w:r>
      <w:hyperlink r:id="rId2">
        <w:r>
          <w:rPr>
            <w:rStyle w:val="Hyperlink"/>
          </w:rPr>
          <w:t>https://myintracomm.ec.europa.eu/budgweb/EN/man/budgmanag/Pages/budgmanag.aspx</w:t>
        </w:r>
      </w:hyperlink>
      <w:r>
        <w:t xml:space="preserve"> </w:t>
      </w:r>
    </w:p>
  </w:footnote>
  <w:footnote w:id="10">
    <w:p>
      <w:pPr>
        <w:pStyle w:val="FootnoteText"/>
        <w:rPr>
          <w:szCs w:val="24"/>
        </w:rPr>
      </w:pPr>
      <w:r>
        <w:rPr>
          <w:rStyle w:val="FootnoteReference"/>
        </w:rPr>
        <w:footnoteRef/>
      </w:r>
      <w:r>
        <w:tab/>
        <w:t>Dif. = credite diferențiate / Nedif. = credite nediferențiate.</w:t>
      </w:r>
    </w:p>
  </w:footnote>
  <w:footnote w:id="11">
    <w:p>
      <w:pPr>
        <w:pStyle w:val="FootnoteText"/>
        <w:rPr>
          <w:szCs w:val="24"/>
        </w:rPr>
      </w:pPr>
      <w:r>
        <w:rPr>
          <w:rStyle w:val="FootnoteReference"/>
        </w:rPr>
        <w:footnoteRef/>
      </w:r>
      <w:r>
        <w:tab/>
        <w:t xml:space="preserve">AELS: Asociația Europeană a Liberului Schimb. </w:t>
      </w:r>
    </w:p>
  </w:footnote>
  <w:footnote w:id="12">
    <w:p>
      <w:pPr>
        <w:pStyle w:val="FootnoteText"/>
        <w:rPr>
          <w:szCs w:val="24"/>
        </w:rPr>
      </w:pPr>
      <w:r>
        <w:rPr>
          <w:rStyle w:val="FootnoteReference"/>
        </w:rPr>
        <w:footnoteRef/>
      </w:r>
      <w:r>
        <w:tab/>
        <w:t>Țările candidate și, după caz, candidații potențiali din Balcanii de Vest.</w:t>
      </w:r>
    </w:p>
  </w:footnote>
  <w:footnote w:id="13">
    <w:p>
      <w:pPr>
        <w:pStyle w:val="FootnoteText"/>
        <w:rPr>
          <w:szCs w:val="24"/>
        </w:rPr>
      </w:pPr>
      <w:r>
        <w:rPr>
          <w:rStyle w:val="FootnoteReference"/>
        </w:rPr>
        <w:footnoteRef/>
      </w:r>
      <w:r>
        <w:tab/>
      </w:r>
      <w:r>
        <w:rPr>
          <w:sz w:val="18"/>
        </w:rPr>
        <w:t>Anul N este anul în care începe punerea în aplicare a propunerii/inițiativei. Vă rugăm să înlocuiți „N” cu primul an estimat de punere în aplicare (de exemplu: 2021). Se procedează la fel pentru anii următori.</w:t>
      </w:r>
    </w:p>
  </w:footnote>
  <w:footnote w:id="14">
    <w:p>
      <w:pPr>
        <w:pStyle w:val="FootnoteText"/>
        <w:rPr>
          <w:szCs w:val="24"/>
        </w:rPr>
      </w:pPr>
      <w:r>
        <w:rPr>
          <w:rStyle w:val="FootnoteReference"/>
        </w:rPr>
        <w:footnoteRef/>
      </w:r>
      <w:r>
        <w:tab/>
        <w:t>Realizările se referă la produsele și serviciile care trebuie furnizate (de ex.: numărul de schimburi de studenți finanțate, numărul de km de drumuri construiți etc.).</w:t>
      </w:r>
    </w:p>
  </w:footnote>
  <w:footnote w:id="15">
    <w:p>
      <w:pPr>
        <w:pStyle w:val="FootnoteText"/>
        <w:rPr>
          <w:szCs w:val="24"/>
        </w:rPr>
      </w:pPr>
      <w:r>
        <w:rPr>
          <w:rStyle w:val="FootnoteReference"/>
        </w:rPr>
        <w:footnoteRef/>
      </w:r>
      <w:r>
        <w:tab/>
        <w:t xml:space="preserve">Conform descrierii de la punctul 1.4.2. „Obiectiv(e) specific(e)…” </w:t>
      </w:r>
    </w:p>
  </w:footnote>
  <w:footnote w:id="16">
    <w:p>
      <w:pPr>
        <w:pStyle w:val="FootnoteText"/>
        <w:rPr>
          <w:sz w:val="18"/>
          <w:szCs w:val="18"/>
        </w:rPr>
      </w:pPr>
      <w:r>
        <w:rPr>
          <w:rStyle w:val="FootnoteReference"/>
        </w:rPr>
        <w:footnoteRef/>
      </w:r>
      <w:r>
        <w:tab/>
      </w:r>
      <w:r>
        <w:rPr>
          <w:sz w:val="18"/>
        </w:rPr>
        <w:t>Anul N este anul în care începe punerea în aplicare a propunerii/inițiativei. Vă rugăm să înlocuiți „N” cu primul an estimat de punere în aplicare (de exemplu: 2021). Se procedează la fel pentru anii următori.</w:t>
      </w:r>
    </w:p>
  </w:footnote>
  <w:footnote w:id="17">
    <w:p>
      <w:pPr>
        <w:pStyle w:val="FootnoteText"/>
        <w:rPr>
          <w:szCs w:val="24"/>
        </w:rPr>
      </w:pPr>
      <w:r>
        <w:rPr>
          <w:rStyle w:val="FootnoteReference"/>
        </w:rPr>
        <w:footnoteRef/>
      </w:r>
      <w:r>
        <w:tab/>
      </w:r>
      <w:r>
        <w:rPr>
          <w:sz w:val="18"/>
        </w:rPr>
        <w:t>Asistență tehnică și/sau administrativă și cheltuieli de sprijin pentru punerea în aplicare a programelor și/sau a acțiunilor UE (fostele linii „BA”), cercetare indirectă și cercetare directă.</w:t>
      </w:r>
    </w:p>
  </w:footnote>
  <w:footnote w:id="18">
    <w:p>
      <w:pPr>
        <w:pStyle w:val="FootnoteText"/>
        <w:rPr>
          <w:szCs w:val="24"/>
        </w:rPr>
      </w:pPr>
      <w:r>
        <w:rPr>
          <w:rStyle w:val="FootnoteReference"/>
        </w:rPr>
        <w:footnoteRef/>
      </w:r>
      <w:r>
        <w:tab/>
        <w:t xml:space="preserve">AC = agent contractual; AL = agent local; END = expert național detașat; INT = personal pus la dispoziție de agenți de muncă temporară; JPD =  tânăr profesionist în delegații. </w:t>
      </w:r>
    </w:p>
  </w:footnote>
  <w:footnote w:id="19">
    <w:p>
      <w:pPr>
        <w:pStyle w:val="FootnoteText"/>
        <w:rPr>
          <w:szCs w:val="24"/>
        </w:rPr>
      </w:pPr>
      <w:r>
        <w:rPr>
          <w:rStyle w:val="FootnoteReference"/>
        </w:rPr>
        <w:footnoteRef/>
      </w:r>
      <w:r>
        <w:tab/>
        <w:t>Subplafonul pentru personal extern acoperit din creditele operaționale (fostele linii „BA”).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F40EEB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E426808"/>
    <w:lvl w:ilvl="0">
      <w:start w:val="1"/>
      <w:numFmt w:val="decimal"/>
      <w:pStyle w:val="ListNumber3"/>
      <w:lvlText w:val="%1."/>
      <w:lvlJc w:val="left"/>
      <w:pPr>
        <w:tabs>
          <w:tab w:val="num" w:pos="926"/>
        </w:tabs>
        <w:ind w:left="926" w:hanging="360"/>
      </w:pPr>
    </w:lvl>
  </w:abstractNum>
  <w:abstractNum w:abstractNumId="2">
    <w:nsid w:val="FFFFFF7F"/>
    <w:multiLevelType w:val="singleLevel"/>
    <w:tmpl w:val="AD16A6D0"/>
    <w:lvl w:ilvl="0">
      <w:start w:val="1"/>
      <w:numFmt w:val="decimal"/>
      <w:pStyle w:val="ListNumber2"/>
      <w:lvlText w:val="%1."/>
      <w:lvlJc w:val="left"/>
      <w:pPr>
        <w:tabs>
          <w:tab w:val="num" w:pos="643"/>
        </w:tabs>
        <w:ind w:left="643" w:hanging="360"/>
      </w:pPr>
    </w:lvl>
  </w:abstractNum>
  <w:abstractNum w:abstractNumId="3">
    <w:nsid w:val="FFFFFF81"/>
    <w:multiLevelType w:val="singleLevel"/>
    <w:tmpl w:val="1804D4C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B8633F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8BC462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78C8196"/>
    <w:lvl w:ilvl="0">
      <w:start w:val="1"/>
      <w:numFmt w:val="decimal"/>
      <w:pStyle w:val="ListNumber"/>
      <w:lvlText w:val="%1."/>
      <w:lvlJc w:val="left"/>
      <w:pPr>
        <w:tabs>
          <w:tab w:val="num" w:pos="360"/>
        </w:tabs>
        <w:ind w:left="360" w:hanging="360"/>
      </w:pPr>
    </w:lvl>
  </w:abstractNum>
  <w:abstractNum w:abstractNumId="7">
    <w:nsid w:val="FFFFFF89"/>
    <w:multiLevelType w:val="singleLevel"/>
    <w:tmpl w:val="5034533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8">
    <w:nsid w:val="4D0C058A"/>
    <w:multiLevelType w:val="singleLevel"/>
    <w:tmpl w:val="BAE8D90E"/>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5"/>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8"/>
  </w:num>
  <w:num w:numId="11">
    <w:abstractNumId w:val="13"/>
  </w:num>
  <w:num w:numId="12">
    <w:abstractNumId w:val="18"/>
  </w:num>
  <w:num w:numId="13">
    <w:abstractNumId w:val="17"/>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num>
  <w:num w:numId="17">
    <w:abstractNumId w:val="22"/>
  </w:num>
  <w:num w:numId="18">
    <w:abstractNumId w:val="14"/>
  </w:num>
  <w:num w:numId="19">
    <w:abstractNumId w:val="24"/>
  </w:num>
  <w:num w:numId="20">
    <w:abstractNumId w:val="12"/>
  </w:num>
  <w:num w:numId="21">
    <w:abstractNumId w:val="15"/>
  </w:num>
  <w:num w:numId="22">
    <w:abstractNumId w:val="10"/>
  </w:num>
  <w:num w:numId="23">
    <w:abstractNumId w:val="23"/>
  </w:num>
  <w:num w:numId="24">
    <w:abstractNumId w:val="9"/>
  </w:num>
  <w:num w:numId="25">
    <w:abstractNumId w:val="16"/>
  </w:num>
  <w:num w:numId="26">
    <w:abstractNumId w:val="20"/>
  </w:num>
  <w:num w:numId="27">
    <w:abstractNumId w:val="21"/>
  </w:num>
  <w:num w:numId="28">
    <w:abstractNumId w:val="11"/>
  </w:num>
  <w:num w:numId="29">
    <w:abstractNumId w:val="19"/>
  </w:num>
  <w:num w:numId="30">
    <w:abstractNumId w:val="25"/>
  </w:num>
  <w:num w:numId="31">
    <w:abstractNumId w:val="22"/>
  </w:num>
  <w:num w:numId="32">
    <w:abstractNumId w:val="14"/>
  </w:num>
  <w:num w:numId="33">
    <w:abstractNumId w:val="24"/>
  </w:num>
  <w:num w:numId="34">
    <w:abstractNumId w:val="12"/>
  </w:num>
  <w:num w:numId="35">
    <w:abstractNumId w:val="15"/>
  </w:num>
  <w:num w:numId="36">
    <w:abstractNumId w:val="10"/>
  </w:num>
  <w:num w:numId="37">
    <w:abstractNumId w:val="23"/>
  </w:num>
  <w:num w:numId="38">
    <w:abstractNumId w:val="9"/>
  </w:num>
  <w:num w:numId="39">
    <w:abstractNumId w:val="16"/>
  </w:num>
  <w:num w:numId="40">
    <w:abstractNumId w:val="20"/>
  </w:num>
  <w:num w:numId="41">
    <w:abstractNumId w:val="21"/>
  </w:num>
  <w:num w:numId="42">
    <w:abstractNumId w:val="11"/>
  </w:num>
  <w:num w:numId="43">
    <w:abstractNumId w:val="19"/>
  </w:num>
  <w:num w:numId="44">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12-21 10:13:51"/>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1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03C217D6-1DB4-4340-82D7-BD48F34CE127"/>
    <w:docVar w:name="LW_COVERPAGE_TYPE" w:val="1"/>
    <w:docVar w:name="LW_CROSSREFERENCE" w:val="&lt;UNUSED&gt;"/>
    <w:docVar w:name="LW_DocType" w:val="COM"/>
    <w:docVar w:name="LW_EMISSION" w:val="19.12.2018"/>
    <w:docVar w:name="LW_EMISSION_ISODATE" w:val="2018-12-19"/>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COD"/>
    <w:docVar w:name="LW_REF.II.NEW.CP_NUMBER" w:val="0432"/>
    <w:docVar w:name="LW_REF.II.NEW.CP_YEAR" w:val="2018"/>
    <w:docVar w:name="LW_REF.INST.NEW" w:val="COM"/>
    <w:docVar w:name="LW_REF.INST.NEW_ADOPTED" w:val="final"/>
    <w:docVar w:name="LW_REF.INST.NEW_TEXT" w:val="(2018) 89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nere de"/>
    <w:docVar w:name="LW_SUPERTITRE" w:val="&lt;UNUSED&gt;"/>
    <w:docVar w:name="LW_TITRE.OBJ.CP" w:val="pentru a se permite continuarea programelor de cooperare teritorial\u259? PEACE IV (Irlanda-Regatul Unit) \u537?i Regatul Unit-Irlanda (Irlanda-Irlanda de Nord-Sco\u539?ia) în contextul retragerii Regatului Unit din Uniunea European\u259?"/>
    <w:docVar w:name="LW_TYPE.DOC.CP" w:val="REGULAMENT AL PARLAMENTULUI EUROPEAN \u536?I AL CONSILIULUI"/>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160" w:line="259" w:lineRule="auto"/>
      <w:ind w:left="720"/>
      <w:contextualSpacing/>
      <w:jc w:val="left"/>
    </w:pPr>
    <w:rPr>
      <w:rFonts w:asciiTheme="minorHAnsi" w:hAnsiTheme="minorHAnsi" w:cstheme="minorBidi"/>
      <w:sz w:val="22"/>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before="0" w:after="160"/>
      <w:jc w:val="left"/>
    </w:pPr>
    <w:rPr>
      <w:rFonts w:asciiTheme="minorHAnsi" w:hAnsiTheme="minorHAnsi" w:cstheme="minorBidi"/>
      <w:sz w:val="20"/>
      <w:szCs w:val="20"/>
    </w:rPr>
  </w:style>
  <w:style w:type="character" w:customStyle="1" w:styleId="CommentTextChar">
    <w:name w:val="Comment Text Char"/>
    <w:basedOn w:val="DefaultParagraphFont"/>
    <w:link w:val="CommentText"/>
    <w:rPr>
      <w:sz w:val="20"/>
      <w:szCs w:val="20"/>
      <w:lang w:val="ro-RO"/>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ro-RO"/>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2"/>
      </w:numPr>
      <w:contextualSpacing/>
    </w:pPr>
  </w:style>
  <w:style w:type="paragraph" w:styleId="ListBullet2">
    <w:name w:val="List Bullet 2"/>
    <w:basedOn w:val="Normal"/>
    <w:unhideWhenUsed/>
    <w:pPr>
      <w:numPr>
        <w:numId w:val="3"/>
      </w:numPr>
      <w:contextualSpacing/>
    </w:pPr>
  </w:style>
  <w:style w:type="paragraph" w:styleId="ListBullet3">
    <w:name w:val="List Bullet 3"/>
    <w:basedOn w:val="Normal"/>
    <w:unhideWhenUsed/>
    <w:pPr>
      <w:numPr>
        <w:numId w:val="4"/>
      </w:numPr>
      <w:contextualSpacing/>
    </w:pPr>
  </w:style>
  <w:style w:type="paragraph" w:styleId="ListBullet4">
    <w:name w:val="List Bullet 4"/>
    <w:basedOn w:val="Normal"/>
    <w:unhideWhenUsed/>
    <w:pPr>
      <w:numPr>
        <w:numId w:val="5"/>
      </w:numPr>
      <w:contextualSpacing/>
    </w:pPr>
  </w:style>
  <w:style w:type="paragraph" w:styleId="ListNumber">
    <w:name w:val="List Number"/>
    <w:basedOn w:val="Normal"/>
    <w:unhideWhenUsed/>
    <w:pPr>
      <w:numPr>
        <w:numId w:val="6"/>
      </w:numPr>
      <w:contextualSpacing/>
    </w:pPr>
  </w:style>
  <w:style w:type="paragraph" w:styleId="ListNumber2">
    <w:name w:val="List Number 2"/>
    <w:basedOn w:val="Normal"/>
    <w:unhideWhenUsed/>
    <w:pPr>
      <w:numPr>
        <w:numId w:val="7"/>
      </w:numPr>
      <w:contextualSpacing/>
    </w:pPr>
  </w:style>
  <w:style w:type="paragraph" w:styleId="ListNumber3">
    <w:name w:val="List Number 3"/>
    <w:basedOn w:val="Normal"/>
    <w:unhideWhenUsed/>
    <w:pPr>
      <w:numPr>
        <w:numId w:val="8"/>
      </w:numPr>
      <w:contextualSpacing/>
    </w:pPr>
  </w:style>
  <w:style w:type="paragraph" w:styleId="ListNumber4">
    <w:name w:val="List Number 4"/>
    <w:basedOn w:val="Normal"/>
    <w:unhideWhenUsed/>
    <w:pPr>
      <w:numPr>
        <w:numId w:val="9"/>
      </w:numPr>
      <w:contextualSpacing/>
    </w:pPr>
  </w:style>
  <w:style w:type="paragraph" w:styleId="CommentSubject">
    <w:name w:val="annotation subject"/>
    <w:basedOn w:val="CommentText"/>
    <w:next w:val="CommentText"/>
    <w:link w:val="CommentSubjectChar"/>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ListBullet1">
    <w:name w:val="List Bullet 1"/>
    <w:basedOn w:val="Normal"/>
    <w:pPr>
      <w:numPr>
        <w:numId w:val="10"/>
      </w:numPr>
    </w:pPr>
  </w:style>
  <w:style w:type="paragraph" w:customStyle="1" w:styleId="ListDash">
    <w:name w:val="List Dash"/>
    <w:basedOn w:val="Normal"/>
    <w:pPr>
      <w:numPr>
        <w:numId w:val="11"/>
      </w:numPr>
    </w:pPr>
  </w:style>
  <w:style w:type="paragraph" w:customStyle="1" w:styleId="ListDash1">
    <w:name w:val="List Dash 1"/>
    <w:basedOn w:val="Normal"/>
    <w:pPr>
      <w:numPr>
        <w:numId w:val="12"/>
      </w:numPr>
    </w:pPr>
  </w:style>
  <w:style w:type="paragraph" w:customStyle="1" w:styleId="ListDash2">
    <w:name w:val="List Dash 2"/>
    <w:basedOn w:val="Normal"/>
    <w:pPr>
      <w:numPr>
        <w:numId w:val="13"/>
      </w:numPr>
    </w:pPr>
  </w:style>
  <w:style w:type="paragraph" w:customStyle="1" w:styleId="ListNumberLevel2">
    <w:name w:val="List Number (Level 2)"/>
    <w:basedOn w:val="Normal"/>
    <w:pPr>
      <w:tabs>
        <w:tab w:val="num" w:pos="1417"/>
      </w:tabs>
      <w:ind w:left="1417" w:hanging="708"/>
    </w:pPr>
  </w:style>
  <w:style w:type="paragraph" w:customStyle="1" w:styleId="ListNumberLevel3">
    <w:name w:val="List Number (Level 3)"/>
    <w:basedOn w:val="Normal"/>
    <w:pPr>
      <w:tabs>
        <w:tab w:val="num" w:pos="2126"/>
      </w:tabs>
      <w:ind w:left="2126" w:hanging="709"/>
    </w:pPr>
  </w:style>
  <w:style w:type="paragraph" w:customStyle="1" w:styleId="ListNumberLevel4">
    <w:name w:val="List Number (Level 4)"/>
    <w:basedOn w:val="Normal"/>
    <w:pPr>
      <w:tabs>
        <w:tab w:val="num" w:pos="2835"/>
      </w:tabs>
      <w:ind w:left="2835" w:hanging="709"/>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basedOn w:val="DefaultParagraphFont"/>
    <w:uiPriority w:val="39"/>
    <w:rPr>
      <w:rFonts w:ascii="Times New Roman" w:hAnsi="Times New Roman" w:cs="Times New Roman"/>
      <w:b/>
      <w:sz w:val="28"/>
      <w:lang w:val="ro-RO"/>
    </w:rPr>
  </w:style>
  <w:style w:type="character" w:customStyle="1" w:styleId="FooterCoverPageChar">
    <w:name w:val="Footer Cover Page Char"/>
    <w:basedOn w:val="TOCHeadingChar"/>
    <w:link w:val="FooterCoverPage"/>
    <w:rPr>
      <w:rFonts w:ascii="Times New Roman" w:hAnsi="Times New Roman" w:cs="Times New Roman"/>
      <w:b w:val="0"/>
      <w:sz w:val="24"/>
      <w:lang w:val="ro-RO"/>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TOCHeadingChar"/>
    <w:link w:val="HeaderCoverPage"/>
    <w:rPr>
      <w:rFonts w:ascii="Times New Roman" w:hAnsi="Times New Roman" w:cs="Times New Roman"/>
      <w:b w:val="0"/>
      <w:sz w:val="24"/>
      <w:lang w:val="ro-RO" w:eastAsia="ro-RO"/>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160" w:line="259" w:lineRule="auto"/>
      <w:ind w:left="720"/>
      <w:contextualSpacing/>
      <w:jc w:val="left"/>
    </w:pPr>
    <w:rPr>
      <w:rFonts w:asciiTheme="minorHAnsi" w:hAnsiTheme="minorHAnsi" w:cstheme="minorBidi"/>
      <w:sz w:val="22"/>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before="0" w:after="160"/>
      <w:jc w:val="left"/>
    </w:pPr>
    <w:rPr>
      <w:rFonts w:asciiTheme="minorHAnsi" w:hAnsiTheme="minorHAnsi" w:cstheme="minorBidi"/>
      <w:sz w:val="20"/>
      <w:szCs w:val="20"/>
    </w:rPr>
  </w:style>
  <w:style w:type="character" w:customStyle="1" w:styleId="CommentTextChar">
    <w:name w:val="Comment Text Char"/>
    <w:basedOn w:val="DefaultParagraphFont"/>
    <w:link w:val="CommentText"/>
    <w:rPr>
      <w:sz w:val="20"/>
      <w:szCs w:val="20"/>
      <w:lang w:val="ro-RO"/>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ro-RO"/>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2"/>
      </w:numPr>
      <w:contextualSpacing/>
    </w:pPr>
  </w:style>
  <w:style w:type="paragraph" w:styleId="ListBullet2">
    <w:name w:val="List Bullet 2"/>
    <w:basedOn w:val="Normal"/>
    <w:unhideWhenUsed/>
    <w:pPr>
      <w:numPr>
        <w:numId w:val="3"/>
      </w:numPr>
      <w:contextualSpacing/>
    </w:pPr>
  </w:style>
  <w:style w:type="paragraph" w:styleId="ListBullet3">
    <w:name w:val="List Bullet 3"/>
    <w:basedOn w:val="Normal"/>
    <w:unhideWhenUsed/>
    <w:pPr>
      <w:numPr>
        <w:numId w:val="4"/>
      </w:numPr>
      <w:contextualSpacing/>
    </w:pPr>
  </w:style>
  <w:style w:type="paragraph" w:styleId="ListBullet4">
    <w:name w:val="List Bullet 4"/>
    <w:basedOn w:val="Normal"/>
    <w:unhideWhenUsed/>
    <w:pPr>
      <w:numPr>
        <w:numId w:val="5"/>
      </w:numPr>
      <w:contextualSpacing/>
    </w:pPr>
  </w:style>
  <w:style w:type="paragraph" w:styleId="ListNumber">
    <w:name w:val="List Number"/>
    <w:basedOn w:val="Normal"/>
    <w:unhideWhenUsed/>
    <w:pPr>
      <w:numPr>
        <w:numId w:val="6"/>
      </w:numPr>
      <w:contextualSpacing/>
    </w:pPr>
  </w:style>
  <w:style w:type="paragraph" w:styleId="ListNumber2">
    <w:name w:val="List Number 2"/>
    <w:basedOn w:val="Normal"/>
    <w:unhideWhenUsed/>
    <w:pPr>
      <w:numPr>
        <w:numId w:val="7"/>
      </w:numPr>
      <w:contextualSpacing/>
    </w:pPr>
  </w:style>
  <w:style w:type="paragraph" w:styleId="ListNumber3">
    <w:name w:val="List Number 3"/>
    <w:basedOn w:val="Normal"/>
    <w:unhideWhenUsed/>
    <w:pPr>
      <w:numPr>
        <w:numId w:val="8"/>
      </w:numPr>
      <w:contextualSpacing/>
    </w:pPr>
  </w:style>
  <w:style w:type="paragraph" w:styleId="ListNumber4">
    <w:name w:val="List Number 4"/>
    <w:basedOn w:val="Normal"/>
    <w:unhideWhenUsed/>
    <w:pPr>
      <w:numPr>
        <w:numId w:val="9"/>
      </w:numPr>
      <w:contextualSpacing/>
    </w:pPr>
  </w:style>
  <w:style w:type="paragraph" w:styleId="CommentSubject">
    <w:name w:val="annotation subject"/>
    <w:basedOn w:val="CommentText"/>
    <w:next w:val="CommentText"/>
    <w:link w:val="CommentSubjectChar"/>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ListBullet1">
    <w:name w:val="List Bullet 1"/>
    <w:basedOn w:val="Normal"/>
    <w:pPr>
      <w:numPr>
        <w:numId w:val="10"/>
      </w:numPr>
    </w:pPr>
  </w:style>
  <w:style w:type="paragraph" w:customStyle="1" w:styleId="ListDash">
    <w:name w:val="List Dash"/>
    <w:basedOn w:val="Normal"/>
    <w:pPr>
      <w:numPr>
        <w:numId w:val="11"/>
      </w:numPr>
    </w:pPr>
  </w:style>
  <w:style w:type="paragraph" w:customStyle="1" w:styleId="ListDash1">
    <w:name w:val="List Dash 1"/>
    <w:basedOn w:val="Normal"/>
    <w:pPr>
      <w:numPr>
        <w:numId w:val="12"/>
      </w:numPr>
    </w:pPr>
  </w:style>
  <w:style w:type="paragraph" w:customStyle="1" w:styleId="ListDash2">
    <w:name w:val="List Dash 2"/>
    <w:basedOn w:val="Normal"/>
    <w:pPr>
      <w:numPr>
        <w:numId w:val="13"/>
      </w:numPr>
    </w:pPr>
  </w:style>
  <w:style w:type="paragraph" w:customStyle="1" w:styleId="ListNumberLevel2">
    <w:name w:val="List Number (Level 2)"/>
    <w:basedOn w:val="Normal"/>
    <w:pPr>
      <w:tabs>
        <w:tab w:val="num" w:pos="1417"/>
      </w:tabs>
      <w:ind w:left="1417" w:hanging="708"/>
    </w:pPr>
  </w:style>
  <w:style w:type="paragraph" w:customStyle="1" w:styleId="ListNumberLevel3">
    <w:name w:val="List Number (Level 3)"/>
    <w:basedOn w:val="Normal"/>
    <w:pPr>
      <w:tabs>
        <w:tab w:val="num" w:pos="2126"/>
      </w:tabs>
      <w:ind w:left="2126" w:hanging="709"/>
    </w:pPr>
  </w:style>
  <w:style w:type="paragraph" w:customStyle="1" w:styleId="ListNumberLevel4">
    <w:name w:val="List Number (Level 4)"/>
    <w:basedOn w:val="Normal"/>
    <w:pPr>
      <w:tabs>
        <w:tab w:val="num" w:pos="2835"/>
      </w:tabs>
      <w:ind w:left="2835" w:hanging="709"/>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basedOn w:val="DefaultParagraphFont"/>
    <w:uiPriority w:val="39"/>
    <w:rPr>
      <w:rFonts w:ascii="Times New Roman" w:hAnsi="Times New Roman" w:cs="Times New Roman"/>
      <w:b/>
      <w:sz w:val="28"/>
      <w:lang w:val="ro-RO"/>
    </w:rPr>
  </w:style>
  <w:style w:type="character" w:customStyle="1" w:styleId="FooterCoverPageChar">
    <w:name w:val="Footer Cover Page Char"/>
    <w:basedOn w:val="TOCHeadingChar"/>
    <w:link w:val="FooterCoverPage"/>
    <w:rPr>
      <w:rFonts w:ascii="Times New Roman" w:hAnsi="Times New Roman" w:cs="Times New Roman"/>
      <w:b w:val="0"/>
      <w:sz w:val="24"/>
      <w:lang w:val="ro-RO"/>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TOCHeadingChar"/>
    <w:link w:val="HeaderCoverPage"/>
    <w:rPr>
      <w:rFonts w:ascii="Times New Roman" w:hAnsi="Times New Roman" w:cs="Times New Roman"/>
      <w:b w:val="0"/>
      <w:sz w:val="24"/>
      <w:lang w:val="ro-RO" w:eastAsia="ro-RO"/>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835442">
      <w:bodyDiv w:val="1"/>
      <w:marLeft w:val="0"/>
      <w:marRight w:val="0"/>
      <w:marTop w:val="0"/>
      <w:marBottom w:val="0"/>
      <w:divBdr>
        <w:top w:val="none" w:sz="0" w:space="0" w:color="auto"/>
        <w:left w:val="none" w:sz="0" w:space="0" w:color="auto"/>
        <w:bottom w:val="none" w:sz="0" w:space="0" w:color="auto"/>
        <w:right w:val="none" w:sz="0" w:space="0" w:color="auto"/>
      </w:divBdr>
    </w:div>
    <w:div w:id="909922137">
      <w:bodyDiv w:val="1"/>
      <w:marLeft w:val="0"/>
      <w:marRight w:val="0"/>
      <w:marTop w:val="0"/>
      <w:marBottom w:val="0"/>
      <w:divBdr>
        <w:top w:val="none" w:sz="0" w:space="0" w:color="auto"/>
        <w:left w:val="none" w:sz="0" w:space="0" w:color="auto"/>
        <w:bottom w:val="none" w:sz="0" w:space="0" w:color="auto"/>
        <w:right w:val="none" w:sz="0" w:space="0" w:color="auto"/>
      </w:divBdr>
    </w:div>
    <w:div w:id="1107970632">
      <w:bodyDiv w:val="1"/>
      <w:marLeft w:val="0"/>
      <w:marRight w:val="0"/>
      <w:marTop w:val="0"/>
      <w:marBottom w:val="0"/>
      <w:divBdr>
        <w:top w:val="none" w:sz="0" w:space="0" w:color="auto"/>
        <w:left w:val="none" w:sz="0" w:space="0" w:color="auto"/>
        <w:bottom w:val="none" w:sz="0" w:space="0" w:color="auto"/>
        <w:right w:val="none" w:sz="0" w:space="0" w:color="auto"/>
      </w:divBdr>
    </w:div>
    <w:div w:id="1344938254">
      <w:bodyDiv w:val="1"/>
      <w:marLeft w:val="0"/>
      <w:marRight w:val="0"/>
      <w:marTop w:val="0"/>
      <w:marBottom w:val="0"/>
      <w:divBdr>
        <w:top w:val="none" w:sz="0" w:space="0" w:color="auto"/>
        <w:left w:val="none" w:sz="0" w:space="0" w:color="auto"/>
        <w:bottom w:val="none" w:sz="0" w:space="0" w:color="auto"/>
        <w:right w:val="none" w:sz="0" w:space="0" w:color="auto"/>
      </w:divBdr>
    </w:div>
    <w:div w:id="1599363576">
      <w:bodyDiv w:val="1"/>
      <w:marLeft w:val="0"/>
      <w:marRight w:val="0"/>
      <w:marTop w:val="0"/>
      <w:marBottom w:val="0"/>
      <w:divBdr>
        <w:top w:val="none" w:sz="0" w:space="0" w:color="auto"/>
        <w:left w:val="none" w:sz="0" w:space="0" w:color="auto"/>
        <w:bottom w:val="none" w:sz="0" w:space="0" w:color="auto"/>
        <w:right w:val="none" w:sz="0" w:space="0" w:color="auto"/>
      </w:divBdr>
    </w:div>
    <w:div w:id="1819226502">
      <w:bodyDiv w:val="1"/>
      <w:marLeft w:val="0"/>
      <w:marRight w:val="0"/>
      <w:marTop w:val="0"/>
      <w:marBottom w:val="0"/>
      <w:divBdr>
        <w:top w:val="none" w:sz="0" w:space="0" w:color="auto"/>
        <w:left w:val="none" w:sz="0" w:space="0" w:color="auto"/>
        <w:bottom w:val="none" w:sz="0" w:space="0" w:color="auto"/>
        <w:right w:val="none" w:sz="0" w:space="0" w:color="auto"/>
      </w:divBdr>
    </w:div>
    <w:div w:id="204088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footer" Target="footer8.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myintracomm.ec.europa.eu/budgweb/EN/leg/internal/Documents/2016-5-legislative-financial-statement-ann-en.docx" TargetMode="External"/><Relationship Id="rId27" Type="http://schemas.openxmlformats.org/officeDocument/2006/relationships/header" Target="header6.xml"/><Relationship Id="rId30" Type="http://schemas.openxmlformats.org/officeDocument/2006/relationships/footer" Target="footer9.xml"/></Relationships>
</file>

<file path=word/_rels/footnotes.xml.rels><?xml version="1.0" encoding="UTF-8" standalone="yes"?>
<Relationships xmlns="http://schemas.openxmlformats.org/package/2006/relationships"><Relationship Id="rId2" Type="http://schemas.openxmlformats.org/officeDocument/2006/relationships/hyperlink" Target="https://myintracomm.ec.europa.eu/budgweb/EN/man/budgmanag/Pages/budgmanag.aspx" TargetMode="External"/><Relationship Id="rId1" Type="http://schemas.openxmlformats.org/officeDocument/2006/relationships/hyperlink" Target="https://ec.europa.eu/commission/sites/beta-political/files/draft_withdrawal_agreement_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Reference xmlns="25173920-bf43-43cc-9123-1897e847dfc2" xsi:nil="true"/>
    <_Status xmlns="http://schemas.microsoft.com/sharepoint/v3/fields">Not Started</_Status>
    <EC_Collab_Status xmlns="25173920-bf43-43cc-9123-1897e847dfc2">Not Started</EC_Collab_Status>
    <DG xmlns="25173920-bf43-43cc-9123-1897e847dfc2"/>
    <EC_Collab_DocumentLanguage xmlns="25173920-bf43-43cc-9123-1897e847dfc2">EN</EC_Collab_DocumentLanguage>
    <RelatedItem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D33D44CF0C8FEB45875F235DEEF2E1B9" ma:contentTypeVersion="7" ma:contentTypeDescription="Create a new document in this library." ma:contentTypeScope="" ma:versionID="0cb51d011d44aaa2f2f2559eb8aaf023">
  <xsd:schema xmlns:xsd="http://www.w3.org/2001/XMLSchema" xmlns:xs="http://www.w3.org/2001/XMLSchema" xmlns:p="http://schemas.microsoft.com/office/2006/metadata/properties" xmlns:ns1="http://schemas.microsoft.com/sharepoint/v3" xmlns:ns2="http://schemas.microsoft.com/sharepoint/v3/fields" xmlns:ns3="25173920-bf43-43cc-9123-1897e847dfc2" targetNamespace="http://schemas.microsoft.com/office/2006/metadata/properties" ma:root="true" ma:fieldsID="a931e117a4c2a292401c17c6d61581df" ns1:_="" ns2:_="" ns3:_="">
    <xsd:import namespace="http://schemas.microsoft.com/sharepoint/v3"/>
    <xsd:import namespace="http://schemas.microsoft.com/sharepoint/v3/fields"/>
    <xsd:import namespace="25173920-bf43-43cc-9123-1897e847dfc2"/>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1:RelatedItems" minOccurs="0"/>
                <xsd:element ref="ns3:DG"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16" nillable="true" ma:displayName="Related Items" ma:internalName="RelatedItems" ma:readOnly="false">
      <xsd:simpleType>
        <xsd:restriction base="dms:Not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5173920-bf43-43cc-9123-1897e847dfc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G" ma:index="17" nillable="true" ma:displayName="DG" ma:description="Associated DG(s)" ma:list="{a436e1b9-89ab-4a0f-bf89-77e0c01004af}" ma:internalName="DG"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EC Document</p:Name>
  <p:Description/>
  <p:Statement/>
  <p:PolicyItems>
    <p:PolicyItem featureId="Microsoft.Office.RecordsManagement.PolicyFeatures.PolicyAudit" staticId="0x010100258AA79CEB83498886A3A0868112325000D33D44CF0C8FEB45875F235DEEF2E1B9|8138272" UniqueId="82ebddaa-263f-44a4-b383-ae40ea096670">
      <p:Name>Auditing</p:Name>
      <p:Description>Audits user actions on documents and list items to the Audit Log.</p:Description>
      <p:CustomData>
        <Audit>
          <Update/>
          <View/>
          <CheckInOut/>
          <MoveCopy/>
          <DeleteRestore/>
        </Audit>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0B0AC-03B6-4A47-A2F9-041C46CC9DCE}">
  <ds:schemaRefs>
    <ds:schemaRef ds:uri="http://schemas.microsoft.com/sharepoint/v3/contenttype/forms"/>
  </ds:schemaRefs>
</ds:datastoreItem>
</file>

<file path=customXml/itemProps2.xml><?xml version="1.0" encoding="utf-8"?>
<ds:datastoreItem xmlns:ds="http://schemas.openxmlformats.org/officeDocument/2006/customXml" ds:itemID="{5E7B865B-36F0-4138-B199-ECE1D0A637C6}">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5173920-bf43-43cc-9123-1897e847dfc2"/>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71AF0D82-652B-49F8-AE82-E378CACF6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5173920-bf43-43cc-9123-1897e847d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EAE0B0-F058-49FE-8663-1102E71390BC}">
  <ds:schemaRefs>
    <ds:schemaRef ds:uri="office.server.policy"/>
  </ds:schemaRefs>
</ds:datastoreItem>
</file>

<file path=customXml/itemProps5.xml><?xml version="1.0" encoding="utf-8"?>
<ds:datastoreItem xmlns:ds="http://schemas.openxmlformats.org/officeDocument/2006/customXml" ds:itemID="{A9B62210-B6B2-4A81-854D-975F49DBD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13</Pages>
  <Words>3821</Words>
  <Characters>23005</Characters>
  <Application>Microsoft Office Word</Application>
  <DocSecurity>0</DocSecurity>
  <Lines>1210</Lines>
  <Paragraphs>400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2018-12-20T11:15:00Z</dcterms:created>
  <dcterms:modified xsi:type="dcterms:W3CDTF">2018-12-21T09:13:00Z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SJ-023</vt:lpwstr>
  </property>
  <property fmtid="{D5CDD505-2E9C-101B-9397-08002B2CF9AE}" pid="8" name="ContentTypeId">
    <vt:lpwstr>0x010100258AA79CEB83498886A3A0868112325000D33D44CF0C8FEB45875F235DEEF2E1B9</vt:lpwstr>
  </property>
  <property fmtid="{D5CDD505-2E9C-101B-9397-08002B2CF9AE}" pid="9" name="DQCStatus">
    <vt:lpwstr>Green (DQC version 03)</vt:lpwstr>
  </property>
</Properties>
</file>