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822" w:rsidRDefault="004324D5">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0123F3EF-DB3B-461F-80C2-1B51CCDF9645" style="width:451pt;height:348.2pt">
            <v:imagedata r:id="rId12" o:title=""/>
          </v:shape>
        </w:pict>
      </w:r>
    </w:p>
    <w:bookmarkEnd w:id="0"/>
    <w:p w:rsidR="00CD4822" w:rsidRDefault="00CD4822">
      <w:pPr>
        <w:jc w:val="both"/>
        <w:rPr>
          <w:noProof/>
        </w:rPr>
        <w:sectPr w:rsidR="00CD4822">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rsidR="00CD4822" w:rsidRDefault="00CD4822">
      <w:pPr>
        <w:jc w:val="right"/>
        <w:rPr>
          <w:rFonts w:ascii="Times New Roman" w:eastAsia="Times New Roman" w:hAnsi="Times New Roman"/>
          <w:i/>
          <w:noProof/>
          <w:sz w:val="24"/>
          <w:szCs w:val="24"/>
        </w:rPr>
      </w:pPr>
    </w:p>
    <w:p w:rsidR="00CD4822" w:rsidRDefault="004324D5">
      <w:pPr>
        <w:jc w:val="right"/>
        <w:rPr>
          <w:rFonts w:ascii="Times New Roman" w:eastAsia="Times New Roman" w:hAnsi="Times New Roman"/>
          <w:i/>
          <w:noProof/>
          <w:sz w:val="24"/>
          <w:szCs w:val="24"/>
          <w:highlight w:val="yellow"/>
        </w:rPr>
      </w:pPr>
      <w:r>
        <w:rPr>
          <w:rFonts w:ascii="Times New Roman" w:hAnsi="Times New Roman"/>
          <w:i/>
          <w:noProof/>
          <w:sz w:val="24"/>
        </w:rPr>
        <w:t xml:space="preserve">O Conselho Europeu apela à intensificação dos trabalhos de preparação, a todos os níveis, para as consequências da saída do Reino Unido, tendo em </w:t>
      </w:r>
      <w:r>
        <w:rPr>
          <w:rFonts w:ascii="Times New Roman" w:hAnsi="Times New Roman"/>
          <w:i/>
          <w:noProof/>
          <w:sz w:val="24"/>
        </w:rPr>
        <w:t>conta todos os desfechos possíveis</w:t>
      </w:r>
    </w:p>
    <w:p w:rsidR="00CD4822" w:rsidRDefault="004324D5">
      <w:pPr>
        <w:jc w:val="right"/>
        <w:rPr>
          <w:rFonts w:ascii="Times New Roman" w:eastAsia="Times New Roman" w:hAnsi="Times New Roman"/>
          <w:noProof/>
          <w:sz w:val="16"/>
          <w:szCs w:val="16"/>
        </w:rPr>
      </w:pPr>
      <w:r>
        <w:rPr>
          <w:rFonts w:ascii="Times New Roman" w:hAnsi="Times New Roman"/>
          <w:noProof/>
          <w:sz w:val="16"/>
        </w:rPr>
        <w:t>Conselho Europeu (artigo 50.º), 13 de dezembro de 2018</w:t>
      </w:r>
      <w:r>
        <w:rPr>
          <w:rStyle w:val="FootnoteReference"/>
          <w:rFonts w:ascii="Times New Roman" w:hAnsi="Times New Roman"/>
          <w:noProof/>
          <w:sz w:val="18"/>
        </w:rPr>
        <w:footnoteReference w:id="2"/>
      </w:r>
    </w:p>
    <w:p w:rsidR="00CD4822" w:rsidRDefault="004324D5">
      <w:pPr>
        <w:pStyle w:val="ListParagraph"/>
        <w:numPr>
          <w:ilvl w:val="0"/>
          <w:numId w:val="41"/>
        </w:numPr>
        <w:spacing w:before="600" w:after="200"/>
        <w:ind w:left="714" w:hanging="357"/>
        <w:contextualSpacing/>
        <w:jc w:val="both"/>
        <w:rPr>
          <w:rFonts w:ascii="Times New Roman" w:eastAsia="Times New Roman" w:hAnsi="Times New Roman"/>
          <w:b/>
          <w:noProof/>
          <w:sz w:val="24"/>
          <w:szCs w:val="24"/>
        </w:rPr>
      </w:pPr>
      <w:r>
        <w:rPr>
          <w:rFonts w:ascii="Times New Roman" w:hAnsi="Times New Roman"/>
          <w:b/>
          <w:noProof/>
          <w:sz w:val="24"/>
        </w:rPr>
        <w:t>Introdução</w:t>
      </w:r>
    </w:p>
    <w:p w:rsidR="00CD4822" w:rsidRDefault="004324D5">
      <w:pPr>
        <w:spacing w:after="200"/>
        <w:jc w:val="both"/>
        <w:rPr>
          <w:rFonts w:ascii="Times New Roman" w:hAnsi="Times New Roman"/>
          <w:noProof/>
          <w:sz w:val="24"/>
        </w:rPr>
      </w:pPr>
      <w:r>
        <w:rPr>
          <w:rFonts w:ascii="Times New Roman" w:hAnsi="Times New Roman"/>
          <w:noProof/>
          <w:sz w:val="24"/>
        </w:rPr>
        <w:t>O Reino Unido decidiu retirar</w:t>
      </w:r>
      <w:r>
        <w:rPr>
          <w:rFonts w:ascii="Times New Roman" w:hAnsi="Times New Roman"/>
          <w:noProof/>
          <w:sz w:val="24"/>
        </w:rPr>
        <w:noBreakHyphen/>
        <w:t>se da União Europeia, tendo invocado o artigo 50.º do Tratado da União Europeia. Esta decisão tornar</w:t>
      </w:r>
      <w:r>
        <w:rPr>
          <w:rFonts w:ascii="Times New Roman" w:hAnsi="Times New Roman"/>
          <w:noProof/>
          <w:sz w:val="24"/>
        </w:rPr>
        <w:noBreakHyphen/>
        <w:t>se</w:t>
      </w:r>
      <w:r>
        <w:rPr>
          <w:rFonts w:ascii="Times New Roman" w:hAnsi="Times New Roman"/>
          <w:noProof/>
          <w:sz w:val="24"/>
        </w:rPr>
        <w:noBreakHyphen/>
        <w:t>á efetiva em pouco m</w:t>
      </w:r>
      <w:r>
        <w:rPr>
          <w:rFonts w:ascii="Times New Roman" w:hAnsi="Times New Roman"/>
          <w:noProof/>
          <w:sz w:val="24"/>
        </w:rPr>
        <w:t>ais de 100 dias, a menos que seja revogada</w:t>
      </w:r>
      <w:r>
        <w:rPr>
          <w:rStyle w:val="FootnoteReference"/>
          <w:rFonts w:ascii="Times New Roman" w:hAnsi="Times New Roman"/>
          <w:noProof/>
        </w:rPr>
        <w:footnoteReference w:id="3"/>
      </w:r>
      <w:r>
        <w:rPr>
          <w:rFonts w:ascii="Times New Roman" w:hAnsi="Times New Roman"/>
          <w:noProof/>
          <w:sz w:val="24"/>
        </w:rPr>
        <w:t xml:space="preserve"> ou que o prazo seja prorrogado por unanimidade. A Comissão lamenta esta decisão, mas respeita</w:t>
      </w:r>
      <w:r>
        <w:rPr>
          <w:rFonts w:ascii="Times New Roman" w:hAnsi="Times New Roman"/>
          <w:noProof/>
          <w:sz w:val="24"/>
        </w:rPr>
        <w:noBreakHyphen/>
        <w:t>a. Conforme salientado na primeira comunicação da Comissão sobre a preparação para o Brexit, de 19 de julho de 2018</w:t>
      </w:r>
      <w:r>
        <w:rPr>
          <w:rStyle w:val="FootnoteReference"/>
          <w:rFonts w:ascii="Times New Roman" w:hAnsi="Times New Roman"/>
          <w:noProof/>
        </w:rPr>
        <w:footnoteReference w:id="4"/>
      </w:r>
      <w:r>
        <w:rPr>
          <w:rFonts w:ascii="Times New Roman" w:hAnsi="Times New Roman"/>
          <w:noProof/>
          <w:sz w:val="24"/>
        </w:rPr>
        <w:t xml:space="preserve">, </w:t>
      </w:r>
      <w:r>
        <w:rPr>
          <w:rFonts w:ascii="Times New Roman" w:hAnsi="Times New Roman"/>
          <w:noProof/>
          <w:sz w:val="24"/>
        </w:rPr>
        <w:t>qualquer que seja o cenário previsto, a opção do Reino Unido causará perturbações significativas.</w:t>
      </w:r>
      <w:r>
        <w:rPr>
          <w:noProof/>
        </w:rPr>
        <w:t xml:space="preserve"> </w:t>
      </w:r>
      <w:r>
        <w:rPr>
          <w:rFonts w:ascii="Times New Roman" w:hAnsi="Times New Roman"/>
          <w:noProof/>
          <w:sz w:val="24"/>
        </w:rPr>
        <w:t>Por conseguinte, a Comissão tem apelado reiteradamente aos cidadãos, às empresas e aos Estados</w:t>
      </w:r>
      <w:r>
        <w:rPr>
          <w:rFonts w:ascii="Times New Roman" w:hAnsi="Times New Roman"/>
          <w:noProof/>
          <w:sz w:val="24"/>
        </w:rPr>
        <w:noBreakHyphen/>
        <w:t>Membros da União Europeia para que se preparem para todos os ce</w:t>
      </w:r>
      <w:r>
        <w:rPr>
          <w:rFonts w:ascii="Times New Roman" w:hAnsi="Times New Roman"/>
          <w:noProof/>
          <w:sz w:val="24"/>
        </w:rPr>
        <w:t>nários possíveis, apreciem os pertinentes riscos e antecipem as suas reações, de modo a atenuar as consequências deles decorrentes.</w:t>
      </w:r>
    </w:p>
    <w:p w:rsidR="00CD4822" w:rsidRDefault="004324D5">
      <w:pPr>
        <w:spacing w:after="200"/>
        <w:jc w:val="both"/>
        <w:rPr>
          <w:rFonts w:ascii="Times New Roman" w:eastAsia="Times New Roman" w:hAnsi="Times New Roman"/>
          <w:noProof/>
          <w:sz w:val="24"/>
          <w:szCs w:val="24"/>
        </w:rPr>
      </w:pPr>
      <w:r>
        <w:rPr>
          <w:rFonts w:ascii="Times New Roman" w:hAnsi="Times New Roman"/>
          <w:noProof/>
          <w:sz w:val="24"/>
        </w:rPr>
        <w:t>Em 13 de novembro de 2018, na sua segunda comunicação sobre a preparação para o Brexit</w:t>
      </w:r>
      <w:r>
        <w:rPr>
          <w:rStyle w:val="FootnoteReference"/>
          <w:rFonts w:ascii="Times New Roman" w:hAnsi="Times New Roman"/>
          <w:noProof/>
        </w:rPr>
        <w:footnoteReference w:id="5"/>
      </w:r>
      <w:r>
        <w:rPr>
          <w:rFonts w:ascii="Times New Roman" w:hAnsi="Times New Roman"/>
          <w:noProof/>
          <w:sz w:val="24"/>
        </w:rPr>
        <w:t xml:space="preserve">, a Comissão lançou um Plano de Ação </w:t>
      </w:r>
      <w:r>
        <w:rPr>
          <w:rFonts w:ascii="Times New Roman" w:hAnsi="Times New Roman"/>
          <w:noProof/>
          <w:sz w:val="24"/>
        </w:rPr>
        <w:t>de Contingência. As medidas de contingência anunciadas no plano de ação são medidas unilaterais de limitação de danos e só poderão atenuar as consequências mais gravosas de uma saída sem acordo. Em 14 de novembro de 2018, os negociadores da Comissão e do R</w:t>
      </w:r>
      <w:r>
        <w:rPr>
          <w:rFonts w:ascii="Times New Roman" w:hAnsi="Times New Roman"/>
          <w:noProof/>
          <w:sz w:val="24"/>
        </w:rPr>
        <w:t>eino Unido acordaram nas modalidades do acordo de saída do Reino Unido</w:t>
      </w:r>
      <w:r>
        <w:rPr>
          <w:rStyle w:val="FootnoteReference"/>
          <w:rFonts w:ascii="Times New Roman" w:hAnsi="Times New Roman"/>
          <w:noProof/>
        </w:rPr>
        <w:footnoteReference w:id="6"/>
      </w:r>
      <w:r>
        <w:rPr>
          <w:rFonts w:ascii="Times New Roman" w:hAnsi="Times New Roman"/>
          <w:noProof/>
          <w:sz w:val="24"/>
        </w:rPr>
        <w:t>.</w:t>
      </w:r>
      <w:r>
        <w:rPr>
          <w:rFonts w:ascii="Verdana" w:hAnsi="Verdana"/>
          <w:noProof/>
          <w:color w:val="000000"/>
          <w:sz w:val="20"/>
        </w:rPr>
        <w:t xml:space="preserve"> </w:t>
      </w:r>
      <w:r>
        <w:rPr>
          <w:rFonts w:ascii="Times New Roman" w:hAnsi="Times New Roman"/>
          <w:noProof/>
          <w:sz w:val="24"/>
        </w:rPr>
        <w:t>Em 22 de novembro de 2018, a Comissão aprovou o acordo de saída definitivo</w:t>
      </w:r>
      <w:r>
        <w:rPr>
          <w:rStyle w:val="FootnoteReference"/>
          <w:rFonts w:ascii="Times New Roman" w:hAnsi="Times New Roman"/>
          <w:noProof/>
        </w:rPr>
        <w:footnoteReference w:id="7"/>
      </w:r>
      <w:r>
        <w:rPr>
          <w:rFonts w:ascii="Times New Roman" w:hAnsi="Times New Roman"/>
          <w:noProof/>
          <w:sz w:val="24"/>
        </w:rPr>
        <w:t xml:space="preserve">. Em 25 de novembro de 2018, o Conselho Europeu (artigo 50.º) aprovou o acordo de saída do Reino Unido e, a </w:t>
      </w:r>
      <w:r>
        <w:rPr>
          <w:rFonts w:ascii="Times New Roman" w:hAnsi="Times New Roman"/>
          <w:noProof/>
          <w:sz w:val="24"/>
        </w:rPr>
        <w:t>fim de assegurar uma saída ordenada</w:t>
      </w:r>
      <w:r>
        <w:rPr>
          <w:rStyle w:val="FootnoteReference"/>
          <w:rFonts w:ascii="Times New Roman" w:hAnsi="Times New Roman"/>
          <w:noProof/>
        </w:rPr>
        <w:footnoteReference w:id="8"/>
      </w:r>
      <w:r>
        <w:rPr>
          <w:rFonts w:ascii="Times New Roman" w:hAnsi="Times New Roman"/>
          <w:noProof/>
          <w:sz w:val="24"/>
        </w:rPr>
        <w:t>, convidou a Comissão, o Parlamento Europeu e o Conselho a tomarem as medidas necessárias para que aquele possa entrar em vigor em 30 de março de 2019.</w:t>
      </w:r>
    </w:p>
    <w:p w:rsidR="00CD4822" w:rsidRDefault="004324D5">
      <w:pPr>
        <w:spacing w:after="200"/>
        <w:jc w:val="both"/>
        <w:rPr>
          <w:rFonts w:ascii="Times New Roman" w:hAnsi="Times New Roman"/>
          <w:noProof/>
          <w:sz w:val="24"/>
        </w:rPr>
      </w:pPr>
      <w:r>
        <w:rPr>
          <w:rFonts w:ascii="Times New Roman" w:hAnsi="Times New Roman"/>
          <w:noProof/>
          <w:sz w:val="24"/>
        </w:rPr>
        <w:t>Em 5 de dezembro de 2018, a Comissão adotou duas propostas de decisõ</w:t>
      </w:r>
      <w:r>
        <w:rPr>
          <w:rFonts w:ascii="Times New Roman" w:hAnsi="Times New Roman"/>
          <w:noProof/>
          <w:sz w:val="24"/>
        </w:rPr>
        <w:t xml:space="preserve">es do Conselho relativas à assinatura e à celebração do acordo de saída, com vista a permitir a celebração e a ratificação, do lado da UE, nas próximas semanas. O Conselho Europeu (artigo 50.º) de 13 de dezembro de 2018 confirmou a sua aprovação do acordo </w:t>
      </w:r>
      <w:r>
        <w:rPr>
          <w:rFonts w:ascii="Times New Roman" w:hAnsi="Times New Roman"/>
          <w:noProof/>
          <w:sz w:val="24"/>
        </w:rPr>
        <w:t>de saída e a sua intenção de avançar com a ratificação. O acordo de saída terá de ser ratificado pelo Reino Unido, em conformidade com as suas normas constitucionais. A ratificação do acordo de saída por ambas as partes continua a ser um objetivo e uma pri</w:t>
      </w:r>
      <w:r>
        <w:rPr>
          <w:rFonts w:ascii="Times New Roman" w:hAnsi="Times New Roman"/>
          <w:noProof/>
          <w:sz w:val="24"/>
        </w:rPr>
        <w:t>oridade da Comissão.</w:t>
      </w:r>
    </w:p>
    <w:p w:rsidR="00CD4822" w:rsidRDefault="004324D5">
      <w:pPr>
        <w:jc w:val="both"/>
        <w:rPr>
          <w:rFonts w:ascii="Verdana" w:eastAsia="Times New Roman" w:hAnsi="Verdana"/>
          <w:noProof/>
          <w:color w:val="000000"/>
          <w:shd w:val="clear" w:color="auto" w:fill="FFFFFF"/>
        </w:rPr>
      </w:pPr>
      <w:r>
        <w:rPr>
          <w:rFonts w:ascii="Times New Roman" w:hAnsi="Times New Roman"/>
          <w:noProof/>
          <w:sz w:val="24"/>
        </w:rPr>
        <w:lastRenderedPageBreak/>
        <w:t xml:space="preserve">O Conselho Europeu (artigo 50.º) de 13 de dezembro de 2018 apelou ainda à intensificação dos trabalhos de preparação, a todos os níveis, para as consequências da saída do Reino Unido e para todos os desfechos possíveis. A presente </w:t>
      </w:r>
      <w:r>
        <w:rPr>
          <w:rFonts w:ascii="Times New Roman" w:hAnsi="Times New Roman"/>
          <w:noProof/>
          <w:sz w:val="24"/>
        </w:rPr>
        <w:t>comunicação explica as medidas que a Comissão adotou hoje, dia 19 de dezembro de 2018, para o efeito, juntamente com outros passos decisivos para a aplicação do seu Plano de Ação de Contingência.</w:t>
      </w:r>
    </w:p>
    <w:p w:rsidR="00CD4822" w:rsidRDefault="004324D5">
      <w:pPr>
        <w:pStyle w:val="ListParagraph"/>
        <w:keepNext/>
        <w:numPr>
          <w:ilvl w:val="0"/>
          <w:numId w:val="41"/>
        </w:numPr>
        <w:spacing w:before="480" w:after="240"/>
        <w:ind w:left="714" w:hanging="357"/>
        <w:jc w:val="both"/>
        <w:rPr>
          <w:rFonts w:ascii="Times New Roman" w:eastAsia="Times New Roman" w:hAnsi="Times New Roman"/>
          <w:b/>
          <w:noProof/>
          <w:sz w:val="24"/>
          <w:szCs w:val="24"/>
        </w:rPr>
      </w:pPr>
      <w:r>
        <w:rPr>
          <w:rFonts w:ascii="Times New Roman" w:hAnsi="Times New Roman"/>
          <w:b/>
          <w:noProof/>
          <w:sz w:val="24"/>
        </w:rPr>
        <w:t>Plano de Ação de Contingência da Comissão</w:t>
      </w:r>
    </w:p>
    <w:p w:rsidR="00CD4822" w:rsidRDefault="004324D5">
      <w:pPr>
        <w:spacing w:after="200"/>
        <w:jc w:val="both"/>
        <w:rPr>
          <w:rFonts w:ascii="Times New Roman" w:eastAsia="Times New Roman" w:hAnsi="Times New Roman"/>
          <w:noProof/>
          <w:sz w:val="24"/>
          <w:szCs w:val="24"/>
        </w:rPr>
      </w:pPr>
      <w:r>
        <w:rPr>
          <w:rFonts w:ascii="Times New Roman" w:hAnsi="Times New Roman"/>
          <w:noProof/>
          <w:sz w:val="24"/>
        </w:rPr>
        <w:t>Dada a contínua in</w:t>
      </w:r>
      <w:r>
        <w:rPr>
          <w:rFonts w:ascii="Times New Roman" w:hAnsi="Times New Roman"/>
          <w:noProof/>
          <w:sz w:val="24"/>
        </w:rPr>
        <w:t>certeza que rodeia o processo de ratificação por parte do Reino Unido, e em consonância com as conclusões do Conselho Europeu (artigo 50.º) de 13 de dezembro, a Comissão está a avançar urgentemente com a aplicação do Plano de Ação de Contingência, tendo ho</w:t>
      </w:r>
      <w:r>
        <w:rPr>
          <w:rFonts w:ascii="Times New Roman" w:hAnsi="Times New Roman"/>
          <w:noProof/>
          <w:sz w:val="24"/>
        </w:rPr>
        <w:t>je adotado todas as propostas legislativas e atos delegados que nele anunciou</w:t>
      </w:r>
      <w:r>
        <w:rPr>
          <w:rStyle w:val="FootnoteReference"/>
          <w:rFonts w:ascii="Times New Roman" w:hAnsi="Times New Roman"/>
          <w:noProof/>
        </w:rPr>
        <w:footnoteReference w:id="9"/>
      </w:r>
      <w:r>
        <w:rPr>
          <w:rFonts w:ascii="Times New Roman" w:hAnsi="Times New Roman"/>
          <w:noProof/>
          <w:sz w:val="24"/>
        </w:rPr>
        <w:t>. Os projetos de atos de execução que anunciou estarão prontos até 15 de fevereiro de 2019, para permitir a votação nas comissões competentes em tempo útil.</w:t>
      </w:r>
    </w:p>
    <w:p w:rsidR="00CD4822" w:rsidRDefault="004324D5">
      <w:pPr>
        <w:spacing w:before="360" w:after="200"/>
        <w:contextualSpacing/>
        <w:jc w:val="both"/>
        <w:rPr>
          <w:rFonts w:ascii="Times New Roman" w:eastAsia="Times New Roman" w:hAnsi="Times New Roman"/>
          <w:noProof/>
          <w:sz w:val="24"/>
          <w:szCs w:val="24"/>
        </w:rPr>
      </w:pPr>
      <w:r>
        <w:rPr>
          <w:rFonts w:ascii="Times New Roman" w:hAnsi="Times New Roman"/>
          <w:noProof/>
          <w:sz w:val="24"/>
        </w:rPr>
        <w:t>Paralelamente, a Comi</w:t>
      </w:r>
      <w:r>
        <w:rPr>
          <w:rFonts w:ascii="Times New Roman" w:hAnsi="Times New Roman"/>
          <w:noProof/>
          <w:sz w:val="24"/>
        </w:rPr>
        <w:t>ssão continuou a colaborar estreitamente com os Estados</w:t>
      </w:r>
      <w:r>
        <w:rPr>
          <w:rFonts w:ascii="Times New Roman" w:hAnsi="Times New Roman"/>
          <w:noProof/>
          <w:sz w:val="24"/>
        </w:rPr>
        <w:noBreakHyphen/>
        <w:t>Membros para coordenar a planificação nos planos da UE e nacional. O pacote de medidas adotadas pela Comissão e descritas na presente comunicação tem em conta os debates com os Estados</w:t>
      </w:r>
      <w:r>
        <w:rPr>
          <w:rFonts w:ascii="Times New Roman" w:hAnsi="Times New Roman"/>
          <w:noProof/>
          <w:sz w:val="24"/>
        </w:rPr>
        <w:noBreakHyphen/>
        <w:t>Membros</w:t>
      </w:r>
      <w:r>
        <w:rPr>
          <w:rStyle w:val="FootnoteReference"/>
          <w:rFonts w:ascii="Times New Roman" w:hAnsi="Times New Roman"/>
          <w:noProof/>
        </w:rPr>
        <w:footnoteReference w:id="10"/>
      </w:r>
      <w:r>
        <w:rPr>
          <w:rFonts w:ascii="Times New Roman" w:hAnsi="Times New Roman"/>
          <w:noProof/>
          <w:sz w:val="24"/>
        </w:rPr>
        <w:t xml:space="preserve">. Esta </w:t>
      </w:r>
      <w:r>
        <w:rPr>
          <w:rFonts w:ascii="Times New Roman" w:hAnsi="Times New Roman"/>
          <w:noProof/>
          <w:sz w:val="24"/>
        </w:rPr>
        <w:t>ação vem somar</w:t>
      </w:r>
      <w:r>
        <w:rPr>
          <w:rFonts w:ascii="Times New Roman" w:hAnsi="Times New Roman"/>
          <w:noProof/>
          <w:sz w:val="24"/>
        </w:rPr>
        <w:noBreakHyphen/>
        <w:t>se às medidas de preparação já tomadas, enunciadas na segunda comunicação sobre a preparação.</w:t>
      </w:r>
    </w:p>
    <w:p w:rsidR="00CD4822" w:rsidRDefault="00CD4822">
      <w:pPr>
        <w:spacing w:before="360" w:after="200"/>
        <w:contextualSpacing/>
        <w:jc w:val="both"/>
        <w:rPr>
          <w:rFonts w:ascii="Times New Roman" w:eastAsia="Times New Roman" w:hAnsi="Times New Roman"/>
          <w:noProof/>
          <w:sz w:val="24"/>
          <w:szCs w:val="24"/>
        </w:rPr>
      </w:pPr>
    </w:p>
    <w:p w:rsidR="00CD4822" w:rsidRDefault="004324D5">
      <w:pPr>
        <w:spacing w:before="360" w:after="200"/>
        <w:contextualSpacing/>
        <w:jc w:val="both"/>
        <w:rPr>
          <w:rFonts w:ascii="Times New Roman" w:hAnsi="Times New Roman"/>
          <w:noProof/>
          <w:sz w:val="24"/>
        </w:rPr>
      </w:pPr>
      <w:r>
        <w:rPr>
          <w:rFonts w:ascii="Times New Roman" w:hAnsi="Times New Roman"/>
          <w:noProof/>
          <w:sz w:val="24"/>
        </w:rPr>
        <w:t>A Comissão convida o Parlamento Europeu e o Conselho a adotar estas propostas com urgência. Os Estados</w:t>
      </w:r>
      <w:r>
        <w:rPr>
          <w:rFonts w:ascii="Times New Roman" w:hAnsi="Times New Roman"/>
          <w:noProof/>
          <w:sz w:val="24"/>
        </w:rPr>
        <w:noBreakHyphen/>
        <w:t>Membros devem acelerar os seus trabalhos de</w:t>
      </w:r>
      <w:r>
        <w:rPr>
          <w:rFonts w:ascii="Times New Roman" w:hAnsi="Times New Roman"/>
          <w:noProof/>
          <w:sz w:val="24"/>
        </w:rPr>
        <w:t xml:space="preserve"> preparação para todos os cenários da saída do Reino Unido.</w:t>
      </w:r>
    </w:p>
    <w:p w:rsidR="00CD4822" w:rsidRDefault="00CD4822">
      <w:pPr>
        <w:spacing w:before="360" w:after="200"/>
        <w:contextualSpacing/>
        <w:jc w:val="both"/>
        <w:rPr>
          <w:rFonts w:ascii="Times New Roman" w:eastAsia="Times New Roman" w:hAnsi="Times New Roman"/>
          <w:noProof/>
          <w:sz w:val="24"/>
          <w:szCs w:val="24"/>
        </w:rPr>
      </w:pPr>
    </w:p>
    <w:p w:rsidR="00CD4822" w:rsidRDefault="004324D5">
      <w:pPr>
        <w:spacing w:before="360" w:after="200"/>
        <w:contextualSpacing/>
        <w:jc w:val="both"/>
        <w:rPr>
          <w:rFonts w:ascii="Times New Roman" w:hAnsi="Times New Roman"/>
          <w:noProof/>
          <w:sz w:val="24"/>
        </w:rPr>
      </w:pPr>
      <w:r>
        <w:rPr>
          <w:rFonts w:ascii="Times New Roman" w:hAnsi="Times New Roman"/>
          <w:noProof/>
          <w:sz w:val="24"/>
        </w:rPr>
        <w:t>A Comissão pede ainda aos Estados</w:t>
      </w:r>
      <w:r>
        <w:rPr>
          <w:rFonts w:ascii="Times New Roman" w:hAnsi="Times New Roman"/>
          <w:noProof/>
          <w:sz w:val="24"/>
        </w:rPr>
        <w:noBreakHyphen/>
        <w:t>Membros que se abstenham de se envolverem em acordos, convénios e discussões bilaterais com o Reino Unido. Fazê</w:t>
      </w:r>
      <w:r>
        <w:rPr>
          <w:rFonts w:ascii="Times New Roman" w:hAnsi="Times New Roman"/>
          <w:noProof/>
          <w:sz w:val="24"/>
        </w:rPr>
        <w:noBreakHyphen/>
        <w:t>lo comprometeria o processo de ratificação, na ma</w:t>
      </w:r>
      <w:r>
        <w:rPr>
          <w:rFonts w:ascii="Times New Roman" w:hAnsi="Times New Roman"/>
          <w:noProof/>
          <w:sz w:val="24"/>
        </w:rPr>
        <w:t>ioria dos casos não seria compatível com o direito da União e acarretaria o risco de criar condições de concorrência desiguais entre os Estados</w:t>
      </w:r>
      <w:r>
        <w:rPr>
          <w:rFonts w:ascii="Times New Roman" w:hAnsi="Times New Roman"/>
          <w:noProof/>
          <w:sz w:val="24"/>
        </w:rPr>
        <w:noBreakHyphen/>
        <w:t>Membros, além de tornar mais complexas as futuras negociações da União sobre uma nova parceria com o Reino Unido</w:t>
      </w:r>
      <w:r>
        <w:rPr>
          <w:rFonts w:ascii="Times New Roman" w:hAnsi="Times New Roman"/>
          <w:noProof/>
          <w:sz w:val="24"/>
        </w:rPr>
        <w:t>. Como no caso do acordo de saída, é essencial continuar a abordar de forma coesa o trabalho de preparação e de contingência.</w:t>
      </w:r>
    </w:p>
    <w:p w:rsidR="00CD4822" w:rsidRDefault="004324D5">
      <w:pPr>
        <w:pStyle w:val="NormalWeb"/>
        <w:keepNext/>
        <w:numPr>
          <w:ilvl w:val="0"/>
          <w:numId w:val="41"/>
        </w:numPr>
        <w:spacing w:before="480" w:after="240"/>
        <w:ind w:left="714" w:hanging="357"/>
        <w:jc w:val="both"/>
        <w:rPr>
          <w:b/>
          <w:noProof/>
        </w:rPr>
      </w:pPr>
      <w:r>
        <w:rPr>
          <w:b/>
          <w:noProof/>
        </w:rPr>
        <w:t>O que pode ser feito</w:t>
      </w:r>
    </w:p>
    <w:p w:rsidR="00CD4822" w:rsidRDefault="004324D5">
      <w:pPr>
        <w:spacing w:after="200"/>
        <w:contextualSpacing/>
        <w:jc w:val="both"/>
        <w:rPr>
          <w:rFonts w:ascii="Times New Roman" w:eastAsia="Times New Roman" w:hAnsi="Times New Roman"/>
          <w:noProof/>
          <w:sz w:val="24"/>
          <w:szCs w:val="24"/>
        </w:rPr>
      </w:pPr>
      <w:r>
        <w:rPr>
          <w:rFonts w:ascii="Times New Roman" w:hAnsi="Times New Roman"/>
          <w:noProof/>
          <w:sz w:val="24"/>
        </w:rPr>
        <w:t>Como indicado na segunda comunicação sobre a preparação para o Brexit, as medidas de contingência</w:t>
      </w:r>
      <w:r>
        <w:rPr>
          <w:rStyle w:val="FootnoteReference"/>
          <w:rFonts w:ascii="Times New Roman" w:hAnsi="Times New Roman"/>
          <w:noProof/>
        </w:rPr>
        <w:footnoteReference w:id="11"/>
      </w:r>
      <w:r>
        <w:rPr>
          <w:rFonts w:ascii="Times New Roman" w:hAnsi="Times New Roman"/>
          <w:noProof/>
          <w:sz w:val="24"/>
        </w:rPr>
        <w:t xml:space="preserve"> adotadas a</w:t>
      </w:r>
      <w:r>
        <w:rPr>
          <w:rFonts w:ascii="Times New Roman" w:hAnsi="Times New Roman"/>
          <w:noProof/>
          <w:sz w:val="24"/>
        </w:rPr>
        <w:t xml:space="preserve"> todos os níveis devem respeitar os seguintes princípios:</w:t>
      </w:r>
    </w:p>
    <w:p w:rsidR="00CD4822" w:rsidRDefault="004324D5">
      <w:pPr>
        <w:pStyle w:val="ListParagraph"/>
        <w:numPr>
          <w:ilvl w:val="0"/>
          <w:numId w:val="39"/>
        </w:numPr>
        <w:spacing w:before="360" w:after="200"/>
        <w:contextualSpacing/>
        <w:jc w:val="both"/>
        <w:rPr>
          <w:rFonts w:ascii="Times New Roman" w:eastAsia="Times New Roman" w:hAnsi="Times New Roman"/>
          <w:noProof/>
          <w:sz w:val="24"/>
          <w:szCs w:val="24"/>
        </w:rPr>
      </w:pPr>
      <w:r>
        <w:rPr>
          <w:rFonts w:ascii="Times New Roman" w:hAnsi="Times New Roman"/>
          <w:noProof/>
          <w:sz w:val="24"/>
        </w:rPr>
        <w:t>As medidas de contingência não devem reproduzir os benefícios da adesão à União nem os termos de qualquer período de transição previstos no projeto do acordo de saída;</w:t>
      </w:r>
    </w:p>
    <w:p w:rsidR="00CD4822" w:rsidRDefault="004324D5">
      <w:pPr>
        <w:pStyle w:val="ListParagraph"/>
        <w:numPr>
          <w:ilvl w:val="0"/>
          <w:numId w:val="39"/>
        </w:numPr>
        <w:spacing w:before="360" w:after="200"/>
        <w:contextualSpacing/>
        <w:jc w:val="both"/>
        <w:rPr>
          <w:rFonts w:ascii="Times New Roman" w:eastAsia="Times New Roman" w:hAnsi="Times New Roman"/>
          <w:noProof/>
          <w:sz w:val="24"/>
          <w:szCs w:val="24"/>
        </w:rPr>
      </w:pPr>
      <w:r>
        <w:rPr>
          <w:rFonts w:ascii="Times New Roman" w:hAnsi="Times New Roman"/>
          <w:noProof/>
          <w:sz w:val="24"/>
        </w:rPr>
        <w:t xml:space="preserve">Devem ter caráter temporário. </w:t>
      </w:r>
      <w:r>
        <w:rPr>
          <w:rFonts w:ascii="Times New Roman" w:hAnsi="Times New Roman"/>
          <w:noProof/>
          <w:sz w:val="24"/>
        </w:rPr>
        <w:t>Relativamente às medidas hoje adotadas, a Comissão propôs, nos casos necessários, limites de tempo em função da situação específica no setor em causa;</w:t>
      </w:r>
    </w:p>
    <w:p w:rsidR="00CD4822" w:rsidRDefault="004324D5">
      <w:pPr>
        <w:pStyle w:val="ListParagraph"/>
        <w:numPr>
          <w:ilvl w:val="0"/>
          <w:numId w:val="39"/>
        </w:numPr>
        <w:spacing w:before="360" w:after="200"/>
        <w:contextualSpacing/>
        <w:jc w:val="both"/>
        <w:rPr>
          <w:rFonts w:ascii="Times New Roman" w:hAnsi="Times New Roman"/>
          <w:noProof/>
          <w:sz w:val="24"/>
        </w:rPr>
      </w:pPr>
      <w:r>
        <w:rPr>
          <w:rFonts w:ascii="Times New Roman" w:hAnsi="Times New Roman"/>
          <w:noProof/>
          <w:sz w:val="24"/>
        </w:rPr>
        <w:t>Devem ser adotadas unilateralmente pela União Europeia, na prossecução dos seus interesses, e ser revogáv</w:t>
      </w:r>
      <w:r>
        <w:rPr>
          <w:rFonts w:ascii="Times New Roman" w:hAnsi="Times New Roman"/>
          <w:noProof/>
          <w:sz w:val="24"/>
        </w:rPr>
        <w:t>eis a todo o tempo;</w:t>
      </w:r>
    </w:p>
    <w:p w:rsidR="00CD4822" w:rsidRDefault="004324D5">
      <w:pPr>
        <w:pStyle w:val="ListParagraph"/>
        <w:numPr>
          <w:ilvl w:val="0"/>
          <w:numId w:val="39"/>
        </w:numPr>
        <w:spacing w:before="360" w:after="200"/>
        <w:contextualSpacing/>
        <w:jc w:val="both"/>
        <w:rPr>
          <w:rFonts w:ascii="Times New Roman" w:eastAsia="Times New Roman" w:hAnsi="Times New Roman"/>
          <w:noProof/>
          <w:sz w:val="24"/>
          <w:szCs w:val="24"/>
        </w:rPr>
      </w:pPr>
      <w:r>
        <w:rPr>
          <w:rFonts w:ascii="Times New Roman" w:hAnsi="Times New Roman"/>
          <w:noProof/>
          <w:sz w:val="24"/>
        </w:rPr>
        <w:t>Devem respeitar a repartição de competências estabelecida nos Tratados;</w:t>
      </w:r>
    </w:p>
    <w:p w:rsidR="00CD4822" w:rsidRDefault="004324D5">
      <w:pPr>
        <w:pStyle w:val="ListParagraph"/>
        <w:numPr>
          <w:ilvl w:val="0"/>
          <w:numId w:val="39"/>
        </w:numPr>
        <w:spacing w:before="360" w:after="200"/>
        <w:contextualSpacing/>
        <w:jc w:val="both"/>
        <w:rPr>
          <w:rFonts w:ascii="Times New Roman" w:eastAsia="Times New Roman" w:hAnsi="Times New Roman"/>
          <w:noProof/>
          <w:sz w:val="24"/>
          <w:szCs w:val="24"/>
        </w:rPr>
      </w:pPr>
      <w:r>
        <w:rPr>
          <w:rFonts w:ascii="Times New Roman" w:hAnsi="Times New Roman"/>
          <w:noProof/>
          <w:sz w:val="24"/>
        </w:rPr>
        <w:t>As medidas nacionais de contingência devem ser compatíveis com o direito da União;</w:t>
      </w:r>
    </w:p>
    <w:p w:rsidR="00CD4822" w:rsidRDefault="004324D5">
      <w:pPr>
        <w:pStyle w:val="ListParagraph"/>
        <w:numPr>
          <w:ilvl w:val="0"/>
          <w:numId w:val="39"/>
        </w:numPr>
        <w:spacing w:before="360" w:after="200"/>
        <w:contextualSpacing/>
        <w:jc w:val="both"/>
        <w:rPr>
          <w:rFonts w:ascii="Times New Roman" w:eastAsia="Times New Roman" w:hAnsi="Times New Roman"/>
          <w:noProof/>
          <w:sz w:val="24"/>
          <w:szCs w:val="24"/>
        </w:rPr>
      </w:pPr>
      <w:r>
        <w:rPr>
          <w:rFonts w:ascii="Times New Roman" w:hAnsi="Times New Roman"/>
          <w:noProof/>
          <w:sz w:val="24"/>
        </w:rPr>
        <w:t>Não devem compensar os atrasos que poderiam ter sido evitados com a tomada tempes</w:t>
      </w:r>
      <w:r>
        <w:rPr>
          <w:rFonts w:ascii="Times New Roman" w:hAnsi="Times New Roman"/>
          <w:noProof/>
          <w:sz w:val="24"/>
        </w:rPr>
        <w:t>tiva de medidas de preparação pelas partes interessadas.</w:t>
      </w:r>
    </w:p>
    <w:p w:rsidR="00CD4822" w:rsidRDefault="004324D5">
      <w:pPr>
        <w:spacing w:before="360" w:after="200"/>
        <w:contextualSpacing/>
        <w:jc w:val="both"/>
        <w:rPr>
          <w:rFonts w:ascii="Times New Roman" w:hAnsi="Times New Roman"/>
          <w:noProof/>
          <w:sz w:val="24"/>
        </w:rPr>
      </w:pPr>
      <w:r>
        <w:rPr>
          <w:rFonts w:ascii="Times New Roman" w:hAnsi="Times New Roman"/>
          <w:noProof/>
          <w:sz w:val="24"/>
        </w:rPr>
        <w:t>Por força do artigo 355.º, n.º 3, do TFUE e na medida prevista no Ato de Adesão do Reino Unido às Comunidades Europeias, de 1972, o direito da União é aplicável a Gibraltar enquanto território europe</w:t>
      </w:r>
      <w:r>
        <w:rPr>
          <w:rFonts w:ascii="Times New Roman" w:hAnsi="Times New Roman"/>
          <w:noProof/>
          <w:sz w:val="24"/>
        </w:rPr>
        <w:t>u por cujas relações externas é responsável um Estado</w:t>
      </w:r>
      <w:r>
        <w:rPr>
          <w:rFonts w:ascii="Times New Roman" w:hAnsi="Times New Roman"/>
          <w:noProof/>
          <w:sz w:val="24"/>
        </w:rPr>
        <w:noBreakHyphen/>
        <w:t>Membro. O artigo 355.º, n.º 3, do TFUE deixará de ser aplicável a Gibraltar quando o Reino Unido deixar de ser Estado</w:t>
      </w:r>
      <w:r>
        <w:rPr>
          <w:rFonts w:ascii="Times New Roman" w:hAnsi="Times New Roman"/>
          <w:noProof/>
          <w:sz w:val="24"/>
        </w:rPr>
        <w:noBreakHyphen/>
        <w:t>Membro. Em consequência, as medidas de contingência não se aplicarão a Gibraltar.</w:t>
      </w:r>
    </w:p>
    <w:p w:rsidR="00CD4822" w:rsidRDefault="004324D5">
      <w:pPr>
        <w:pStyle w:val="ListParagraph"/>
        <w:keepNext/>
        <w:numPr>
          <w:ilvl w:val="0"/>
          <w:numId w:val="41"/>
        </w:numPr>
        <w:spacing w:before="480" w:after="240"/>
        <w:ind w:left="714" w:hanging="357"/>
        <w:jc w:val="both"/>
        <w:rPr>
          <w:rFonts w:ascii="Times New Roman" w:hAnsi="Times New Roman"/>
          <w:b/>
          <w:noProof/>
          <w:sz w:val="24"/>
        </w:rPr>
      </w:pPr>
      <w:r>
        <w:rPr>
          <w:rFonts w:ascii="Times New Roman" w:hAnsi="Times New Roman"/>
          <w:b/>
          <w:noProof/>
          <w:sz w:val="24"/>
        </w:rPr>
        <w:t>Ci</w:t>
      </w:r>
      <w:r>
        <w:rPr>
          <w:rFonts w:ascii="Times New Roman" w:hAnsi="Times New Roman"/>
          <w:b/>
          <w:noProof/>
          <w:sz w:val="24"/>
        </w:rPr>
        <w:t>dadãos</w:t>
      </w:r>
    </w:p>
    <w:p w:rsidR="00CD4822" w:rsidRDefault="004324D5">
      <w:pPr>
        <w:spacing w:before="240" w:after="120"/>
        <w:jc w:val="both"/>
        <w:rPr>
          <w:rFonts w:ascii="Times New Roman" w:eastAsia="Times New Roman" w:hAnsi="Times New Roman"/>
          <w:noProof/>
          <w:sz w:val="24"/>
          <w:szCs w:val="24"/>
        </w:rPr>
      </w:pPr>
      <w:r>
        <w:rPr>
          <w:rFonts w:ascii="Times New Roman" w:hAnsi="Times New Roman"/>
          <w:noProof/>
          <w:sz w:val="24"/>
        </w:rPr>
        <w:t xml:space="preserve">Se o acordo de saída não for ratificado, os cidadãos da UE que residam no Reino Unido deixariam de estar protegidos pelas regras da UE em matéria de livre circulação. Os nacionais do Reino Unido que se encontrem na União Europeia estariam sujeitos, </w:t>
      </w:r>
      <w:r>
        <w:rPr>
          <w:rFonts w:ascii="Times New Roman" w:hAnsi="Times New Roman"/>
          <w:noProof/>
          <w:sz w:val="24"/>
        </w:rPr>
        <w:t>a partir da data de saída, às regras gerais que se aplicam aos nacionais de países terceiros na UE. Tal teria um impacto no seu direito a permanecerem e trabalharem no local onde vivem atualmente, bem como na proteção de segurança social de que beneficiam.</w:t>
      </w:r>
    </w:p>
    <w:p w:rsidR="00CD4822" w:rsidRDefault="004324D5">
      <w:pPr>
        <w:spacing w:before="240" w:after="120"/>
        <w:jc w:val="both"/>
        <w:rPr>
          <w:rFonts w:ascii="Times New Roman" w:eastAsia="Times New Roman" w:hAnsi="Times New Roman"/>
          <w:noProof/>
          <w:sz w:val="24"/>
          <w:szCs w:val="24"/>
        </w:rPr>
      </w:pPr>
      <w:r>
        <w:rPr>
          <w:rFonts w:ascii="Times New Roman" w:hAnsi="Times New Roman"/>
          <w:noProof/>
          <w:sz w:val="24"/>
        </w:rPr>
        <w:t>A Comissão sempre deixou claro que a proteção dos cidadãos da UE no Reino Unido, bem como dos cidadãos do Reino Unido na União Europeia é uma prioridade. Exorta os Estados</w:t>
      </w:r>
      <w:r>
        <w:rPr>
          <w:rFonts w:ascii="Times New Roman" w:hAnsi="Times New Roman"/>
          <w:noProof/>
          <w:sz w:val="24"/>
        </w:rPr>
        <w:noBreakHyphen/>
        <w:t>Membros a adotarem uma abordagem generosa relativamente aos nacionais do Reino Unid</w:t>
      </w:r>
      <w:r>
        <w:rPr>
          <w:rFonts w:ascii="Times New Roman" w:hAnsi="Times New Roman"/>
          <w:noProof/>
          <w:sz w:val="24"/>
        </w:rPr>
        <w:t>o que já residem no seu território</w:t>
      </w:r>
      <w:r>
        <w:rPr>
          <w:rStyle w:val="FootnoteReference"/>
          <w:rFonts w:ascii="Times New Roman" w:hAnsi="Times New Roman"/>
          <w:noProof/>
        </w:rPr>
        <w:footnoteReference w:id="12"/>
      </w:r>
      <w:r>
        <w:rPr>
          <w:rFonts w:ascii="Times New Roman" w:hAnsi="Times New Roman"/>
          <w:noProof/>
          <w:sz w:val="24"/>
        </w:rPr>
        <w:t>. Na sua comunicação de 13 de novembro, a Comissão congratulou</w:t>
      </w:r>
      <w:r>
        <w:rPr>
          <w:rFonts w:ascii="Times New Roman" w:hAnsi="Times New Roman"/>
          <w:noProof/>
          <w:sz w:val="24"/>
        </w:rPr>
        <w:noBreakHyphen/>
        <w:t>se com as garantias, dadas pela primeira</w:t>
      </w:r>
      <w:r>
        <w:rPr>
          <w:rFonts w:ascii="Times New Roman" w:hAnsi="Times New Roman"/>
          <w:noProof/>
          <w:sz w:val="24"/>
        </w:rPr>
        <w:noBreakHyphen/>
        <w:t>ministra May</w:t>
      </w:r>
      <w:r>
        <w:rPr>
          <w:rStyle w:val="FootnoteReference"/>
          <w:rFonts w:ascii="Times New Roman" w:hAnsi="Times New Roman"/>
          <w:noProof/>
        </w:rPr>
        <w:footnoteReference w:id="13"/>
      </w:r>
      <w:r>
        <w:rPr>
          <w:rFonts w:ascii="Times New Roman" w:hAnsi="Times New Roman"/>
          <w:noProof/>
          <w:sz w:val="24"/>
        </w:rPr>
        <w:t>, de que, mesmo no cenário de ausência de acordo, os direitos dos cidadãos da UE no Reino Unido serão pr</w:t>
      </w:r>
      <w:r>
        <w:rPr>
          <w:rFonts w:ascii="Times New Roman" w:hAnsi="Times New Roman"/>
          <w:noProof/>
          <w:sz w:val="24"/>
        </w:rPr>
        <w:t>otegidos analogamente. A Comissão espera que esta garantia seja formalizada em breve, para que possa ser invocada pelos cidadãos.</w:t>
      </w:r>
    </w:p>
    <w:p w:rsidR="00CD4822" w:rsidRDefault="004324D5">
      <w:pPr>
        <w:keepNext/>
        <w:spacing w:before="360" w:after="240"/>
        <w:jc w:val="both"/>
        <w:rPr>
          <w:rFonts w:ascii="Times New Roman" w:eastAsia="Times New Roman" w:hAnsi="Times New Roman"/>
          <w:i/>
          <w:noProof/>
          <w:sz w:val="24"/>
          <w:szCs w:val="24"/>
        </w:rPr>
      </w:pPr>
      <w:r>
        <w:rPr>
          <w:rFonts w:ascii="Times New Roman" w:hAnsi="Times New Roman"/>
          <w:i/>
          <w:noProof/>
          <w:sz w:val="24"/>
        </w:rPr>
        <w:t>Direito de residência</w:t>
      </w:r>
    </w:p>
    <w:p w:rsidR="00CD4822" w:rsidRDefault="004324D5">
      <w:pPr>
        <w:spacing w:before="240" w:after="120"/>
        <w:jc w:val="both"/>
        <w:rPr>
          <w:rFonts w:ascii="Times New Roman" w:hAnsi="Times New Roman"/>
          <w:noProof/>
          <w:sz w:val="24"/>
        </w:rPr>
      </w:pPr>
      <w:r>
        <w:rPr>
          <w:rFonts w:ascii="Times New Roman" w:hAnsi="Times New Roman"/>
          <w:noProof/>
          <w:sz w:val="24"/>
        </w:rPr>
        <w:t>Aos nacionais do Reino Unido residentes na União Europeia aplicar</w:t>
      </w:r>
      <w:r>
        <w:rPr>
          <w:rFonts w:ascii="Times New Roman" w:hAnsi="Times New Roman"/>
          <w:noProof/>
          <w:sz w:val="24"/>
        </w:rPr>
        <w:noBreakHyphen/>
        <w:t>se</w:t>
      </w:r>
      <w:r>
        <w:rPr>
          <w:rFonts w:ascii="Times New Roman" w:hAnsi="Times New Roman"/>
          <w:noProof/>
          <w:sz w:val="24"/>
        </w:rPr>
        <w:noBreakHyphen/>
        <w:t>ão, no respeitante ao seu direito d</w:t>
      </w:r>
      <w:r>
        <w:rPr>
          <w:rFonts w:ascii="Times New Roman" w:hAnsi="Times New Roman"/>
          <w:noProof/>
          <w:sz w:val="24"/>
        </w:rPr>
        <w:t>e entrar, residir e trabalhar nos Estados</w:t>
      </w:r>
      <w:r>
        <w:rPr>
          <w:rFonts w:ascii="Times New Roman" w:hAnsi="Times New Roman"/>
          <w:noProof/>
          <w:sz w:val="24"/>
        </w:rPr>
        <w:noBreakHyphen/>
        <w:t>Membros da UE, as normas da UE e nacionais relativas aos nacionais de países terceiros. Para estadias de curta duração (até 90 dias num período de 180 dias), a Comissão adotou uma proposta de regulamento</w:t>
      </w:r>
      <w:r>
        <w:rPr>
          <w:rStyle w:val="FootnoteReference"/>
          <w:rFonts w:ascii="Times New Roman" w:hAnsi="Times New Roman"/>
          <w:noProof/>
        </w:rPr>
        <w:footnoteReference w:id="14"/>
      </w:r>
      <w:r>
        <w:rPr>
          <w:rFonts w:ascii="Times New Roman" w:hAnsi="Times New Roman"/>
          <w:noProof/>
          <w:sz w:val="24"/>
        </w:rPr>
        <w:t xml:space="preserve"> que isent</w:t>
      </w:r>
      <w:r>
        <w:rPr>
          <w:rFonts w:ascii="Times New Roman" w:hAnsi="Times New Roman"/>
          <w:noProof/>
          <w:sz w:val="24"/>
        </w:rPr>
        <w:t>a da obrigação de visto os cidadãos do Reino Unido, sob condição de os cidadãos da União estarem igualmente isentos dos requisitos de vistos do Reino Unido. Os nacionais de países terceiros que por qualquer razão pretendam residir num Estado</w:t>
      </w:r>
      <w:r>
        <w:rPr>
          <w:rFonts w:ascii="Times New Roman" w:hAnsi="Times New Roman"/>
          <w:noProof/>
          <w:sz w:val="24"/>
        </w:rPr>
        <w:noBreakHyphen/>
        <w:t>Membro da UE p</w:t>
      </w:r>
      <w:r>
        <w:rPr>
          <w:rFonts w:ascii="Times New Roman" w:hAnsi="Times New Roman"/>
          <w:noProof/>
          <w:sz w:val="24"/>
        </w:rPr>
        <w:t>or mais de 90 dias devem obter das autoridades nacionais responsáveis pela migração um título de residência ou um visto de longa duração. Aos nacionais de países terceiros que tenham sido residentes legais num Estado</w:t>
      </w:r>
      <w:r>
        <w:rPr>
          <w:rFonts w:ascii="Times New Roman" w:hAnsi="Times New Roman"/>
          <w:noProof/>
          <w:sz w:val="24"/>
        </w:rPr>
        <w:noBreakHyphen/>
        <w:t>Membro durante cinco anos deve ser conc</w:t>
      </w:r>
      <w:r>
        <w:rPr>
          <w:rFonts w:ascii="Times New Roman" w:hAnsi="Times New Roman"/>
          <w:noProof/>
          <w:sz w:val="24"/>
        </w:rPr>
        <w:t>edido, sob determinadas condições, o estatuto de residente de longa duração no mesmo Estado</w:t>
      </w:r>
      <w:r>
        <w:rPr>
          <w:rFonts w:ascii="Times New Roman" w:hAnsi="Times New Roman"/>
          <w:noProof/>
          <w:sz w:val="24"/>
        </w:rPr>
        <w:noBreakHyphen/>
        <w:t>Membro, em conformidade com as normas da União. Na sua segunda comunicação sobre a preparação para o Brexit, a Comissão precisou que entende que os períodos de resi</w:t>
      </w:r>
      <w:r>
        <w:rPr>
          <w:rFonts w:ascii="Times New Roman" w:hAnsi="Times New Roman"/>
          <w:noProof/>
          <w:sz w:val="24"/>
        </w:rPr>
        <w:t>dência legal de nacionais do Reino Unido num Estado</w:t>
      </w:r>
      <w:r>
        <w:rPr>
          <w:rFonts w:ascii="Times New Roman" w:hAnsi="Times New Roman"/>
          <w:noProof/>
          <w:sz w:val="24"/>
        </w:rPr>
        <w:noBreakHyphen/>
        <w:t>Membro anteriores à data de saída devem ser contabilizados para esse efeito.</w:t>
      </w:r>
    </w:p>
    <w:p w:rsidR="00CD4822" w:rsidRDefault="004324D5">
      <w:pPr>
        <w:spacing w:before="240" w:after="120"/>
        <w:jc w:val="both"/>
        <w:rPr>
          <w:rFonts w:ascii="Times New Roman" w:hAnsi="Times New Roman"/>
          <w:noProof/>
          <w:sz w:val="24"/>
        </w:rPr>
      </w:pPr>
      <w:r>
        <w:rPr>
          <w:rFonts w:ascii="Times New Roman" w:hAnsi="Times New Roman"/>
          <w:noProof/>
          <w:sz w:val="24"/>
        </w:rPr>
        <w:t>Neste contexto, a Comissão apela aos Estados</w:t>
      </w:r>
      <w:r>
        <w:rPr>
          <w:rFonts w:ascii="Times New Roman" w:hAnsi="Times New Roman"/>
          <w:noProof/>
          <w:sz w:val="24"/>
        </w:rPr>
        <w:noBreakHyphen/>
        <w:t>Membros para que:</w:t>
      </w:r>
    </w:p>
    <w:p w:rsidR="00CD4822" w:rsidRDefault="004324D5">
      <w:pPr>
        <w:pStyle w:val="ListParagraph"/>
        <w:numPr>
          <w:ilvl w:val="0"/>
          <w:numId w:val="34"/>
        </w:numPr>
        <w:spacing w:before="240" w:after="120"/>
        <w:contextualSpacing/>
        <w:jc w:val="both"/>
        <w:rPr>
          <w:rFonts w:ascii="Times New Roman" w:eastAsia="Times New Roman" w:hAnsi="Times New Roman"/>
          <w:noProof/>
          <w:sz w:val="24"/>
          <w:szCs w:val="24"/>
        </w:rPr>
      </w:pPr>
      <w:r>
        <w:rPr>
          <w:rFonts w:ascii="Times New Roman" w:hAnsi="Times New Roman"/>
          <w:noProof/>
          <w:sz w:val="24"/>
        </w:rPr>
        <w:t xml:space="preserve">Tomem medidas, em conformidade com o direito da União, para que </w:t>
      </w:r>
      <w:r>
        <w:rPr>
          <w:rFonts w:ascii="Times New Roman" w:hAnsi="Times New Roman"/>
          <w:noProof/>
          <w:sz w:val="24"/>
        </w:rPr>
        <w:t>todos os nacionais do Reino Unido que residem legalmente num Estado</w:t>
      </w:r>
      <w:r>
        <w:rPr>
          <w:rFonts w:ascii="Times New Roman" w:hAnsi="Times New Roman"/>
          <w:noProof/>
          <w:sz w:val="24"/>
        </w:rPr>
        <w:noBreakHyphen/>
        <w:t>Membro em 29 de março de 2019 continuem a ser considerados residentes legais desse Estado</w:t>
      </w:r>
      <w:r>
        <w:rPr>
          <w:rFonts w:ascii="Times New Roman" w:hAnsi="Times New Roman"/>
          <w:noProof/>
          <w:sz w:val="24"/>
        </w:rPr>
        <w:noBreakHyphen/>
        <w:t>Membro sem interrupção;</w:t>
      </w:r>
    </w:p>
    <w:p w:rsidR="00CD4822" w:rsidRDefault="004324D5">
      <w:pPr>
        <w:pStyle w:val="ListParagraph"/>
        <w:numPr>
          <w:ilvl w:val="0"/>
          <w:numId w:val="34"/>
        </w:numPr>
        <w:spacing w:before="240" w:after="120"/>
        <w:contextualSpacing/>
        <w:jc w:val="both"/>
        <w:rPr>
          <w:rFonts w:ascii="Times New Roman" w:eastAsia="Times New Roman" w:hAnsi="Times New Roman"/>
          <w:noProof/>
          <w:sz w:val="24"/>
          <w:szCs w:val="24"/>
        </w:rPr>
      </w:pPr>
      <w:r>
        <w:rPr>
          <w:rFonts w:ascii="Times New Roman" w:hAnsi="Times New Roman"/>
          <w:noProof/>
          <w:sz w:val="24"/>
        </w:rPr>
        <w:t>Estejam preparados para emitir títulos de residência aos nacionais do Rein</w:t>
      </w:r>
      <w:r>
        <w:rPr>
          <w:rFonts w:ascii="Times New Roman" w:hAnsi="Times New Roman"/>
          <w:noProof/>
          <w:sz w:val="24"/>
        </w:rPr>
        <w:t>o Unido em causa, como prova de estadia legal e direito ao trabalho. Os Estados</w:t>
      </w:r>
      <w:r>
        <w:rPr>
          <w:rFonts w:ascii="Times New Roman" w:hAnsi="Times New Roman"/>
          <w:noProof/>
          <w:sz w:val="24"/>
        </w:rPr>
        <w:noBreakHyphen/>
        <w:t>Membros, em particular aqueles que acolhem o maior número desses nacionais, são convidados a adotar uma abordagem pragmática, em conformidade com o direito da União, e emitir d</w:t>
      </w:r>
      <w:r>
        <w:rPr>
          <w:rFonts w:ascii="Times New Roman" w:hAnsi="Times New Roman"/>
          <w:noProof/>
          <w:sz w:val="24"/>
        </w:rPr>
        <w:t>ocumentos de residência temporários até que seja possível emitir os títulos de residência definitivos</w:t>
      </w:r>
      <w:r>
        <w:rPr>
          <w:rStyle w:val="FootnoteReference"/>
          <w:rFonts w:ascii="Times New Roman" w:hAnsi="Times New Roman"/>
          <w:noProof/>
          <w:sz w:val="24"/>
        </w:rPr>
        <w:footnoteReference w:id="15"/>
      </w:r>
      <w:r>
        <w:rPr>
          <w:rFonts w:ascii="Times New Roman" w:hAnsi="Times New Roman"/>
          <w:noProof/>
          <w:sz w:val="24"/>
        </w:rPr>
        <w:t>. Para ter em conta as situações específicas de cada Estado</w:t>
      </w:r>
      <w:r>
        <w:rPr>
          <w:rFonts w:ascii="Times New Roman" w:hAnsi="Times New Roman"/>
          <w:noProof/>
          <w:sz w:val="24"/>
        </w:rPr>
        <w:noBreakHyphen/>
        <w:t>Membro, pode recorrer</w:t>
      </w:r>
      <w:r>
        <w:rPr>
          <w:rFonts w:ascii="Times New Roman" w:hAnsi="Times New Roman"/>
          <w:noProof/>
          <w:sz w:val="24"/>
        </w:rPr>
        <w:noBreakHyphen/>
        <w:t>se a diversas opções técnicas, como medidas legislativas nacionais, emis</w:t>
      </w:r>
      <w:r>
        <w:rPr>
          <w:rFonts w:ascii="Times New Roman" w:hAnsi="Times New Roman"/>
          <w:noProof/>
          <w:sz w:val="24"/>
        </w:rPr>
        <w:t>são de documentos temporários ou reconhecimento de documentos preexistentes;</w:t>
      </w:r>
    </w:p>
    <w:p w:rsidR="00CD4822" w:rsidRDefault="004324D5">
      <w:pPr>
        <w:pStyle w:val="ListParagraph"/>
        <w:numPr>
          <w:ilvl w:val="0"/>
          <w:numId w:val="34"/>
        </w:numPr>
        <w:spacing w:before="240" w:after="120"/>
        <w:ind w:left="714" w:hanging="357"/>
        <w:contextualSpacing/>
        <w:jc w:val="both"/>
        <w:rPr>
          <w:rFonts w:ascii="Times New Roman" w:eastAsia="Times New Roman" w:hAnsi="Times New Roman"/>
          <w:noProof/>
          <w:sz w:val="24"/>
          <w:szCs w:val="24"/>
        </w:rPr>
      </w:pPr>
      <w:r>
        <w:rPr>
          <w:rFonts w:ascii="Times New Roman" w:hAnsi="Times New Roman"/>
          <w:noProof/>
          <w:sz w:val="24"/>
        </w:rPr>
        <w:t>Tomem todas as medidas legislativas e administrativas necessárias para que na data de saída possam emitir documentos de residência temporários e, até ao final de 2019, tratar os p</w:t>
      </w:r>
      <w:r>
        <w:rPr>
          <w:rFonts w:ascii="Times New Roman" w:hAnsi="Times New Roman"/>
          <w:noProof/>
          <w:sz w:val="24"/>
        </w:rPr>
        <w:t>edidos de título de residência definitivo utilizando o modelo uniforme</w:t>
      </w:r>
      <w:r>
        <w:rPr>
          <w:rStyle w:val="FootnoteReference"/>
          <w:rFonts w:ascii="Times New Roman" w:hAnsi="Times New Roman"/>
          <w:noProof/>
        </w:rPr>
        <w:footnoteReference w:id="16"/>
      </w:r>
      <w:r>
        <w:rPr>
          <w:rFonts w:ascii="Times New Roman" w:hAnsi="Times New Roman"/>
          <w:noProof/>
          <w:sz w:val="24"/>
        </w:rPr>
        <w:t>.</w:t>
      </w:r>
    </w:p>
    <w:p w:rsidR="00CD4822" w:rsidRDefault="004324D5">
      <w:pPr>
        <w:spacing w:before="240" w:after="120"/>
        <w:jc w:val="both"/>
        <w:rPr>
          <w:rFonts w:ascii="Times New Roman" w:eastAsia="Times New Roman" w:hAnsi="Times New Roman"/>
          <w:noProof/>
          <w:sz w:val="24"/>
          <w:szCs w:val="24"/>
        </w:rPr>
      </w:pPr>
      <w:r>
        <w:rPr>
          <w:rFonts w:ascii="Times New Roman" w:hAnsi="Times New Roman"/>
          <w:noProof/>
          <w:sz w:val="24"/>
        </w:rPr>
        <w:t>Em 20 de dezembro de 2018, a Comissão discutirá os aspetos práticos com os Estados</w:t>
      </w:r>
      <w:r>
        <w:rPr>
          <w:rFonts w:ascii="Times New Roman" w:hAnsi="Times New Roman"/>
          <w:noProof/>
          <w:sz w:val="24"/>
        </w:rPr>
        <w:noBreakHyphen/>
        <w:t>Membros (UE</w:t>
      </w:r>
      <w:r>
        <w:rPr>
          <w:rFonts w:ascii="Times New Roman" w:hAnsi="Times New Roman"/>
          <w:noProof/>
          <w:sz w:val="24"/>
        </w:rPr>
        <w:noBreakHyphen/>
        <w:t>27), de molde a assegurar uma abordagem coerente.</w:t>
      </w:r>
    </w:p>
    <w:p w:rsidR="00CD4822" w:rsidRDefault="004324D5">
      <w:pPr>
        <w:spacing w:before="240" w:after="120"/>
        <w:jc w:val="both"/>
        <w:rPr>
          <w:rFonts w:ascii="Times New Roman" w:hAnsi="Times New Roman"/>
          <w:noProof/>
          <w:sz w:val="24"/>
        </w:rPr>
      </w:pPr>
      <w:r>
        <w:rPr>
          <w:rFonts w:ascii="Times New Roman" w:hAnsi="Times New Roman"/>
          <w:noProof/>
          <w:sz w:val="24"/>
        </w:rPr>
        <w:t xml:space="preserve">Relativamente aos </w:t>
      </w:r>
      <w:r>
        <w:rPr>
          <w:rFonts w:ascii="Times New Roman" w:hAnsi="Times New Roman"/>
          <w:b/>
          <w:noProof/>
          <w:sz w:val="24"/>
        </w:rPr>
        <w:t>cidadãos da UE que r</w:t>
      </w:r>
      <w:r>
        <w:rPr>
          <w:rFonts w:ascii="Times New Roman" w:hAnsi="Times New Roman"/>
          <w:b/>
          <w:noProof/>
          <w:sz w:val="24"/>
        </w:rPr>
        <w:t>esidam no Reino Unido,</w:t>
      </w:r>
      <w:r>
        <w:rPr>
          <w:rFonts w:ascii="Times New Roman" w:hAnsi="Times New Roman"/>
          <w:noProof/>
          <w:sz w:val="24"/>
        </w:rPr>
        <w:t xml:space="preserve"> além dos esforços das representações diplomáticas dos Estados</w:t>
      </w:r>
      <w:r>
        <w:rPr>
          <w:rFonts w:ascii="Times New Roman" w:hAnsi="Times New Roman"/>
          <w:noProof/>
          <w:sz w:val="24"/>
        </w:rPr>
        <w:noBreakHyphen/>
        <w:t>Membros no Reino Unido, os Gabinetes de Representação da Comissão no Reino Unido continuarão a acompanhar de perto a posição deste país no que respeita à continuação da pe</w:t>
      </w:r>
      <w:r>
        <w:rPr>
          <w:rFonts w:ascii="Times New Roman" w:hAnsi="Times New Roman"/>
          <w:noProof/>
          <w:sz w:val="24"/>
        </w:rPr>
        <w:t>rmanência de cidadãos da União no seu território. Os cidadãos interessados receberão informações e apoio técnico a este respeito.</w:t>
      </w:r>
    </w:p>
    <w:p w:rsidR="00CD4822" w:rsidRDefault="004324D5">
      <w:pPr>
        <w:keepNext/>
        <w:spacing w:before="360" w:after="240"/>
        <w:jc w:val="both"/>
        <w:rPr>
          <w:rFonts w:ascii="Times New Roman" w:eastAsia="Times New Roman" w:hAnsi="Times New Roman"/>
          <w:i/>
          <w:noProof/>
          <w:sz w:val="24"/>
          <w:szCs w:val="24"/>
        </w:rPr>
      </w:pPr>
      <w:r>
        <w:rPr>
          <w:rFonts w:ascii="Times New Roman" w:hAnsi="Times New Roman"/>
          <w:i/>
          <w:noProof/>
          <w:sz w:val="24"/>
        </w:rPr>
        <w:t>Coordenação da segurança social</w:t>
      </w:r>
    </w:p>
    <w:p w:rsidR="00CD4822" w:rsidRDefault="004324D5">
      <w:pPr>
        <w:spacing w:before="240" w:after="120"/>
        <w:jc w:val="both"/>
        <w:rPr>
          <w:rFonts w:ascii="Times New Roman" w:eastAsia="Times New Roman" w:hAnsi="Times New Roman"/>
          <w:noProof/>
          <w:sz w:val="24"/>
          <w:szCs w:val="24"/>
        </w:rPr>
      </w:pPr>
      <w:r>
        <w:rPr>
          <w:rFonts w:ascii="Times New Roman" w:hAnsi="Times New Roman"/>
          <w:noProof/>
          <w:sz w:val="24"/>
        </w:rPr>
        <w:t xml:space="preserve">O direito da União prevê normas comuns de coordenação da segurança social a fim de proteger </w:t>
      </w:r>
      <w:r>
        <w:rPr>
          <w:rFonts w:ascii="Times New Roman" w:hAnsi="Times New Roman"/>
          <w:b/>
          <w:noProof/>
          <w:sz w:val="24"/>
        </w:rPr>
        <w:t>os</w:t>
      </w:r>
      <w:r>
        <w:rPr>
          <w:rFonts w:ascii="Times New Roman" w:hAnsi="Times New Roman"/>
          <w:b/>
          <w:noProof/>
          <w:sz w:val="24"/>
        </w:rPr>
        <w:t xml:space="preserve"> direitos de segurança social dos cidadãos da UE</w:t>
      </w:r>
      <w:r>
        <w:rPr>
          <w:rFonts w:ascii="Times New Roman" w:hAnsi="Times New Roman"/>
          <w:noProof/>
          <w:sz w:val="24"/>
        </w:rPr>
        <w:t xml:space="preserve"> que tenham exercido o direito de se deslocarem para outro Estado</w:t>
      </w:r>
      <w:r>
        <w:rPr>
          <w:rFonts w:ascii="Times New Roman" w:hAnsi="Times New Roman"/>
          <w:noProof/>
          <w:sz w:val="24"/>
        </w:rPr>
        <w:noBreakHyphen/>
        <w:t>Membro. As normas da União em matéria de coordenação da segurança social cobrem os direitos decorrentes da legislação nacional em matéria de d</w:t>
      </w:r>
      <w:r>
        <w:rPr>
          <w:rFonts w:ascii="Times New Roman" w:hAnsi="Times New Roman"/>
          <w:noProof/>
          <w:sz w:val="24"/>
        </w:rPr>
        <w:t>oença, maternidade e paternidade, pensões, invalidez, desemprego, prestações familiares, acidentes de trabalho e doenças profissionais</w:t>
      </w:r>
      <w:r>
        <w:rPr>
          <w:rStyle w:val="FootnoteReference"/>
          <w:rFonts w:ascii="Times New Roman" w:hAnsi="Times New Roman"/>
          <w:noProof/>
        </w:rPr>
        <w:footnoteReference w:id="17"/>
      </w:r>
      <w:r>
        <w:rPr>
          <w:rFonts w:ascii="Times New Roman" w:hAnsi="Times New Roman"/>
          <w:noProof/>
          <w:sz w:val="24"/>
        </w:rPr>
        <w:t>. Os princípios subjacentes às normas sobre a coordenação dos sistemas de segurança social asseguram que os cidadãos seja</w:t>
      </w:r>
      <w:r>
        <w:rPr>
          <w:rFonts w:ascii="Times New Roman" w:hAnsi="Times New Roman"/>
          <w:noProof/>
          <w:sz w:val="24"/>
        </w:rPr>
        <w:t>m cobertos pela legislação de um único Estado</w:t>
      </w:r>
      <w:r>
        <w:rPr>
          <w:rFonts w:ascii="Times New Roman" w:hAnsi="Times New Roman"/>
          <w:noProof/>
          <w:sz w:val="24"/>
        </w:rPr>
        <w:noBreakHyphen/>
        <w:t>Membro (unicidade), e tenham os mesmos direitos e obrigações que os nacionais do Estado</w:t>
      </w:r>
      <w:r>
        <w:rPr>
          <w:rFonts w:ascii="Times New Roman" w:hAnsi="Times New Roman"/>
          <w:noProof/>
          <w:sz w:val="24"/>
        </w:rPr>
        <w:noBreakHyphen/>
        <w:t>Membro que assegura a sua cobertura (igualdade de tratamento). Asseguram ainda que, aquando da determinação pelas autorida</w:t>
      </w:r>
      <w:r>
        <w:rPr>
          <w:rFonts w:ascii="Times New Roman" w:hAnsi="Times New Roman"/>
          <w:noProof/>
          <w:sz w:val="24"/>
        </w:rPr>
        <w:t>des da elegibilidade de uma pessoa para uma prestação, sejam contabilizados os anteriores períodos de seguro, trabalho ou residência noutros países (totalização) e que os cidadãos podem, regra geral, receber prestações pecuniárias a que têm direito mesmo q</w:t>
      </w:r>
      <w:r>
        <w:rPr>
          <w:rFonts w:ascii="Times New Roman" w:hAnsi="Times New Roman"/>
          <w:noProof/>
          <w:sz w:val="24"/>
        </w:rPr>
        <w:t>ue residam noutro Estado</w:t>
      </w:r>
      <w:r>
        <w:rPr>
          <w:rFonts w:ascii="Times New Roman" w:hAnsi="Times New Roman"/>
          <w:noProof/>
          <w:sz w:val="24"/>
        </w:rPr>
        <w:noBreakHyphen/>
        <w:t>Membro (exportabilidade).</w:t>
      </w:r>
    </w:p>
    <w:p w:rsidR="00CD4822" w:rsidRDefault="004324D5">
      <w:pPr>
        <w:spacing w:before="240" w:after="120"/>
        <w:jc w:val="both"/>
        <w:rPr>
          <w:rFonts w:ascii="Times New Roman" w:hAnsi="Times New Roman"/>
          <w:noProof/>
          <w:sz w:val="24"/>
        </w:rPr>
      </w:pPr>
      <w:r>
        <w:rPr>
          <w:rFonts w:ascii="Times New Roman" w:hAnsi="Times New Roman"/>
          <w:noProof/>
          <w:sz w:val="24"/>
        </w:rPr>
        <w:t xml:space="preserve">Se o acordo de saída não for ratificado, as normas da União em matéria de coordenação da segurança social deixam de ser aplicáveis ao Reino Unido, o que suscita nos cidadãos da UE que atualmente trabalham </w:t>
      </w:r>
      <w:r>
        <w:rPr>
          <w:rFonts w:ascii="Times New Roman" w:hAnsi="Times New Roman"/>
          <w:noProof/>
          <w:sz w:val="24"/>
        </w:rPr>
        <w:t>e residem no Reino Unido, ou que o fizeram no passado, preocupações com os seus direitos à segurança social. O mesmo se aplica aos nacionais do Reino Unido que atualmente trabalham/residem num outro Estado</w:t>
      </w:r>
      <w:r>
        <w:rPr>
          <w:rFonts w:ascii="Times New Roman" w:hAnsi="Times New Roman"/>
          <w:noProof/>
          <w:sz w:val="24"/>
        </w:rPr>
        <w:noBreakHyphen/>
        <w:t>Membro.</w:t>
      </w:r>
    </w:p>
    <w:p w:rsidR="00CD4822" w:rsidRDefault="004324D5">
      <w:pPr>
        <w:spacing w:before="240" w:after="120"/>
        <w:jc w:val="both"/>
        <w:rPr>
          <w:rFonts w:ascii="Times New Roman" w:hAnsi="Times New Roman"/>
          <w:noProof/>
          <w:sz w:val="24"/>
        </w:rPr>
      </w:pPr>
      <w:r>
        <w:rPr>
          <w:rFonts w:ascii="Times New Roman" w:hAnsi="Times New Roman"/>
          <w:noProof/>
          <w:sz w:val="24"/>
        </w:rPr>
        <w:t>A Comissão insta os Estados</w:t>
      </w:r>
      <w:r>
        <w:rPr>
          <w:rFonts w:ascii="Times New Roman" w:hAnsi="Times New Roman"/>
          <w:noProof/>
          <w:sz w:val="24"/>
        </w:rPr>
        <w:noBreakHyphen/>
        <w:t>Membros a toma</w:t>
      </w:r>
      <w:r>
        <w:rPr>
          <w:rFonts w:ascii="Times New Roman" w:hAnsi="Times New Roman"/>
          <w:noProof/>
          <w:sz w:val="24"/>
        </w:rPr>
        <w:t>r todas as medidas possíveis para ter em conta estas preocupações e garantir a segurança jurídica e a proteção dos direitos de segurança social adquiridos pelos cidadãos que exerceram o direito de livre circulação antes de 30 de março de 2019.</w:t>
      </w:r>
    </w:p>
    <w:p w:rsidR="00CD4822" w:rsidRDefault="004324D5">
      <w:pPr>
        <w:spacing w:before="240" w:after="120"/>
        <w:jc w:val="both"/>
        <w:rPr>
          <w:rFonts w:ascii="Times New Roman" w:eastAsia="Times New Roman" w:hAnsi="Times New Roman"/>
          <w:noProof/>
          <w:sz w:val="24"/>
          <w:szCs w:val="24"/>
        </w:rPr>
      </w:pPr>
      <w:r>
        <w:rPr>
          <w:rFonts w:ascii="Times New Roman" w:hAnsi="Times New Roman"/>
          <w:noProof/>
          <w:sz w:val="24"/>
        </w:rPr>
        <w:t>Em especial,</w:t>
      </w:r>
      <w:r>
        <w:rPr>
          <w:rFonts w:ascii="Times New Roman" w:hAnsi="Times New Roman"/>
          <w:noProof/>
          <w:sz w:val="24"/>
        </w:rPr>
        <w:t xml:space="preserve"> a Comissão apela aos Estados</w:t>
      </w:r>
      <w:r>
        <w:rPr>
          <w:rFonts w:ascii="Times New Roman" w:hAnsi="Times New Roman"/>
          <w:noProof/>
          <w:sz w:val="24"/>
        </w:rPr>
        <w:noBreakHyphen/>
        <w:t>Membros para que:</w:t>
      </w:r>
    </w:p>
    <w:p w:rsidR="00CD4822" w:rsidRDefault="004324D5">
      <w:pPr>
        <w:pStyle w:val="ListParagraph"/>
        <w:numPr>
          <w:ilvl w:val="0"/>
          <w:numId w:val="35"/>
        </w:numPr>
        <w:spacing w:before="240" w:after="120"/>
        <w:jc w:val="both"/>
        <w:rPr>
          <w:rFonts w:ascii="Times New Roman" w:eastAsia="Times New Roman" w:hAnsi="Times New Roman"/>
          <w:noProof/>
          <w:sz w:val="24"/>
          <w:szCs w:val="24"/>
        </w:rPr>
      </w:pPr>
      <w:r>
        <w:rPr>
          <w:rFonts w:ascii="Times New Roman" w:hAnsi="Times New Roman"/>
          <w:noProof/>
          <w:sz w:val="24"/>
        </w:rPr>
        <w:t>Tenham em conta, no respeitante aos cidadãos da UE</w:t>
      </w:r>
      <w:r>
        <w:rPr>
          <w:rFonts w:ascii="Times New Roman" w:hAnsi="Times New Roman"/>
          <w:noProof/>
          <w:sz w:val="24"/>
        </w:rPr>
        <w:noBreakHyphen/>
        <w:t>27 e aos nacionais do Reino Unido, os períodos de trabalho/seguro no Reino Unido antes da saída;</w:t>
      </w:r>
    </w:p>
    <w:p w:rsidR="00CD4822" w:rsidRDefault="004324D5">
      <w:pPr>
        <w:pStyle w:val="ListParagraph"/>
        <w:numPr>
          <w:ilvl w:val="0"/>
          <w:numId w:val="35"/>
        </w:numPr>
        <w:spacing w:before="240" w:after="120"/>
        <w:jc w:val="both"/>
        <w:rPr>
          <w:rFonts w:ascii="Times New Roman" w:eastAsia="Times New Roman" w:hAnsi="Times New Roman"/>
          <w:noProof/>
          <w:sz w:val="24"/>
          <w:szCs w:val="24"/>
        </w:rPr>
      </w:pPr>
      <w:r>
        <w:rPr>
          <w:rFonts w:ascii="Times New Roman" w:hAnsi="Times New Roman"/>
          <w:noProof/>
          <w:sz w:val="24"/>
        </w:rPr>
        <w:t>Informem os cidadãos de que devem manter a documentação apro</w:t>
      </w:r>
      <w:r>
        <w:rPr>
          <w:rFonts w:ascii="Times New Roman" w:hAnsi="Times New Roman"/>
          <w:noProof/>
          <w:sz w:val="24"/>
        </w:rPr>
        <w:t>priada de comprovação desses períodos;</w:t>
      </w:r>
    </w:p>
    <w:p w:rsidR="00CD4822" w:rsidRDefault="004324D5">
      <w:pPr>
        <w:pStyle w:val="ListParagraph"/>
        <w:numPr>
          <w:ilvl w:val="0"/>
          <w:numId w:val="35"/>
        </w:numPr>
        <w:spacing w:before="240" w:after="120"/>
        <w:jc w:val="both"/>
        <w:rPr>
          <w:rFonts w:ascii="Times New Roman" w:hAnsi="Times New Roman"/>
          <w:noProof/>
          <w:sz w:val="24"/>
        </w:rPr>
      </w:pPr>
      <w:r>
        <w:rPr>
          <w:rFonts w:ascii="Times New Roman" w:hAnsi="Times New Roman"/>
          <w:noProof/>
          <w:sz w:val="24"/>
        </w:rPr>
        <w:t>Assegurem que a «totalização» dos períodos cumpridos até à saída também beneficia as pessoas que continuam a viver no Reino Unido;</w:t>
      </w:r>
    </w:p>
    <w:p w:rsidR="00CD4822" w:rsidRDefault="004324D5">
      <w:pPr>
        <w:pStyle w:val="ListParagraph"/>
        <w:numPr>
          <w:ilvl w:val="0"/>
          <w:numId w:val="35"/>
        </w:numPr>
        <w:spacing w:before="240" w:after="120"/>
        <w:jc w:val="both"/>
        <w:rPr>
          <w:noProof/>
        </w:rPr>
      </w:pPr>
      <w:r>
        <w:rPr>
          <w:rFonts w:ascii="Times New Roman" w:hAnsi="Times New Roman"/>
          <w:noProof/>
          <w:sz w:val="24"/>
        </w:rPr>
        <w:t>Exportem as pensões de velhice para o Reino Unido, não obstante o facto de que será um</w:t>
      </w:r>
      <w:r>
        <w:rPr>
          <w:rFonts w:ascii="Times New Roman" w:hAnsi="Times New Roman"/>
          <w:noProof/>
          <w:sz w:val="24"/>
        </w:rPr>
        <w:t xml:space="preserve"> país terceiro. Estas medidas devem aplicar</w:t>
      </w:r>
      <w:r>
        <w:rPr>
          <w:rFonts w:ascii="Times New Roman" w:hAnsi="Times New Roman"/>
          <w:noProof/>
          <w:sz w:val="24"/>
        </w:rPr>
        <w:noBreakHyphen/>
        <w:t>se aos cidadãos que continuem a residir no Reino Unido depois da data de saída, mas também aos nacionais do Reino Unido que tenham adquirido direitos a pensão de velhice na UE</w:t>
      </w:r>
      <w:r>
        <w:rPr>
          <w:rFonts w:ascii="Times New Roman" w:hAnsi="Times New Roman"/>
          <w:noProof/>
          <w:sz w:val="24"/>
        </w:rPr>
        <w:noBreakHyphen/>
        <w:t>27 antes dessa data.</w:t>
      </w:r>
    </w:p>
    <w:p w:rsidR="00CD4822" w:rsidRDefault="004324D5">
      <w:pPr>
        <w:spacing w:before="240" w:after="120"/>
        <w:jc w:val="both"/>
        <w:rPr>
          <w:rFonts w:ascii="Times New Roman" w:hAnsi="Times New Roman"/>
          <w:noProof/>
          <w:sz w:val="24"/>
        </w:rPr>
      </w:pPr>
      <w:r>
        <w:rPr>
          <w:rFonts w:ascii="Times New Roman" w:hAnsi="Times New Roman"/>
          <w:noProof/>
          <w:sz w:val="24"/>
        </w:rPr>
        <w:t>Em 20 de dezemb</w:t>
      </w:r>
      <w:r>
        <w:rPr>
          <w:rFonts w:ascii="Times New Roman" w:hAnsi="Times New Roman"/>
          <w:noProof/>
          <w:sz w:val="24"/>
        </w:rPr>
        <w:t>ro de 2018 Comissão prestará aos Estados</w:t>
      </w:r>
      <w:r>
        <w:rPr>
          <w:rFonts w:ascii="Times New Roman" w:hAnsi="Times New Roman"/>
          <w:noProof/>
          <w:sz w:val="24"/>
        </w:rPr>
        <w:noBreakHyphen/>
        <w:t>Membros (UE27) aconselhamento concreto e pormenorizado para a consecução de coerência na abordagem da coordenação da segurança social, a qual deve ser aplicada pelos Estados</w:t>
      </w:r>
      <w:r>
        <w:rPr>
          <w:rFonts w:ascii="Times New Roman" w:hAnsi="Times New Roman"/>
          <w:noProof/>
          <w:sz w:val="24"/>
        </w:rPr>
        <w:noBreakHyphen/>
        <w:t>Membros a partir da data de saída.</w:t>
      </w:r>
    </w:p>
    <w:p w:rsidR="00CD4822" w:rsidRDefault="004324D5">
      <w:pPr>
        <w:spacing w:before="240" w:after="120"/>
        <w:jc w:val="both"/>
        <w:rPr>
          <w:rFonts w:ascii="Times New Roman" w:hAnsi="Times New Roman"/>
          <w:noProof/>
          <w:sz w:val="24"/>
        </w:rPr>
      </w:pPr>
      <w:r>
        <w:rPr>
          <w:rFonts w:ascii="Times New Roman" w:hAnsi="Times New Roman"/>
          <w:noProof/>
          <w:sz w:val="24"/>
        </w:rPr>
        <w:t>A Comi</w:t>
      </w:r>
      <w:r>
        <w:rPr>
          <w:rFonts w:ascii="Times New Roman" w:hAnsi="Times New Roman"/>
          <w:noProof/>
          <w:sz w:val="24"/>
        </w:rPr>
        <w:t>ssão recorda que a União detém a competência exclusiva em matéria de coordenação da segurança social relativamente aos períodos decorridos, assim como aos factos e eventos ocorridos antes da data de saída.</w:t>
      </w:r>
    </w:p>
    <w:p w:rsidR="00CD4822" w:rsidRDefault="004324D5">
      <w:pPr>
        <w:pStyle w:val="ListParagraph"/>
        <w:keepNext/>
        <w:numPr>
          <w:ilvl w:val="0"/>
          <w:numId w:val="41"/>
        </w:numPr>
        <w:spacing w:before="480" w:after="240"/>
        <w:ind w:left="714" w:hanging="357"/>
        <w:rPr>
          <w:rFonts w:ascii="Times New Roman" w:eastAsia="Times New Roman" w:hAnsi="Times New Roman"/>
          <w:b/>
          <w:noProof/>
          <w:sz w:val="24"/>
          <w:szCs w:val="24"/>
        </w:rPr>
      </w:pPr>
      <w:r>
        <w:rPr>
          <w:rFonts w:ascii="Times New Roman" w:hAnsi="Times New Roman"/>
          <w:b/>
          <w:noProof/>
          <w:sz w:val="24"/>
        </w:rPr>
        <w:t>Regulamentação setorial específica</w:t>
      </w:r>
    </w:p>
    <w:p w:rsidR="00CD4822" w:rsidRDefault="004324D5">
      <w:pPr>
        <w:keepNext/>
        <w:spacing w:before="360" w:after="240"/>
        <w:rPr>
          <w:rFonts w:ascii="Times New Roman" w:eastAsia="Times New Roman" w:hAnsi="Times New Roman"/>
          <w:b/>
          <w:i/>
          <w:noProof/>
          <w:sz w:val="24"/>
          <w:szCs w:val="24"/>
        </w:rPr>
      </w:pPr>
      <w:r>
        <w:rPr>
          <w:rFonts w:ascii="Times New Roman" w:hAnsi="Times New Roman"/>
          <w:b/>
          <w:i/>
          <w:noProof/>
          <w:sz w:val="24"/>
        </w:rPr>
        <w:t xml:space="preserve">Serviços </w:t>
      </w:r>
      <w:r>
        <w:rPr>
          <w:rFonts w:ascii="Times New Roman" w:hAnsi="Times New Roman"/>
          <w:b/>
          <w:i/>
          <w:noProof/>
          <w:sz w:val="24"/>
        </w:rPr>
        <w:t>financeiros</w:t>
      </w:r>
    </w:p>
    <w:p w:rsidR="00CD4822" w:rsidRDefault="004324D5">
      <w:pPr>
        <w:jc w:val="both"/>
        <w:rPr>
          <w:rFonts w:ascii="Times New Roman" w:eastAsia="Times New Roman" w:hAnsi="Times New Roman"/>
          <w:noProof/>
          <w:sz w:val="24"/>
          <w:szCs w:val="24"/>
        </w:rPr>
      </w:pPr>
      <w:r>
        <w:rPr>
          <w:rFonts w:ascii="Times New Roman" w:hAnsi="Times New Roman"/>
          <w:noProof/>
          <w:sz w:val="24"/>
        </w:rPr>
        <w:t>Se o Acordo de Saída não for ratificado, os operadores financeiros estabelecidos no Reino Unido perderão, a partir da data de saída, o direito de prestarem os seus serviços nos Estados</w:t>
      </w:r>
      <w:r>
        <w:rPr>
          <w:rFonts w:ascii="Times New Roman" w:hAnsi="Times New Roman"/>
          <w:noProof/>
          <w:sz w:val="24"/>
        </w:rPr>
        <w:noBreakHyphen/>
        <w:t>Membros da UE27 ao abrigo dos passaportes de serviços finan</w:t>
      </w:r>
      <w:r>
        <w:rPr>
          <w:rFonts w:ascii="Times New Roman" w:hAnsi="Times New Roman"/>
          <w:noProof/>
          <w:sz w:val="24"/>
        </w:rPr>
        <w:t>ceiros da UE. O  operadores britânicos e suas contrapartes da UE27 têm, portanto, de tomar medidas para que o direito da União seja cumprido em qualquer cenário e atempadamente antes da saída do Reino Unido, conforme indicado pela Comissão nos avisos às pa</w:t>
      </w:r>
      <w:r>
        <w:rPr>
          <w:rFonts w:ascii="Times New Roman" w:hAnsi="Times New Roman"/>
          <w:noProof/>
          <w:sz w:val="24"/>
        </w:rPr>
        <w:t>rtes interessadas neste domínio</w:t>
      </w:r>
      <w:r>
        <w:rPr>
          <w:rStyle w:val="FootnoteReference"/>
          <w:rFonts w:ascii="Times New Roman" w:hAnsi="Times New Roman"/>
          <w:noProof/>
          <w:sz w:val="24"/>
        </w:rPr>
        <w:footnoteReference w:id="18"/>
      </w:r>
      <w:r>
        <w:rPr>
          <w:rFonts w:ascii="Times New Roman" w:hAnsi="Times New Roman"/>
          <w:noProof/>
          <w:sz w:val="24"/>
        </w:rPr>
        <w:t>.</w:t>
      </w:r>
    </w:p>
    <w:p w:rsidR="00CD4822" w:rsidRDefault="004324D5">
      <w:pPr>
        <w:spacing w:before="240" w:after="120"/>
        <w:jc w:val="both"/>
        <w:rPr>
          <w:noProof/>
        </w:rPr>
      </w:pPr>
      <w:r>
        <w:rPr>
          <w:rFonts w:ascii="Times New Roman" w:hAnsi="Times New Roman"/>
          <w:noProof/>
          <w:sz w:val="24"/>
        </w:rPr>
        <w:t>Após exame dos riscos que para o setor financeiro decorrem do cenário de ausência de acordo, e tendo em conta os entendimentos do Banco Central Europeu e das Autoridades Europeias de Supervisão, a Comissão concluiu que, pa</w:t>
      </w:r>
      <w:r>
        <w:rPr>
          <w:rFonts w:ascii="Times New Roman" w:hAnsi="Times New Roman"/>
          <w:noProof/>
          <w:sz w:val="24"/>
        </w:rPr>
        <w:t>ra a salvaguarda da estabilidade financeira na UE27, são suficientes algumas medidas de contingência. Essas medidas destinam</w:t>
      </w:r>
      <w:r>
        <w:rPr>
          <w:rFonts w:ascii="Times New Roman" w:hAnsi="Times New Roman"/>
          <w:noProof/>
          <w:sz w:val="24"/>
        </w:rPr>
        <w:noBreakHyphen/>
        <w:t xml:space="preserve">se a atenuar os riscos para a estabilidade financeira apenas nos domínios em que as medidas de preparação tomadas pelos operadores </w:t>
      </w:r>
      <w:r>
        <w:rPr>
          <w:rFonts w:ascii="Times New Roman" w:hAnsi="Times New Roman"/>
          <w:noProof/>
          <w:sz w:val="24"/>
        </w:rPr>
        <w:t>de mercado são, por si sós, insuficientes para prevenir esses riscos até à data de saída. Consequentemente, a Comissão adotou hoje os atos a seguir enunciados, os quais se aplicarão a partir da data de saída se o Acordo de Saída não for ratificado:</w:t>
      </w:r>
    </w:p>
    <w:p w:rsidR="00CD4822" w:rsidRDefault="004324D5">
      <w:pPr>
        <w:pStyle w:val="ListParagraph"/>
        <w:numPr>
          <w:ilvl w:val="0"/>
          <w:numId w:val="33"/>
        </w:numPr>
        <w:spacing w:before="360" w:after="120"/>
        <w:contextualSpacing/>
        <w:jc w:val="both"/>
        <w:rPr>
          <w:rFonts w:ascii="Times New Roman" w:eastAsia="Times New Roman" w:hAnsi="Times New Roman"/>
          <w:b/>
          <w:i/>
          <w:noProof/>
          <w:sz w:val="24"/>
          <w:szCs w:val="24"/>
        </w:rPr>
      </w:pPr>
      <w:r>
        <w:rPr>
          <w:rFonts w:ascii="Times New Roman" w:hAnsi="Times New Roman"/>
          <w:noProof/>
          <w:sz w:val="24"/>
        </w:rPr>
        <w:t>Uma dec</w:t>
      </w:r>
      <w:r>
        <w:rPr>
          <w:rFonts w:ascii="Times New Roman" w:hAnsi="Times New Roman"/>
          <w:noProof/>
          <w:sz w:val="24"/>
        </w:rPr>
        <w:t>isão de equivalência temporária e condicional</w:t>
      </w:r>
      <w:r>
        <w:rPr>
          <w:rStyle w:val="EndnoteReference"/>
          <w:rFonts w:ascii="Times New Roman" w:hAnsi="Times New Roman"/>
          <w:noProof/>
          <w:sz w:val="24"/>
        </w:rPr>
        <w:endnoteReference w:id="2"/>
      </w:r>
      <w:r>
        <w:rPr>
          <w:rFonts w:ascii="Times New Roman" w:hAnsi="Times New Roman"/>
          <w:noProof/>
          <w:sz w:val="24"/>
        </w:rPr>
        <w:t xml:space="preserve">, por 12 meses, para assegurar que não haverá perturbação na </w:t>
      </w:r>
      <w:r>
        <w:rPr>
          <w:rFonts w:ascii="Times New Roman" w:hAnsi="Times New Roman"/>
          <w:b/>
          <w:noProof/>
          <w:sz w:val="24"/>
        </w:rPr>
        <w:t>compensação central</w:t>
      </w:r>
      <w:r>
        <w:rPr>
          <w:rFonts w:ascii="Times New Roman" w:hAnsi="Times New Roman"/>
          <w:noProof/>
          <w:sz w:val="24"/>
        </w:rPr>
        <w:t xml:space="preserve"> </w:t>
      </w:r>
      <w:r>
        <w:rPr>
          <w:rFonts w:ascii="Times New Roman" w:hAnsi="Times New Roman"/>
          <w:b/>
          <w:noProof/>
          <w:sz w:val="24"/>
        </w:rPr>
        <w:t>de</w:t>
      </w:r>
      <w:r>
        <w:rPr>
          <w:rFonts w:ascii="Times New Roman" w:hAnsi="Times New Roman"/>
          <w:noProof/>
          <w:sz w:val="24"/>
        </w:rPr>
        <w:t xml:space="preserve"> </w:t>
      </w:r>
      <w:r>
        <w:rPr>
          <w:rFonts w:ascii="Times New Roman" w:hAnsi="Times New Roman"/>
          <w:b/>
          <w:noProof/>
          <w:sz w:val="24"/>
        </w:rPr>
        <w:t>instrumentos derivados</w:t>
      </w:r>
      <w:r>
        <w:rPr>
          <w:rFonts w:ascii="Times New Roman" w:hAnsi="Times New Roman"/>
          <w:noProof/>
          <w:sz w:val="24"/>
        </w:rPr>
        <w:t xml:space="preserve">. Esta medida permitirá que a Autoridade Europeia dos Valores Mobiliários e dos Mercados («ESMA») </w:t>
      </w:r>
      <w:r>
        <w:rPr>
          <w:rFonts w:ascii="Times New Roman" w:hAnsi="Times New Roman"/>
          <w:noProof/>
          <w:sz w:val="24"/>
        </w:rPr>
        <w:t>reconheça temporariamente contrapartes atualmente estabelecidas no Reino Unido, autorizando</w:t>
      </w:r>
      <w:r>
        <w:rPr>
          <w:rFonts w:ascii="Times New Roman" w:hAnsi="Times New Roman"/>
          <w:noProof/>
          <w:sz w:val="24"/>
        </w:rPr>
        <w:noBreakHyphen/>
        <w:t>as temporariamente a prosseguirem a prestação de serviços na União. A Comissão concluiu que as empresas da UE27 necessitam desse período para estabelecerem alternat</w:t>
      </w:r>
      <w:r>
        <w:rPr>
          <w:rFonts w:ascii="Times New Roman" w:hAnsi="Times New Roman"/>
          <w:noProof/>
          <w:sz w:val="24"/>
        </w:rPr>
        <w:t>ivas viáveis aos operadores britânicos.</w:t>
      </w:r>
    </w:p>
    <w:p w:rsidR="00CD4822" w:rsidRDefault="004324D5">
      <w:pPr>
        <w:pStyle w:val="ListParagraph"/>
        <w:numPr>
          <w:ilvl w:val="0"/>
          <w:numId w:val="33"/>
        </w:numPr>
        <w:spacing w:before="360" w:after="120"/>
        <w:jc w:val="both"/>
        <w:rPr>
          <w:rFonts w:ascii="Times New Roman" w:eastAsia="Times New Roman" w:hAnsi="Times New Roman"/>
          <w:b/>
          <w:i/>
          <w:noProof/>
          <w:sz w:val="24"/>
          <w:szCs w:val="24"/>
        </w:rPr>
      </w:pPr>
      <w:r>
        <w:rPr>
          <w:rFonts w:ascii="Times New Roman" w:hAnsi="Times New Roman"/>
          <w:noProof/>
          <w:sz w:val="24"/>
        </w:rPr>
        <w:t>Uma decisão de equivalência temporária e condicional</w:t>
      </w:r>
      <w:r>
        <w:rPr>
          <w:rStyle w:val="EndnoteReference"/>
          <w:rFonts w:ascii="Times New Roman" w:hAnsi="Times New Roman"/>
          <w:noProof/>
          <w:sz w:val="24"/>
        </w:rPr>
        <w:endnoteReference w:id="3"/>
      </w:r>
      <w:r>
        <w:rPr>
          <w:rFonts w:ascii="Times New Roman" w:hAnsi="Times New Roman"/>
          <w:noProof/>
          <w:sz w:val="24"/>
        </w:rPr>
        <w:t xml:space="preserve">, por 24 meses, para assegurar que não haverá perturbação nos serviços prestados pelos </w:t>
      </w:r>
      <w:r>
        <w:rPr>
          <w:rFonts w:ascii="Times New Roman" w:hAnsi="Times New Roman"/>
          <w:b/>
          <w:noProof/>
          <w:sz w:val="24"/>
        </w:rPr>
        <w:t>depositários</w:t>
      </w:r>
      <w:r>
        <w:rPr>
          <w:rFonts w:ascii="Times New Roman" w:hAnsi="Times New Roman"/>
          <w:noProof/>
          <w:sz w:val="24"/>
        </w:rPr>
        <w:t xml:space="preserve"> </w:t>
      </w:r>
      <w:r>
        <w:rPr>
          <w:rFonts w:ascii="Times New Roman" w:hAnsi="Times New Roman"/>
          <w:b/>
          <w:noProof/>
          <w:sz w:val="24"/>
        </w:rPr>
        <w:t>centrais</w:t>
      </w:r>
      <w:r>
        <w:rPr>
          <w:rFonts w:ascii="Times New Roman" w:hAnsi="Times New Roman"/>
          <w:noProof/>
          <w:sz w:val="24"/>
        </w:rPr>
        <w:t xml:space="preserve"> </w:t>
      </w:r>
      <w:r>
        <w:rPr>
          <w:rFonts w:ascii="Times New Roman" w:hAnsi="Times New Roman"/>
          <w:b/>
          <w:noProof/>
          <w:sz w:val="24"/>
        </w:rPr>
        <w:t>de valores mobiliários</w:t>
      </w:r>
      <w:r>
        <w:rPr>
          <w:rFonts w:ascii="Times New Roman" w:hAnsi="Times New Roman"/>
          <w:noProof/>
          <w:sz w:val="24"/>
        </w:rPr>
        <w:t>. Esta decisão permitirá que est</w:t>
      </w:r>
      <w:r>
        <w:rPr>
          <w:rFonts w:ascii="Times New Roman" w:hAnsi="Times New Roman"/>
          <w:noProof/>
          <w:sz w:val="24"/>
        </w:rPr>
        <w:t xml:space="preserve">es últimos continuem a prestar aos operadores da União serviços de registo em conta e de administração de sistema de registo centralizado. Deste modo, os operadores da UE27 que atualmente não dispõem de alternativa imediata na UE27 poderão cumprir as suas </w:t>
      </w:r>
      <w:r>
        <w:rPr>
          <w:rFonts w:ascii="Times New Roman" w:hAnsi="Times New Roman"/>
          <w:noProof/>
          <w:sz w:val="24"/>
        </w:rPr>
        <w:t>obrigações que lhes incumbem por força do direito da União.</w:t>
      </w:r>
    </w:p>
    <w:p w:rsidR="00CD4822" w:rsidRDefault="004324D5">
      <w:pPr>
        <w:pStyle w:val="ListParagraph"/>
        <w:numPr>
          <w:ilvl w:val="0"/>
          <w:numId w:val="33"/>
        </w:numPr>
        <w:spacing w:before="360" w:after="120"/>
        <w:jc w:val="both"/>
        <w:rPr>
          <w:rFonts w:ascii="Times New Roman" w:eastAsia="Times New Roman" w:hAnsi="Times New Roman"/>
          <w:noProof/>
          <w:sz w:val="24"/>
          <w:szCs w:val="24"/>
        </w:rPr>
      </w:pPr>
      <w:r>
        <w:rPr>
          <w:rFonts w:ascii="Times New Roman" w:hAnsi="Times New Roman"/>
          <w:noProof/>
          <w:sz w:val="24"/>
        </w:rPr>
        <w:t>Dois regulamentos</w:t>
      </w:r>
      <w:r>
        <w:rPr>
          <w:rStyle w:val="EndnoteReference"/>
          <w:rFonts w:ascii="Times New Roman" w:hAnsi="Times New Roman"/>
          <w:noProof/>
          <w:sz w:val="24"/>
        </w:rPr>
        <w:endnoteReference w:id="4"/>
      </w:r>
      <w:r>
        <w:rPr>
          <w:rFonts w:ascii="Times New Roman" w:hAnsi="Times New Roman"/>
          <w:noProof/>
          <w:sz w:val="24"/>
        </w:rPr>
        <w:t xml:space="preserve"> </w:t>
      </w:r>
      <w:r>
        <w:rPr>
          <w:rStyle w:val="EndnoteReference"/>
          <w:rFonts w:ascii="Times New Roman" w:hAnsi="Times New Roman"/>
          <w:noProof/>
          <w:sz w:val="24"/>
        </w:rPr>
        <w:endnoteReference w:id="5"/>
      </w:r>
      <w:r>
        <w:rPr>
          <w:rFonts w:ascii="Times New Roman" w:hAnsi="Times New Roman"/>
          <w:noProof/>
          <w:sz w:val="24"/>
        </w:rPr>
        <w:t xml:space="preserve"> delegados que facilitam a novação, por período fixo, de </w:t>
      </w:r>
      <w:r>
        <w:rPr>
          <w:rFonts w:ascii="Times New Roman" w:hAnsi="Times New Roman"/>
          <w:b/>
          <w:noProof/>
          <w:sz w:val="24"/>
        </w:rPr>
        <w:t>determinados contratos de derivados do mercado de balcão com contrapartes estabelecidas no Reino Unido</w:t>
      </w:r>
      <w:r>
        <w:rPr>
          <w:rFonts w:ascii="Times New Roman" w:hAnsi="Times New Roman"/>
          <w:noProof/>
          <w:sz w:val="24"/>
        </w:rPr>
        <w:t>, em substituição</w:t>
      </w:r>
      <w:r>
        <w:rPr>
          <w:rFonts w:ascii="Times New Roman" w:hAnsi="Times New Roman"/>
          <w:noProof/>
          <w:sz w:val="24"/>
        </w:rPr>
        <w:t xml:space="preserve"> de contrapartes estabelecidas na União. Estes atos permitem que tais contratos sejam transferidos para contrapartes da UE27 mantendo o seu estatuto de isenção, sem passarem a estar sujeitos às obrigações de compensação e de aplicação de margens impostas p</w:t>
      </w:r>
      <w:r>
        <w:rPr>
          <w:rFonts w:ascii="Times New Roman" w:hAnsi="Times New Roman"/>
          <w:noProof/>
          <w:sz w:val="24"/>
        </w:rPr>
        <w:t>elo Regulamento Infraestruturas do Mercado Europeu («EMIR»). Esses contratos, anteriores ao EMIR, estão isentos do cumprimento dos requisitos estabelecidos por esse regulamento. Estes atos impedirão que a mudança de contraparte altere o estatuto de isenção</w:t>
      </w:r>
      <w:r>
        <w:rPr>
          <w:rFonts w:ascii="Times New Roman" w:hAnsi="Times New Roman"/>
          <w:noProof/>
          <w:sz w:val="24"/>
        </w:rPr>
        <w:t>.</w:t>
      </w:r>
    </w:p>
    <w:p w:rsidR="00CD4822" w:rsidRDefault="004324D5">
      <w:pPr>
        <w:spacing w:before="360" w:after="120"/>
        <w:jc w:val="both"/>
        <w:rPr>
          <w:rFonts w:ascii="Times New Roman" w:hAnsi="Times New Roman"/>
          <w:noProof/>
          <w:sz w:val="24"/>
        </w:rPr>
      </w:pPr>
      <w:r>
        <w:rPr>
          <w:rFonts w:ascii="Times New Roman" w:hAnsi="Times New Roman"/>
          <w:noProof/>
          <w:sz w:val="24"/>
        </w:rPr>
        <w:t>As sociedades de todos os setores de serviços financeiros devem continuar a tomar as medidas necessárias para a atenuação dos riscos e assegurar a continuação dos serviços prestados aos clientes. As sociedades devem informar ativamente os clientes das me</w:t>
      </w:r>
      <w:r>
        <w:rPr>
          <w:rFonts w:ascii="Times New Roman" w:hAnsi="Times New Roman"/>
          <w:noProof/>
          <w:sz w:val="24"/>
        </w:rPr>
        <w:t>didas que tiverem tomado e do seu modo de aplicação. Pela sua parte, os clientes de sociedades britânicas situados na União Europeia têm de se preparar para a eventualidade de os seus prestadores de serviços deixarem de estar sujeitos ao direito da UE.</w:t>
      </w:r>
    </w:p>
    <w:p w:rsidR="00CD4822" w:rsidRDefault="004324D5">
      <w:pPr>
        <w:keepNext/>
        <w:spacing w:before="360" w:after="240"/>
        <w:jc w:val="both"/>
        <w:rPr>
          <w:rFonts w:ascii="Times New Roman" w:eastAsia="Times New Roman" w:hAnsi="Times New Roman"/>
          <w:b/>
          <w:i/>
          <w:noProof/>
          <w:sz w:val="24"/>
          <w:szCs w:val="24"/>
        </w:rPr>
      </w:pPr>
      <w:r>
        <w:rPr>
          <w:rFonts w:ascii="Times New Roman" w:hAnsi="Times New Roman"/>
          <w:b/>
          <w:i/>
          <w:noProof/>
          <w:sz w:val="24"/>
        </w:rPr>
        <w:t>Tra</w:t>
      </w:r>
      <w:r>
        <w:rPr>
          <w:rFonts w:ascii="Times New Roman" w:hAnsi="Times New Roman"/>
          <w:b/>
          <w:i/>
          <w:noProof/>
          <w:sz w:val="24"/>
        </w:rPr>
        <w:t>nsporte aéreo</w:t>
      </w:r>
    </w:p>
    <w:p w:rsidR="00CD4822" w:rsidRDefault="004324D5">
      <w:pPr>
        <w:spacing w:before="240" w:after="200"/>
        <w:jc w:val="both"/>
        <w:rPr>
          <w:rFonts w:ascii="Times New Roman" w:eastAsia="Times New Roman" w:hAnsi="Times New Roman"/>
          <w:noProof/>
          <w:sz w:val="24"/>
          <w:szCs w:val="24"/>
        </w:rPr>
      </w:pPr>
      <w:r>
        <w:rPr>
          <w:rFonts w:ascii="Times New Roman" w:hAnsi="Times New Roman"/>
          <w:noProof/>
          <w:sz w:val="24"/>
        </w:rPr>
        <w:t xml:space="preserve">Se o Acordo de Saída não for ratificado, o tráfego aéreo entre a UE e o Reino Unido será interrompido na data da saída. A Comissão adotou hoje duas medidas temporárias no intuito de evitar a interrupção total do tráfego aéreo entre a União e </w:t>
      </w:r>
      <w:r>
        <w:rPr>
          <w:rFonts w:ascii="Times New Roman" w:hAnsi="Times New Roman"/>
          <w:noProof/>
          <w:sz w:val="24"/>
        </w:rPr>
        <w:t>o Reino Unido e de assegurar a conectividade fundamental:</w:t>
      </w:r>
    </w:p>
    <w:p w:rsidR="00CD4822" w:rsidRDefault="004324D5">
      <w:pPr>
        <w:pStyle w:val="ListParagraph"/>
        <w:numPr>
          <w:ilvl w:val="0"/>
          <w:numId w:val="4"/>
        </w:numPr>
        <w:spacing w:before="100" w:beforeAutospacing="1" w:after="120"/>
        <w:rPr>
          <w:rFonts w:ascii="Times New Roman" w:hAnsi="Times New Roman"/>
          <w:noProof/>
          <w:sz w:val="24"/>
        </w:rPr>
      </w:pPr>
      <w:r>
        <w:rPr>
          <w:rFonts w:ascii="Times New Roman" w:hAnsi="Times New Roman"/>
          <w:noProof/>
          <w:sz w:val="24"/>
        </w:rPr>
        <w:t>Uma proposta de regulamento</w:t>
      </w:r>
      <w:r>
        <w:rPr>
          <w:rStyle w:val="EndnoteReference"/>
          <w:rFonts w:ascii="Times New Roman" w:hAnsi="Times New Roman"/>
          <w:noProof/>
          <w:sz w:val="24"/>
        </w:rPr>
        <w:endnoteReference w:id="6"/>
      </w:r>
      <w:r>
        <w:rPr>
          <w:rFonts w:ascii="Times New Roman" w:hAnsi="Times New Roman"/>
          <w:noProof/>
          <w:sz w:val="24"/>
        </w:rPr>
        <w:t xml:space="preserve"> que visa assegurar temporariamente, por 12 meses, a </w:t>
      </w:r>
      <w:r>
        <w:rPr>
          <w:rFonts w:ascii="Times New Roman" w:hAnsi="Times New Roman"/>
          <w:b/>
          <w:noProof/>
          <w:sz w:val="24"/>
        </w:rPr>
        <w:t>prestação de determinados serviços aéreos entre o Reino Unido e os Estados</w:t>
      </w:r>
      <w:r>
        <w:rPr>
          <w:rFonts w:ascii="Times New Roman" w:hAnsi="Times New Roman"/>
          <w:b/>
          <w:noProof/>
          <w:sz w:val="24"/>
        </w:rPr>
        <w:noBreakHyphen/>
        <w:t>Membros da UE27</w:t>
      </w:r>
      <w:r>
        <w:rPr>
          <w:rFonts w:ascii="Times New Roman" w:hAnsi="Times New Roman"/>
          <w:noProof/>
          <w:sz w:val="24"/>
        </w:rPr>
        <w:t xml:space="preserve">, mediante a autorização a </w:t>
      </w:r>
      <w:r>
        <w:rPr>
          <w:rFonts w:ascii="Times New Roman" w:hAnsi="Times New Roman"/>
          <w:noProof/>
          <w:sz w:val="24"/>
        </w:rPr>
        <w:t>transportadoras aéreas do Reino Unido de sobrevoo do território da União, sem aterragem, de escalas no território da União para fins não comerciais, e de prestação de serviços regulares e não regulares de transporte aéreo internacional de passageiros e car</w:t>
      </w:r>
      <w:r>
        <w:rPr>
          <w:rFonts w:ascii="Times New Roman" w:hAnsi="Times New Roman"/>
          <w:noProof/>
          <w:sz w:val="24"/>
        </w:rPr>
        <w:t>ga. Esta autorização está dependente da concessão pelo Reino Unido de direitos equivalentes às transportadoras aéreas da União, assim como do estabelecimento por esse país de condições de concorrência leal.</w:t>
      </w:r>
    </w:p>
    <w:p w:rsidR="00CD4822" w:rsidRDefault="004324D5">
      <w:pPr>
        <w:pStyle w:val="ListParagraph"/>
        <w:numPr>
          <w:ilvl w:val="0"/>
          <w:numId w:val="4"/>
        </w:numPr>
        <w:spacing w:before="100" w:beforeAutospacing="1" w:after="120"/>
        <w:ind w:left="714" w:hanging="357"/>
        <w:rPr>
          <w:rFonts w:ascii="Times New Roman" w:eastAsia="Times New Roman" w:hAnsi="Times New Roman"/>
          <w:noProof/>
          <w:sz w:val="24"/>
          <w:szCs w:val="24"/>
        </w:rPr>
      </w:pPr>
      <w:r>
        <w:rPr>
          <w:rFonts w:ascii="Times New Roman" w:hAnsi="Times New Roman"/>
          <w:noProof/>
          <w:sz w:val="24"/>
        </w:rPr>
        <w:t>Uma proposta de regulamento</w:t>
      </w:r>
      <w:r>
        <w:rPr>
          <w:rStyle w:val="EndnoteReference"/>
          <w:rFonts w:ascii="Times New Roman" w:hAnsi="Times New Roman"/>
          <w:noProof/>
          <w:sz w:val="24"/>
        </w:rPr>
        <w:endnoteReference w:id="7"/>
      </w:r>
      <w:r>
        <w:rPr>
          <w:rFonts w:ascii="Times New Roman" w:hAnsi="Times New Roman"/>
          <w:noProof/>
          <w:sz w:val="24"/>
        </w:rPr>
        <w:t xml:space="preserve"> relativo à </w:t>
      </w:r>
      <w:r>
        <w:rPr>
          <w:rFonts w:ascii="Times New Roman" w:hAnsi="Times New Roman"/>
          <w:b/>
          <w:noProof/>
          <w:sz w:val="24"/>
        </w:rPr>
        <w:t>segurança</w:t>
      </w:r>
      <w:r>
        <w:rPr>
          <w:rFonts w:ascii="Times New Roman" w:hAnsi="Times New Roman"/>
          <w:b/>
          <w:noProof/>
          <w:sz w:val="24"/>
        </w:rPr>
        <w:t xml:space="preserve"> da aviação</w:t>
      </w:r>
      <w:r>
        <w:rPr>
          <w:rFonts w:ascii="Times New Roman" w:hAnsi="Times New Roman"/>
          <w:noProof/>
          <w:sz w:val="24"/>
        </w:rPr>
        <w:t xml:space="preserve"> que prorroga temporariamente, por 9 meses, a validade de determinadas licenças, para atender à situação específica neste setor, em que a Agência Europeia para a Segurança da Aviação (AESA) só pode emitir determinados certificados com base numa </w:t>
      </w:r>
      <w:r>
        <w:rPr>
          <w:rFonts w:ascii="Times New Roman" w:hAnsi="Times New Roman"/>
          <w:noProof/>
          <w:sz w:val="24"/>
        </w:rPr>
        <w:t>licença emitida num país terceiro, enquanto o Reino Unido só pode emitir licenças a partir da data de saída, altura em que retomará o estatuto de «Estado de projeto».</w:t>
      </w:r>
    </w:p>
    <w:p w:rsidR="00CD4822" w:rsidRDefault="004324D5">
      <w:pPr>
        <w:spacing w:before="100" w:beforeAutospacing="1" w:after="240"/>
        <w:jc w:val="both"/>
        <w:rPr>
          <w:rFonts w:ascii="Times New Roman" w:eastAsia="Times New Roman" w:hAnsi="Times New Roman"/>
          <w:noProof/>
          <w:sz w:val="24"/>
          <w:szCs w:val="24"/>
        </w:rPr>
      </w:pPr>
      <w:r>
        <w:rPr>
          <w:rFonts w:ascii="Times New Roman" w:hAnsi="Times New Roman"/>
          <w:noProof/>
          <w:sz w:val="24"/>
        </w:rPr>
        <w:t>As medidas de contingência ao nível da União são as únicas necessárias e possíveis para o</w:t>
      </w:r>
      <w:r>
        <w:rPr>
          <w:rFonts w:ascii="Times New Roman" w:hAnsi="Times New Roman"/>
          <w:noProof/>
          <w:sz w:val="24"/>
        </w:rPr>
        <w:t xml:space="preserve"> estabelecimento do quadro jurídico que evitará a interrupção abrupta de atividades do domínio do transporte aéreo</w:t>
      </w:r>
      <w:r>
        <w:rPr>
          <w:rStyle w:val="FootnoteReference"/>
          <w:rFonts w:ascii="Times New Roman" w:hAnsi="Times New Roman"/>
          <w:noProof/>
        </w:rPr>
        <w:footnoteReference w:id="19"/>
      </w:r>
      <w:r>
        <w:rPr>
          <w:rFonts w:ascii="Times New Roman" w:hAnsi="Times New Roman"/>
          <w:noProof/>
          <w:sz w:val="24"/>
        </w:rPr>
        <w:t>. Não são, pois, necessárias medidas suplementares ao nível nacional.</w:t>
      </w:r>
    </w:p>
    <w:p w:rsidR="00CD4822" w:rsidRDefault="004324D5">
      <w:pPr>
        <w:keepNext/>
        <w:spacing w:before="360" w:after="240"/>
        <w:rPr>
          <w:rFonts w:ascii="Times New Roman" w:hAnsi="Times New Roman"/>
          <w:b/>
          <w:i/>
          <w:noProof/>
          <w:sz w:val="24"/>
          <w:szCs w:val="24"/>
        </w:rPr>
      </w:pPr>
      <w:r>
        <w:rPr>
          <w:rFonts w:ascii="Times New Roman" w:hAnsi="Times New Roman"/>
          <w:b/>
          <w:i/>
          <w:noProof/>
          <w:sz w:val="24"/>
        </w:rPr>
        <w:t>Transporte rodoviário</w:t>
      </w:r>
    </w:p>
    <w:p w:rsidR="00CD4822" w:rsidRDefault="004324D5">
      <w:pPr>
        <w:spacing w:before="240" w:after="240"/>
        <w:jc w:val="both"/>
        <w:rPr>
          <w:rFonts w:ascii="Times New Roman" w:hAnsi="Times New Roman"/>
          <w:noProof/>
          <w:sz w:val="24"/>
        </w:rPr>
      </w:pPr>
      <w:r>
        <w:rPr>
          <w:rFonts w:ascii="Times New Roman" w:hAnsi="Times New Roman"/>
          <w:noProof/>
          <w:sz w:val="24"/>
        </w:rPr>
        <w:t>Se o Acordo de Saída não for ratificado, o transporte rodoviário entre a UE e o Reino Unido será severamente restringido por um sistema internacional de quotas limitadas. A Comissão adotou hoje uma medida para assegurar a conectividade fundamental. Essa me</w:t>
      </w:r>
      <w:r>
        <w:rPr>
          <w:rFonts w:ascii="Times New Roman" w:hAnsi="Times New Roman"/>
          <w:noProof/>
          <w:sz w:val="24"/>
        </w:rPr>
        <w:t>dida permitirá temporariamente que os operadores do Reino Unido transportem mercadorias para a União, sob condição de o Reino Unido conceder direitos equivalentes aos operadores rodoviários da União e estabelecer condições para uma concorrência leal:</w:t>
      </w:r>
    </w:p>
    <w:p w:rsidR="00CD4822" w:rsidRDefault="004324D5">
      <w:pPr>
        <w:pStyle w:val="ListParagraph"/>
        <w:numPr>
          <w:ilvl w:val="0"/>
          <w:numId w:val="43"/>
        </w:numPr>
        <w:spacing w:before="240" w:after="240"/>
        <w:jc w:val="both"/>
        <w:rPr>
          <w:rFonts w:ascii="Times New Roman" w:hAnsi="Times New Roman"/>
          <w:noProof/>
          <w:sz w:val="24"/>
        </w:rPr>
      </w:pPr>
      <w:r>
        <w:rPr>
          <w:rFonts w:ascii="Times New Roman" w:hAnsi="Times New Roman"/>
          <w:noProof/>
          <w:sz w:val="24"/>
        </w:rPr>
        <w:t>Uma p</w:t>
      </w:r>
      <w:r>
        <w:rPr>
          <w:rFonts w:ascii="Times New Roman" w:hAnsi="Times New Roman"/>
          <w:noProof/>
          <w:sz w:val="24"/>
        </w:rPr>
        <w:t>roposta de regulamento</w:t>
      </w:r>
      <w:r>
        <w:rPr>
          <w:rStyle w:val="EndnoteReference"/>
          <w:rFonts w:ascii="Times New Roman" w:hAnsi="Times New Roman"/>
          <w:noProof/>
          <w:sz w:val="24"/>
        </w:rPr>
        <w:endnoteReference w:id="8"/>
      </w:r>
      <w:r>
        <w:rPr>
          <w:rFonts w:ascii="Times New Roman" w:hAnsi="Times New Roman"/>
          <w:noProof/>
          <w:sz w:val="24"/>
        </w:rPr>
        <w:t xml:space="preserve"> para assegurar temporariamente, por 9 meses, o acesso dos operadores rodoviários titulares de licenças do Reino Unido ao transporte rodoviário de mercadorias entre o território desse país e os dos Estados</w:t>
      </w:r>
      <w:r>
        <w:rPr>
          <w:rFonts w:ascii="Times New Roman" w:hAnsi="Times New Roman"/>
          <w:noProof/>
          <w:sz w:val="24"/>
        </w:rPr>
        <w:noBreakHyphen/>
        <w:t>Membros da UE27.</w:t>
      </w:r>
    </w:p>
    <w:p w:rsidR="00CD4822" w:rsidRDefault="004324D5">
      <w:pPr>
        <w:spacing w:before="240" w:after="240"/>
        <w:jc w:val="both"/>
        <w:rPr>
          <w:rFonts w:ascii="Times New Roman" w:hAnsi="Times New Roman"/>
          <w:noProof/>
          <w:sz w:val="24"/>
        </w:rPr>
      </w:pPr>
      <w:r>
        <w:rPr>
          <w:rFonts w:ascii="Times New Roman" w:hAnsi="Times New Roman"/>
          <w:noProof/>
          <w:sz w:val="24"/>
        </w:rPr>
        <w:t>As medidas</w:t>
      </w:r>
      <w:r>
        <w:rPr>
          <w:rFonts w:ascii="Times New Roman" w:hAnsi="Times New Roman"/>
          <w:noProof/>
          <w:sz w:val="24"/>
        </w:rPr>
        <w:t xml:space="preserve"> de contingência ao nível da União são necessárias para o estabelecimento do quadro jurídico em matéria de transporte rodoviário. O direito da UE substituiu antigos acordos bilaterais sobre direitos de transporte rodoviário, não podendo esses acordos ser r</w:t>
      </w:r>
      <w:r>
        <w:rPr>
          <w:rFonts w:ascii="Times New Roman" w:hAnsi="Times New Roman"/>
          <w:noProof/>
          <w:sz w:val="24"/>
        </w:rPr>
        <w:t>epristinados. Qualquer novo acordo bilateral suscitaria questões de competência e não permitiria a prestação de serviços de transporte rodoviário para o Reino Unido por operadores de Estados</w:t>
      </w:r>
      <w:r>
        <w:rPr>
          <w:rFonts w:ascii="Times New Roman" w:hAnsi="Times New Roman"/>
          <w:noProof/>
          <w:sz w:val="24"/>
        </w:rPr>
        <w:noBreakHyphen/>
        <w:t>Membros da União (tráfego terceiro), pelo que não constitui uma s</w:t>
      </w:r>
      <w:r>
        <w:rPr>
          <w:rFonts w:ascii="Times New Roman" w:hAnsi="Times New Roman"/>
          <w:noProof/>
          <w:sz w:val="24"/>
        </w:rPr>
        <w:t>olução prática.</w:t>
      </w:r>
    </w:p>
    <w:p w:rsidR="00CD4822" w:rsidRDefault="004324D5">
      <w:pPr>
        <w:keepNext/>
        <w:spacing w:before="360" w:after="240"/>
        <w:rPr>
          <w:rFonts w:ascii="Times New Roman" w:eastAsia="Times New Roman" w:hAnsi="Times New Roman"/>
          <w:b/>
          <w:i/>
          <w:noProof/>
          <w:sz w:val="24"/>
          <w:szCs w:val="24"/>
        </w:rPr>
      </w:pPr>
      <w:r>
        <w:rPr>
          <w:rFonts w:ascii="Times New Roman" w:hAnsi="Times New Roman"/>
          <w:b/>
          <w:i/>
          <w:noProof/>
          <w:sz w:val="24"/>
        </w:rPr>
        <w:t>Alfândegas e exportação de mercadorias</w:t>
      </w:r>
    </w:p>
    <w:p w:rsidR="00CD4822" w:rsidRDefault="004324D5">
      <w:pPr>
        <w:spacing w:before="240" w:after="120"/>
        <w:jc w:val="both"/>
        <w:rPr>
          <w:rFonts w:ascii="Times New Roman" w:hAnsi="Times New Roman"/>
          <w:noProof/>
          <w:sz w:val="24"/>
        </w:rPr>
      </w:pPr>
      <w:r>
        <w:rPr>
          <w:rFonts w:ascii="Times New Roman" w:hAnsi="Times New Roman"/>
          <w:noProof/>
          <w:sz w:val="24"/>
        </w:rPr>
        <w:t>Se o Acordo de Saída não for ratificado, toda a legislação da UE relativa a mercadorias importadas e exportadas se aplicará a partir da data de saída, com a consequente cobrança de direitos e impostos,</w:t>
      </w:r>
      <w:r>
        <w:rPr>
          <w:rFonts w:ascii="Times New Roman" w:hAnsi="Times New Roman"/>
          <w:noProof/>
          <w:sz w:val="24"/>
        </w:rPr>
        <w:t xml:space="preserve"> e o cumprimento das formalidades e dos controlos estabelecidos pelo atual quadro jurídico, de modo a assegurarem</w:t>
      </w:r>
      <w:r>
        <w:rPr>
          <w:rFonts w:ascii="Times New Roman" w:hAnsi="Times New Roman"/>
          <w:noProof/>
          <w:sz w:val="24"/>
        </w:rPr>
        <w:noBreakHyphen/>
        <w:t>se condições de concorrência equitativas.</w:t>
      </w:r>
    </w:p>
    <w:p w:rsidR="00CD4822" w:rsidRDefault="004324D5">
      <w:pPr>
        <w:spacing w:before="240" w:after="120"/>
        <w:jc w:val="both"/>
        <w:rPr>
          <w:rFonts w:ascii="Times New Roman" w:eastAsia="Times New Roman" w:hAnsi="Times New Roman"/>
          <w:noProof/>
          <w:sz w:val="24"/>
          <w:szCs w:val="24"/>
        </w:rPr>
      </w:pPr>
      <w:r>
        <w:rPr>
          <w:rFonts w:ascii="Times New Roman" w:hAnsi="Times New Roman"/>
          <w:noProof/>
          <w:sz w:val="24"/>
        </w:rPr>
        <w:t>A atuação dos Estados</w:t>
      </w:r>
      <w:r>
        <w:rPr>
          <w:rFonts w:ascii="Times New Roman" w:hAnsi="Times New Roman"/>
          <w:noProof/>
          <w:sz w:val="24"/>
        </w:rPr>
        <w:noBreakHyphen/>
        <w:t>Membros continua a ser essencial. Os Estados</w:t>
      </w:r>
      <w:r>
        <w:rPr>
          <w:rFonts w:ascii="Times New Roman" w:hAnsi="Times New Roman"/>
          <w:noProof/>
          <w:sz w:val="24"/>
        </w:rPr>
        <w:noBreakHyphen/>
        <w:t>Membros têm de tomar todas as med</w:t>
      </w:r>
      <w:r>
        <w:rPr>
          <w:rFonts w:ascii="Times New Roman" w:hAnsi="Times New Roman"/>
          <w:noProof/>
          <w:sz w:val="24"/>
        </w:rPr>
        <w:t>idas necessárias para poderem aplicar, desde a data de saída, se o Acordo de Saída não for ratificado, o Código Aduaneiro da União e as normas em matéria de tributação indireta de todas as importações e exportações de e para o Reino Unido. Devem recorrer à</w:t>
      </w:r>
      <w:r>
        <w:rPr>
          <w:rFonts w:ascii="Times New Roman" w:hAnsi="Times New Roman"/>
          <w:noProof/>
          <w:sz w:val="24"/>
        </w:rPr>
        <w:t>s possibilidades de emissão de autorizações para a aplicação de medidas de facilitação, previstas pelo Código Aduaneiro da União. Por ocasião de reuniões com os Estados</w:t>
      </w:r>
      <w:r>
        <w:rPr>
          <w:rFonts w:ascii="Times New Roman" w:hAnsi="Times New Roman"/>
          <w:noProof/>
          <w:sz w:val="24"/>
        </w:rPr>
        <w:noBreakHyphen/>
        <w:t>Membros, a Comissão comunicou informações pormenorizadas sobre as opções disponíveis ao</w:t>
      </w:r>
      <w:r>
        <w:rPr>
          <w:rFonts w:ascii="Times New Roman" w:hAnsi="Times New Roman"/>
          <w:noProof/>
          <w:sz w:val="24"/>
        </w:rPr>
        <w:t xml:space="preserve"> abrigo do Código Aduaneiro da União.</w:t>
      </w:r>
    </w:p>
    <w:p w:rsidR="00CD4822" w:rsidRDefault="004324D5">
      <w:pPr>
        <w:spacing w:before="240" w:after="120"/>
        <w:jc w:val="both"/>
        <w:rPr>
          <w:rFonts w:ascii="Times New Roman" w:hAnsi="Times New Roman"/>
          <w:noProof/>
          <w:sz w:val="24"/>
        </w:rPr>
      </w:pPr>
      <w:r>
        <w:rPr>
          <w:rFonts w:ascii="Times New Roman" w:hAnsi="Times New Roman"/>
          <w:noProof/>
          <w:sz w:val="24"/>
        </w:rPr>
        <w:t>A Comissão adotou ainda, hoje, a seguinte medida técnica:</w:t>
      </w:r>
    </w:p>
    <w:p w:rsidR="00CD4822" w:rsidRDefault="004324D5">
      <w:pPr>
        <w:pStyle w:val="ListParagraph"/>
        <w:numPr>
          <w:ilvl w:val="0"/>
          <w:numId w:val="42"/>
        </w:numPr>
        <w:spacing w:before="240" w:after="120"/>
        <w:jc w:val="both"/>
        <w:rPr>
          <w:rFonts w:ascii="Times New Roman" w:eastAsia="Times New Roman" w:hAnsi="Times New Roman"/>
          <w:noProof/>
          <w:sz w:val="24"/>
          <w:szCs w:val="24"/>
        </w:rPr>
      </w:pPr>
      <w:r>
        <w:rPr>
          <w:rFonts w:ascii="Times New Roman" w:hAnsi="Times New Roman"/>
          <w:noProof/>
          <w:sz w:val="24"/>
        </w:rPr>
        <w:t>Um regulamento delegado</w:t>
      </w:r>
      <w:r>
        <w:rPr>
          <w:rStyle w:val="EndnoteReference"/>
          <w:rFonts w:ascii="Times New Roman" w:hAnsi="Times New Roman"/>
          <w:noProof/>
          <w:sz w:val="24"/>
        </w:rPr>
        <w:endnoteReference w:id="9"/>
      </w:r>
      <w:r>
        <w:rPr>
          <w:rFonts w:ascii="Times New Roman" w:hAnsi="Times New Roman"/>
          <w:noProof/>
          <w:sz w:val="24"/>
        </w:rPr>
        <w:t xml:space="preserve"> que inclui os mares que banham o Reino Unido nas disposições sobre os prazos em que devem ser apresentadas as declarações sumárias de e</w:t>
      </w:r>
      <w:r>
        <w:rPr>
          <w:rFonts w:ascii="Times New Roman" w:hAnsi="Times New Roman"/>
          <w:noProof/>
          <w:sz w:val="24"/>
        </w:rPr>
        <w:t>ntrada e as declarações prévias de saída, antes da entrada ou da saída do território aduaneiro da União.</w:t>
      </w:r>
    </w:p>
    <w:p w:rsidR="00CD4822" w:rsidRDefault="004324D5">
      <w:pPr>
        <w:pStyle w:val="NormalWeb"/>
        <w:spacing w:before="360" w:after="240"/>
        <w:jc w:val="both"/>
        <w:rPr>
          <w:noProof/>
        </w:rPr>
      </w:pPr>
      <w:r>
        <w:rPr>
          <w:noProof/>
        </w:rPr>
        <w:t xml:space="preserve">Se o Acordo de Saída não for ratificado, a </w:t>
      </w:r>
      <w:r>
        <w:rPr>
          <w:b/>
          <w:noProof/>
        </w:rPr>
        <w:t>exportação de produtos de dupla utilização</w:t>
      </w:r>
      <w:r>
        <w:rPr>
          <w:noProof/>
        </w:rPr>
        <w:t xml:space="preserve"> da UE para o Reino Unido carecerá de licenças individuais a parti</w:t>
      </w:r>
      <w:r>
        <w:rPr>
          <w:noProof/>
        </w:rPr>
        <w:t>r da data de saída. Os produtos de dupla utilização são mercadorias, suporte lógico e tecnologia que podem ser utilizados tanto para fins civis como para fins militares. A União controla a exportação, o trânsito e a corretagem dos produtos de dupla utiliza</w:t>
      </w:r>
      <w:r>
        <w:rPr>
          <w:noProof/>
        </w:rPr>
        <w:t>ção, contribuindo, assim, para a paz e a segurança internacionais, e impedindo a proliferação de armas de destruição maciça (ADM). As autorizações gerais de exportação da União (EUGEA) permitem a exportação de produtos de dupla utilização para determinados</w:t>
      </w:r>
      <w:r>
        <w:rPr>
          <w:noProof/>
        </w:rPr>
        <w:t xml:space="preserve"> destinos, sob determinadas condições</w:t>
      </w:r>
      <w:r>
        <w:rPr>
          <w:rStyle w:val="FootnoteReference"/>
          <w:noProof/>
        </w:rPr>
        <w:footnoteReference w:id="20"/>
      </w:r>
      <w:r>
        <w:rPr>
          <w:noProof/>
        </w:rPr>
        <w:t>. Para facilitar os controlos das exportações de produtos de dupla utilização</w:t>
      </w:r>
      <w:r>
        <w:rPr>
          <w:b/>
          <w:noProof/>
        </w:rPr>
        <w:t xml:space="preserve"> </w:t>
      </w:r>
      <w:r>
        <w:rPr>
          <w:noProof/>
        </w:rPr>
        <w:t>para o Reino Unido a partir da data de saída, se o Acordo de Saída não for ratificado, assim como assegurar o bom funcionamento do regime de</w:t>
      </w:r>
      <w:r>
        <w:rPr>
          <w:noProof/>
        </w:rPr>
        <w:t xml:space="preserve"> autorizações de exportação para os Estados</w:t>
      </w:r>
      <w:r>
        <w:rPr>
          <w:noProof/>
        </w:rPr>
        <w:noBreakHyphen/>
        <w:t>Membros da UE27, a Comissão adotou o seguinte ato:</w:t>
      </w:r>
    </w:p>
    <w:p w:rsidR="00CD4822" w:rsidRDefault="004324D5">
      <w:pPr>
        <w:pStyle w:val="NormalWeb"/>
        <w:numPr>
          <w:ilvl w:val="0"/>
          <w:numId w:val="36"/>
        </w:numPr>
        <w:ind w:left="714" w:hanging="357"/>
        <w:jc w:val="both"/>
        <w:rPr>
          <w:noProof/>
        </w:rPr>
      </w:pPr>
      <w:r>
        <w:rPr>
          <w:noProof/>
        </w:rPr>
        <w:t>Uma proposta de regulamento</w:t>
      </w:r>
      <w:r>
        <w:rPr>
          <w:rStyle w:val="EndnoteReference"/>
          <w:noProof/>
        </w:rPr>
        <w:endnoteReference w:id="10"/>
      </w:r>
      <w:r>
        <w:rPr>
          <w:noProof/>
        </w:rPr>
        <w:t xml:space="preserve"> que acrescenta o Reino Unido à lista dos países para os quais é válida em toda a UE uma autorização geral de exportação de produtos </w:t>
      </w:r>
      <w:r>
        <w:rPr>
          <w:noProof/>
        </w:rPr>
        <w:t>de dupla utilização.</w:t>
      </w:r>
    </w:p>
    <w:p w:rsidR="00CD4822" w:rsidRDefault="004324D5">
      <w:pPr>
        <w:keepNext/>
        <w:spacing w:before="360" w:after="240"/>
        <w:jc w:val="both"/>
        <w:rPr>
          <w:rFonts w:ascii="Times New Roman" w:eastAsia="Times New Roman" w:hAnsi="Times New Roman"/>
          <w:noProof/>
          <w:sz w:val="24"/>
          <w:szCs w:val="24"/>
        </w:rPr>
      </w:pPr>
      <w:r>
        <w:rPr>
          <w:rFonts w:ascii="Times New Roman" w:hAnsi="Times New Roman"/>
          <w:b/>
          <w:i/>
          <w:noProof/>
          <w:sz w:val="24"/>
        </w:rPr>
        <w:t>Política climática da União Europeia</w:t>
      </w:r>
    </w:p>
    <w:p w:rsidR="00CD4822" w:rsidRDefault="004324D5">
      <w:pPr>
        <w:pStyle w:val="NormalWeb"/>
        <w:spacing w:after="240"/>
        <w:jc w:val="both"/>
        <w:rPr>
          <w:noProof/>
        </w:rPr>
      </w:pPr>
      <w:r>
        <w:rPr>
          <w:noProof/>
        </w:rPr>
        <w:t>A política climática da União Europeia recorre a vários instrumentos, em particular ao regime de comércio de licenças de emissão e ao regime de quotas para a colocação de hidrofluorocarbonetos no me</w:t>
      </w:r>
      <w:r>
        <w:rPr>
          <w:noProof/>
        </w:rPr>
        <w:t xml:space="preserve">rcado. O </w:t>
      </w:r>
      <w:r>
        <w:rPr>
          <w:b/>
          <w:noProof/>
        </w:rPr>
        <w:t>regime de comércio de licenças de emissão</w:t>
      </w:r>
      <w:r>
        <w:rPr>
          <w:noProof/>
        </w:rPr>
        <w:t xml:space="preserve"> funciona com base nos mecanismos do mercado para a oferta de licenças de emissão. Se o Acordo de Saída não for ratificado, o Reino Unido deixará de participar no regime, pelo que as licenças que emitiu pod</w:t>
      </w:r>
      <w:r>
        <w:rPr>
          <w:noProof/>
        </w:rPr>
        <w:t>erão criar uma situação de excesso de oferta. A fim de impedir a distorção do mercado que daí resultaria, e para assegurar o regular funcionamento, assim como a integridade ambiental do regime de comércio de licenças de emissão, a Comissão adotou o seguint</w:t>
      </w:r>
      <w:r>
        <w:rPr>
          <w:noProof/>
        </w:rPr>
        <w:t>e ato:</w:t>
      </w:r>
    </w:p>
    <w:p w:rsidR="00CD4822" w:rsidRDefault="004324D5">
      <w:pPr>
        <w:pStyle w:val="NormalWeb"/>
        <w:numPr>
          <w:ilvl w:val="0"/>
          <w:numId w:val="36"/>
        </w:numPr>
        <w:spacing w:before="120" w:after="120"/>
        <w:jc w:val="both"/>
        <w:rPr>
          <w:noProof/>
        </w:rPr>
      </w:pPr>
      <w:r>
        <w:rPr>
          <w:noProof/>
        </w:rPr>
        <w:t>Uma decisão da Comissão</w:t>
      </w:r>
      <w:r>
        <w:rPr>
          <w:rStyle w:val="EndnoteReference"/>
          <w:noProof/>
        </w:rPr>
        <w:endnoteReference w:id="11"/>
      </w:r>
      <w:r>
        <w:rPr>
          <w:noProof/>
        </w:rPr>
        <w:t xml:space="preserve"> que </w:t>
      </w:r>
      <w:r>
        <w:rPr>
          <w:b/>
          <w:noProof/>
        </w:rPr>
        <w:t>suspende temporariamente</w:t>
      </w:r>
      <w:r>
        <w:rPr>
          <w:noProof/>
        </w:rPr>
        <w:t>, com efeitos a partir de 1 de janeiro de 2019, a possibilidade de o Reino Unido</w:t>
      </w:r>
      <w:r>
        <w:rPr>
          <w:b/>
          <w:noProof/>
        </w:rPr>
        <w:t xml:space="preserve"> </w:t>
      </w:r>
      <w:r>
        <w:rPr>
          <w:noProof/>
        </w:rPr>
        <w:t>proceder à atribuição gratuita de licenças de emissão, à venda em leilão e ao intercâmbio de créditos internacionai</w:t>
      </w:r>
      <w:r>
        <w:rPr>
          <w:noProof/>
        </w:rPr>
        <w:t>s.</w:t>
      </w:r>
    </w:p>
    <w:p w:rsidR="00CD4822" w:rsidRDefault="004324D5">
      <w:pPr>
        <w:pStyle w:val="NormalWeb"/>
        <w:spacing w:before="240" w:after="240"/>
        <w:jc w:val="both"/>
        <w:rPr>
          <w:noProof/>
        </w:rPr>
      </w:pPr>
      <w:r>
        <w:rPr>
          <w:noProof/>
        </w:rPr>
        <w:t xml:space="preserve">Acresce que, se o Acordo de Saída não for ratificado, o Reino Unido deixará de participar no regime de quotas para a colocação de </w:t>
      </w:r>
      <w:r>
        <w:rPr>
          <w:b/>
          <w:noProof/>
        </w:rPr>
        <w:t>hidrofluorocarbonetos</w:t>
      </w:r>
      <w:r>
        <w:rPr>
          <w:noProof/>
        </w:rPr>
        <w:t xml:space="preserve"> no mercado. Por conseguinte, a Comissão adotou as seguintes medidas:</w:t>
      </w:r>
    </w:p>
    <w:p w:rsidR="00CD4822" w:rsidRDefault="004324D5">
      <w:pPr>
        <w:pStyle w:val="NormalWeb"/>
        <w:numPr>
          <w:ilvl w:val="0"/>
          <w:numId w:val="36"/>
        </w:numPr>
        <w:spacing w:before="120" w:after="120"/>
        <w:ind w:left="714" w:hanging="357"/>
        <w:jc w:val="both"/>
        <w:rPr>
          <w:noProof/>
        </w:rPr>
      </w:pPr>
      <w:r>
        <w:rPr>
          <w:noProof/>
        </w:rPr>
        <w:t>Uma decisão de execução</w:t>
      </w:r>
      <w:r>
        <w:rPr>
          <w:rStyle w:val="EndnoteReference"/>
          <w:noProof/>
        </w:rPr>
        <w:endnoteReference w:id="12"/>
      </w:r>
      <w:r>
        <w:rPr>
          <w:noProof/>
        </w:rPr>
        <w:t xml:space="preserve"> que permite a atribuição anual de uma quota adequada às empresas do Reino Unido para acesso ao mercado da UE27;</w:t>
      </w:r>
    </w:p>
    <w:p w:rsidR="00CD4822" w:rsidRDefault="004324D5">
      <w:pPr>
        <w:pStyle w:val="NormalWeb"/>
        <w:numPr>
          <w:ilvl w:val="0"/>
          <w:numId w:val="25"/>
        </w:numPr>
        <w:spacing w:before="120" w:after="120"/>
        <w:ind w:left="714" w:hanging="357"/>
        <w:jc w:val="both"/>
        <w:rPr>
          <w:noProof/>
        </w:rPr>
      </w:pPr>
      <w:r>
        <w:rPr>
          <w:noProof/>
        </w:rPr>
        <w:t>Um regulamento de execução</w:t>
      </w:r>
      <w:r>
        <w:rPr>
          <w:rStyle w:val="EndnoteReference"/>
          <w:noProof/>
        </w:rPr>
        <w:endnoteReference w:id="13"/>
      </w:r>
      <w:r>
        <w:rPr>
          <w:noProof/>
        </w:rPr>
        <w:t xml:space="preserve"> que assegura que a prestação de informações pelas empresas distingue entre o mercado da UE e o mercado britânico, d</w:t>
      </w:r>
      <w:r>
        <w:rPr>
          <w:noProof/>
        </w:rPr>
        <w:t>e modo a permitir futuramente uma atribuição correta de quotas.</w:t>
      </w:r>
    </w:p>
    <w:p w:rsidR="00CD4822" w:rsidRDefault="004324D5">
      <w:pPr>
        <w:pStyle w:val="NormalWeb"/>
        <w:keepNext/>
        <w:spacing w:before="360" w:after="240"/>
        <w:jc w:val="both"/>
        <w:rPr>
          <w:b/>
          <w:i/>
          <w:noProof/>
        </w:rPr>
      </w:pPr>
      <w:r>
        <w:rPr>
          <w:b/>
          <w:i/>
          <w:noProof/>
        </w:rPr>
        <w:t>Outros setores</w:t>
      </w:r>
    </w:p>
    <w:p w:rsidR="00CD4822" w:rsidRDefault="004324D5">
      <w:pPr>
        <w:pStyle w:val="NormalWeb"/>
        <w:spacing w:after="240"/>
        <w:jc w:val="both"/>
        <w:rPr>
          <w:noProof/>
        </w:rPr>
      </w:pPr>
      <w:r>
        <w:rPr>
          <w:noProof/>
        </w:rPr>
        <w:t xml:space="preserve">A Comissão reitera o compromisso de assegurar a continuidade, em qualquer cenário, dos </w:t>
      </w:r>
      <w:r>
        <w:rPr>
          <w:b/>
          <w:noProof/>
        </w:rPr>
        <w:t xml:space="preserve">atuais programas que envolvem as circunscrições administrativas fronteiriças da Irlanda e </w:t>
      </w:r>
      <w:r>
        <w:rPr>
          <w:b/>
          <w:noProof/>
        </w:rPr>
        <w:t>da Irlanda do Norte</w:t>
      </w:r>
      <w:r>
        <w:rPr>
          <w:noProof/>
        </w:rPr>
        <w:t>, dada a importância particular de que se reveste a cooperação nessa região. Para o efeito, a Comissão adotou hoje o seguinte ato:</w:t>
      </w:r>
    </w:p>
    <w:p w:rsidR="00CD4822" w:rsidRDefault="004324D5">
      <w:pPr>
        <w:pStyle w:val="NormalWeb"/>
        <w:numPr>
          <w:ilvl w:val="0"/>
          <w:numId w:val="37"/>
        </w:numPr>
        <w:jc w:val="both"/>
        <w:rPr>
          <w:noProof/>
        </w:rPr>
      </w:pPr>
      <w:r>
        <w:rPr>
          <w:noProof/>
        </w:rPr>
        <w:t>Uma proposta de regulamento</w:t>
      </w:r>
      <w:r>
        <w:rPr>
          <w:rStyle w:val="EndnoteReference"/>
          <w:noProof/>
        </w:rPr>
        <w:endnoteReference w:id="14"/>
      </w:r>
      <w:r>
        <w:rPr>
          <w:noProof/>
        </w:rPr>
        <w:t xml:space="preserve"> que assegura a continuação dos programas PEACE IV (Irlanda</w:t>
      </w:r>
      <w:r>
        <w:rPr>
          <w:noProof/>
        </w:rPr>
        <w:noBreakHyphen/>
        <w:t>Reino Unido) e Rei</w:t>
      </w:r>
      <w:r>
        <w:rPr>
          <w:noProof/>
        </w:rPr>
        <w:t>no Unido</w:t>
      </w:r>
      <w:r>
        <w:rPr>
          <w:noProof/>
        </w:rPr>
        <w:noBreakHyphen/>
        <w:t>Irlanda (Irlanda</w:t>
      </w:r>
      <w:r>
        <w:rPr>
          <w:noProof/>
        </w:rPr>
        <w:noBreakHyphen/>
        <w:t>Irlanda do Norte</w:t>
      </w:r>
      <w:r>
        <w:rPr>
          <w:noProof/>
        </w:rPr>
        <w:noBreakHyphen/>
        <w:t>Escócia) até ao fim de 2020.</w:t>
      </w:r>
    </w:p>
    <w:p w:rsidR="00CD4822" w:rsidRDefault="004324D5">
      <w:pPr>
        <w:pStyle w:val="NormalWeb"/>
        <w:spacing w:before="240" w:after="240"/>
        <w:jc w:val="both"/>
        <w:rPr>
          <w:noProof/>
        </w:rPr>
      </w:pPr>
      <w:r>
        <w:rPr>
          <w:noProof/>
        </w:rPr>
        <w:t>A Comissão sublinha o facto de ter proposto para o próximo quadro financeiro plurianual o prosseguimento e o reforço do apoio transnacional à paz e à reconciliação nas circunscrições a</w:t>
      </w:r>
      <w:r>
        <w:rPr>
          <w:noProof/>
        </w:rPr>
        <w:t>dministrativas fronteiriças da Irlanda e da Irlanda do Norte</w:t>
      </w:r>
      <w:r>
        <w:rPr>
          <w:rStyle w:val="FootnoteReference"/>
          <w:noProof/>
        </w:rPr>
        <w:footnoteReference w:id="21"/>
      </w:r>
      <w:r>
        <w:rPr>
          <w:noProof/>
        </w:rPr>
        <w:t>.</w:t>
      </w:r>
    </w:p>
    <w:p w:rsidR="00CD4822" w:rsidRDefault="004324D5">
      <w:pPr>
        <w:pStyle w:val="NormalWeb"/>
        <w:spacing w:before="240" w:after="240"/>
        <w:jc w:val="both"/>
        <w:rPr>
          <w:noProof/>
        </w:rPr>
      </w:pPr>
      <w:r>
        <w:rPr>
          <w:noProof/>
        </w:rPr>
        <w:t>Por último, em consequência da saída do Reino Unido, impõem</w:t>
      </w:r>
      <w:r>
        <w:rPr>
          <w:noProof/>
        </w:rPr>
        <w:noBreakHyphen/>
        <w:t xml:space="preserve">se algumas adaptações nas normas sobre </w:t>
      </w:r>
      <w:r>
        <w:rPr>
          <w:b/>
          <w:noProof/>
        </w:rPr>
        <w:t>estatísticas</w:t>
      </w:r>
      <w:r>
        <w:rPr>
          <w:noProof/>
        </w:rPr>
        <w:t>. Nessa perspetiva, a Comissão adotou hoje o seguinte ato:</w:t>
      </w:r>
    </w:p>
    <w:p w:rsidR="00CD4822" w:rsidRDefault="004324D5">
      <w:pPr>
        <w:pStyle w:val="NormalWeb"/>
        <w:numPr>
          <w:ilvl w:val="0"/>
          <w:numId w:val="37"/>
        </w:numPr>
        <w:jc w:val="both"/>
        <w:rPr>
          <w:noProof/>
        </w:rPr>
      </w:pPr>
      <w:r>
        <w:rPr>
          <w:noProof/>
        </w:rPr>
        <w:t>Um regulamento delegado</w:t>
      </w:r>
      <w:r>
        <w:rPr>
          <w:noProof/>
        </w:rPr>
        <w:t xml:space="preserve"> da Comissão</w:t>
      </w:r>
      <w:r>
        <w:rPr>
          <w:rStyle w:val="EndnoteReference"/>
          <w:noProof/>
        </w:rPr>
        <w:endnoteReference w:id="15"/>
      </w:r>
      <w:r>
        <w:rPr>
          <w:noProof/>
        </w:rPr>
        <w:t xml:space="preserve"> relativo à inclusão do Reino Unido nas estatísticas referentes à balança de pagamentos, ao comércio internacional de serviços e ao investimento direto estrangeiro.</w:t>
      </w:r>
    </w:p>
    <w:p w:rsidR="00CD4822" w:rsidRDefault="004324D5">
      <w:pPr>
        <w:pStyle w:val="NormalWeb"/>
        <w:numPr>
          <w:ilvl w:val="0"/>
          <w:numId w:val="29"/>
        </w:numPr>
        <w:spacing w:before="480"/>
        <w:ind w:hanging="720"/>
        <w:jc w:val="both"/>
        <w:rPr>
          <w:b/>
          <w:noProof/>
        </w:rPr>
      </w:pPr>
      <w:r>
        <w:rPr>
          <w:b/>
          <w:noProof/>
        </w:rPr>
        <w:t>Próximas fases da contingência</w:t>
      </w:r>
    </w:p>
    <w:p w:rsidR="00CD4822" w:rsidRDefault="004324D5">
      <w:pPr>
        <w:spacing w:before="120" w:after="200"/>
        <w:jc w:val="both"/>
        <w:rPr>
          <w:rFonts w:ascii="Times New Roman" w:eastAsia="Times New Roman" w:hAnsi="Times New Roman"/>
          <w:noProof/>
          <w:sz w:val="24"/>
          <w:szCs w:val="24"/>
        </w:rPr>
      </w:pPr>
      <w:r>
        <w:rPr>
          <w:rFonts w:ascii="Times New Roman" w:hAnsi="Times New Roman"/>
          <w:noProof/>
          <w:sz w:val="24"/>
        </w:rPr>
        <w:t>A Comissão continuará a executar o seu Plano de</w:t>
      </w:r>
      <w:r>
        <w:rPr>
          <w:rFonts w:ascii="Times New Roman" w:hAnsi="Times New Roman"/>
          <w:noProof/>
          <w:sz w:val="24"/>
        </w:rPr>
        <w:t xml:space="preserve"> Ação de Contingência nas próximas semanas e a observar a necessidade de medidas suplementares.</w:t>
      </w:r>
    </w:p>
    <w:p w:rsidR="00CD4822" w:rsidRDefault="004324D5">
      <w:pPr>
        <w:spacing w:before="120" w:after="200"/>
        <w:jc w:val="both"/>
        <w:rPr>
          <w:rFonts w:ascii="Times New Roman" w:hAnsi="Times New Roman"/>
          <w:noProof/>
          <w:sz w:val="24"/>
        </w:rPr>
      </w:pPr>
      <w:r>
        <w:rPr>
          <w:rFonts w:ascii="Times New Roman" w:hAnsi="Times New Roman"/>
          <w:noProof/>
          <w:sz w:val="24"/>
        </w:rPr>
        <w:t>A coordenação estreita com os Estados</w:t>
      </w:r>
      <w:r>
        <w:rPr>
          <w:rFonts w:ascii="Times New Roman" w:hAnsi="Times New Roman"/>
          <w:noProof/>
          <w:sz w:val="24"/>
        </w:rPr>
        <w:noBreakHyphen/>
        <w:t>Membros prosseguirá, inclusivamente em seminários setoriais no Grupo de Trabalho do Conselho (artigo 50.º). A Comissão par</w:t>
      </w:r>
      <w:r>
        <w:rPr>
          <w:rFonts w:ascii="Times New Roman" w:hAnsi="Times New Roman"/>
          <w:noProof/>
          <w:sz w:val="24"/>
        </w:rPr>
        <w:t>ticipará, sempre que necessário, nas reuniões do Parlamento Europeu e do Conselho em que se debaterão questões de preparação e de contingência.</w:t>
      </w:r>
    </w:p>
    <w:p w:rsidR="00CD4822" w:rsidRDefault="004324D5">
      <w:pPr>
        <w:spacing w:before="240" w:after="200"/>
        <w:jc w:val="both"/>
        <w:rPr>
          <w:rFonts w:ascii="Times New Roman" w:hAnsi="Times New Roman"/>
          <w:noProof/>
          <w:sz w:val="24"/>
        </w:rPr>
      </w:pPr>
      <w:r>
        <w:rPr>
          <w:rFonts w:ascii="Times New Roman" w:hAnsi="Times New Roman"/>
          <w:noProof/>
          <w:sz w:val="24"/>
        </w:rPr>
        <w:t xml:space="preserve">A Comissão apela aos colegisladores para que </w:t>
      </w:r>
      <w:r>
        <w:rPr>
          <w:rFonts w:ascii="Times New Roman" w:hAnsi="Times New Roman"/>
          <w:b/>
          <w:noProof/>
          <w:sz w:val="24"/>
        </w:rPr>
        <w:t>assegurem a adoção dos atos legislativos propostos</w:t>
      </w:r>
      <w:r>
        <w:rPr>
          <w:rFonts w:ascii="Times New Roman" w:hAnsi="Times New Roman"/>
          <w:noProof/>
          <w:sz w:val="24"/>
        </w:rPr>
        <w:t xml:space="preserve"> de modo que entr</w:t>
      </w:r>
      <w:r>
        <w:rPr>
          <w:rFonts w:ascii="Times New Roman" w:hAnsi="Times New Roman"/>
          <w:noProof/>
          <w:sz w:val="24"/>
        </w:rPr>
        <w:t>em em vigor até à data da saída do Reino Unido. A Comissão chama ainda a atenção do Parlamento Europeu e do Conselho para a importância da entrada em vigor dos atos delegados com a maior celeridade possível.</w:t>
      </w:r>
    </w:p>
    <w:p w:rsidR="00CD4822" w:rsidRDefault="004324D5">
      <w:pPr>
        <w:spacing w:before="240" w:after="200"/>
        <w:jc w:val="both"/>
        <w:rPr>
          <w:rFonts w:ascii="Times New Roman" w:hAnsi="Times New Roman"/>
          <w:noProof/>
          <w:sz w:val="24"/>
        </w:rPr>
      </w:pPr>
      <w:r>
        <w:rPr>
          <w:rFonts w:ascii="Times New Roman" w:hAnsi="Times New Roman"/>
          <w:noProof/>
          <w:sz w:val="24"/>
        </w:rPr>
        <w:t>Por último, a Comissão reitera os seus apelos ao</w:t>
      </w:r>
      <w:r>
        <w:rPr>
          <w:rFonts w:ascii="Times New Roman" w:hAnsi="Times New Roman"/>
          <w:noProof/>
          <w:sz w:val="24"/>
        </w:rPr>
        <w:t>s Estados</w:t>
      </w:r>
      <w:r>
        <w:rPr>
          <w:rFonts w:ascii="Times New Roman" w:hAnsi="Times New Roman"/>
          <w:noProof/>
          <w:sz w:val="24"/>
        </w:rPr>
        <w:noBreakHyphen/>
        <w:t xml:space="preserve">Membros para que se </w:t>
      </w:r>
      <w:r>
        <w:rPr>
          <w:rFonts w:ascii="Times New Roman" w:hAnsi="Times New Roman"/>
          <w:b/>
          <w:noProof/>
          <w:sz w:val="24"/>
        </w:rPr>
        <w:t>mantenham unidos em torno das medidas de contingência</w:t>
      </w:r>
      <w:r>
        <w:rPr>
          <w:rFonts w:ascii="Times New Roman" w:hAnsi="Times New Roman"/>
          <w:noProof/>
          <w:sz w:val="24"/>
        </w:rPr>
        <w:t>, abstendo</w:t>
      </w:r>
      <w:r>
        <w:rPr>
          <w:rFonts w:ascii="Times New Roman" w:hAnsi="Times New Roman"/>
          <w:noProof/>
          <w:sz w:val="24"/>
        </w:rPr>
        <w:noBreakHyphen/>
        <w:t>se de acordos bilaterais incompatíveis com o direito da União, os quais não permitiriam alcançar os mesmos resultados que as medidas tomadas ao nível da União. Ad</w:t>
      </w:r>
      <w:r>
        <w:rPr>
          <w:rFonts w:ascii="Times New Roman" w:hAnsi="Times New Roman"/>
          <w:noProof/>
          <w:sz w:val="24"/>
        </w:rPr>
        <w:t>emais, tais acordos complicariam o estabelecimento de relações futuras entre a UE e o Reino Unido.</w:t>
      </w:r>
    </w:p>
    <w:p w:rsidR="00CD4822" w:rsidRDefault="004324D5">
      <w:pPr>
        <w:spacing w:after="200"/>
        <w:jc w:val="center"/>
        <w:rPr>
          <w:rFonts w:ascii="Times New Roman" w:hAnsi="Times New Roman"/>
          <w:b/>
          <w:noProof/>
        </w:rPr>
      </w:pPr>
      <w:r>
        <w:rPr>
          <w:noProof/>
        </w:rPr>
        <w:br w:type="page"/>
      </w:r>
    </w:p>
    <w:p w:rsidR="00CD4822" w:rsidRDefault="004324D5">
      <w:pPr>
        <w:spacing w:after="200"/>
        <w:jc w:val="center"/>
        <w:rPr>
          <w:rFonts w:ascii="Times New Roman" w:eastAsia="Times New Roman" w:hAnsi="Times New Roman"/>
          <w:b/>
          <w:noProof/>
          <w:sz w:val="24"/>
          <w:szCs w:val="24"/>
        </w:rPr>
      </w:pPr>
      <w:r>
        <w:rPr>
          <w:rFonts w:ascii="Times New Roman" w:hAnsi="Times New Roman"/>
          <w:b/>
          <w:noProof/>
        </w:rPr>
        <w:t>Lista dos atos legais adotados pela Comissão</w:t>
      </w:r>
    </w:p>
    <w:sectPr w:rsidR="00CD4822">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822" w:rsidRDefault="004324D5">
      <w:r>
        <w:separator/>
      </w:r>
    </w:p>
  </w:endnote>
  <w:endnote w:type="continuationSeparator" w:id="0">
    <w:p w:rsidR="00CD4822" w:rsidRDefault="004324D5">
      <w:r>
        <w:continuationSeparator/>
      </w:r>
    </w:p>
  </w:endnote>
  <w:endnote w:type="continuationNotice" w:id="1">
    <w:p w:rsidR="00CD4822" w:rsidRDefault="00CD4822"/>
  </w:endnote>
  <w:endnote w:id="2">
    <w:p w:rsidR="00CD4822" w:rsidRDefault="004324D5">
      <w:pPr>
        <w:pStyle w:val="EndnoteText"/>
        <w:spacing w:before="120" w:after="120"/>
        <w:ind w:left="720" w:hanging="720"/>
        <w:jc w:val="both"/>
      </w:pPr>
      <w:r>
        <w:rPr>
          <w:rStyle w:val="EndnoteReference"/>
        </w:rPr>
        <w:endnoteRef/>
      </w:r>
      <w:r>
        <w:t xml:space="preserve"> </w:t>
      </w:r>
      <w:r>
        <w:tab/>
      </w:r>
      <w:r>
        <w:rPr>
          <w:rFonts w:ascii="Times New Roman" w:hAnsi="Times New Roman"/>
        </w:rPr>
        <w:t>Decisão de Execução (UE) da Comissão que determina, por um período limitado, que o quadro regulamentar aplicável às contrapartes centrais no Reino Unido da Grã</w:t>
      </w:r>
      <w:r>
        <w:rPr>
          <w:rFonts w:ascii="Times New Roman" w:hAnsi="Times New Roman"/>
        </w:rPr>
        <w:noBreakHyphen/>
        <w:t xml:space="preserve">Bretanha e da Irlanda do Norte é equivalente, em conformidade com o Regulamento (UE) n.º 648/2012 do Parlamento Europeu e do Conselho [C(2018) </w:t>
      </w:r>
      <w:r>
        <w:rPr>
          <w:rFonts w:ascii="Times New Roman" w:hAnsi="Times New Roman"/>
        </w:rPr>
        <w:t>9139].</w:t>
      </w:r>
    </w:p>
  </w:endnote>
  <w:endnote w:id="3">
    <w:p w:rsidR="00CD4822" w:rsidRDefault="004324D5">
      <w:pPr>
        <w:pStyle w:val="EndnoteText"/>
        <w:spacing w:before="120" w:after="120"/>
        <w:ind w:left="720" w:hanging="720"/>
        <w:jc w:val="both"/>
      </w:pPr>
      <w:r>
        <w:rPr>
          <w:rStyle w:val="EndnoteReference"/>
        </w:rPr>
        <w:endnoteRef/>
      </w:r>
      <w:r>
        <w:t xml:space="preserve"> </w:t>
      </w:r>
      <w:r>
        <w:tab/>
      </w:r>
      <w:r>
        <w:rPr>
          <w:rFonts w:ascii="Times New Roman" w:hAnsi="Times New Roman"/>
        </w:rPr>
        <w:t xml:space="preserve">Decisão de Execução (UE) da Comissão que determina, por um período limitado, que o quadro regulamentar </w:t>
      </w:r>
      <w:r>
        <w:rPr>
          <w:rFonts w:ascii="Times New Roman" w:hAnsi="Times New Roman"/>
        </w:rPr>
        <w:t>aplicável às centrais de valores mobiliários no Reino Unido da Grã</w:t>
      </w:r>
      <w:r>
        <w:rPr>
          <w:rFonts w:ascii="Times New Roman" w:hAnsi="Times New Roman"/>
        </w:rPr>
        <w:noBreakHyphen/>
        <w:t xml:space="preserve">Bretanha e da Irlanda do Norte é equivalente, em conformidade com o Regulamento (UE) n.º 909/2014 do Parlamento Europeu e do Conselho [C(2018) </w:t>
      </w:r>
      <w:r>
        <w:rPr>
          <w:rFonts w:ascii="Times New Roman" w:hAnsi="Times New Roman"/>
        </w:rPr>
        <w:t>9138].</w:t>
      </w:r>
    </w:p>
  </w:endnote>
  <w:endnote w:id="4">
    <w:p w:rsidR="00CD4822" w:rsidRDefault="004324D5">
      <w:pPr>
        <w:pStyle w:val="EndnoteText"/>
        <w:spacing w:before="120" w:after="120"/>
        <w:ind w:left="720" w:hanging="720"/>
        <w:jc w:val="both"/>
      </w:pPr>
      <w:r>
        <w:rPr>
          <w:rStyle w:val="EndnoteReference"/>
        </w:rPr>
        <w:endnoteRef/>
      </w:r>
      <w:r>
        <w:t xml:space="preserve"> </w:t>
      </w:r>
      <w:r>
        <w:tab/>
      </w:r>
      <w:r>
        <w:rPr>
          <w:rFonts w:ascii="Times New Roman" w:hAnsi="Times New Roman"/>
        </w:rPr>
        <w:t>Regulamento Delegado (UE) da Comissão</w:t>
      </w:r>
      <w:r>
        <w:rPr>
          <w:rFonts w:ascii="Times New Roman" w:hAnsi="Times New Roman"/>
        </w:rPr>
        <w:t xml:space="preserve"> que altera o Regulamento Delegado (UE) 2015/2205, o Regulamento Delegado (UE) 2016/592 e o Regulamento Delegado (UE) 2016/1178, e que complementa o Regulamento (UE) n.º 648/2012 do Parlamento Europeu e do Conselho no respeitante às normas técnicas de regu</w:t>
      </w:r>
      <w:r>
        <w:rPr>
          <w:rFonts w:ascii="Times New Roman" w:hAnsi="Times New Roman"/>
        </w:rPr>
        <w:t xml:space="preserve">lamentação relativas à obrigação de compensação, a fim de prorrogar as datas de aplicação diferidas da obrigação de compensação de certos contratos de derivados OTC [C(2018) </w:t>
      </w:r>
      <w:r>
        <w:rPr>
          <w:rFonts w:ascii="Times New Roman" w:hAnsi="Times New Roman"/>
        </w:rPr>
        <w:t>9122].</w:t>
      </w:r>
    </w:p>
  </w:endnote>
  <w:endnote w:id="5">
    <w:p w:rsidR="00CD4822" w:rsidRDefault="004324D5">
      <w:pPr>
        <w:pStyle w:val="EndnoteText"/>
        <w:spacing w:before="120" w:after="120"/>
        <w:ind w:left="720" w:hanging="720"/>
        <w:jc w:val="both"/>
      </w:pPr>
      <w:r>
        <w:rPr>
          <w:rStyle w:val="EndnoteReference"/>
        </w:rPr>
        <w:endnoteRef/>
      </w:r>
      <w:r>
        <w:t xml:space="preserve"> </w:t>
      </w:r>
      <w:r>
        <w:tab/>
      </w:r>
      <w:r>
        <w:rPr>
          <w:rFonts w:ascii="Times New Roman" w:hAnsi="Times New Roman"/>
        </w:rPr>
        <w:t>Regulamento Delegado (UE) da Comissão que altera o Regulamento Delegado (</w:t>
      </w:r>
      <w:r>
        <w:rPr>
          <w:rFonts w:ascii="Times New Roman" w:hAnsi="Times New Roman"/>
        </w:rPr>
        <w:t>UE) 2016/2251 que completa o Regulamento (UE) n.º 648/2012 do Parlamento Europeu e do Conselho relativamente à data até à qual as contrapartes centrais podem continuar a aplicar os seus procedimentos de gestão de riscos a determinados contratos de derivado</w:t>
      </w:r>
      <w:r>
        <w:rPr>
          <w:rFonts w:ascii="Times New Roman" w:hAnsi="Times New Roman"/>
        </w:rPr>
        <w:t xml:space="preserve">s OTC não compensados por uma contraparte central [C(2018) </w:t>
      </w:r>
      <w:r>
        <w:rPr>
          <w:rFonts w:ascii="Times New Roman" w:hAnsi="Times New Roman"/>
        </w:rPr>
        <w:t>9118].</w:t>
      </w:r>
    </w:p>
  </w:endnote>
  <w:endnote w:id="6">
    <w:p w:rsidR="00CD4822" w:rsidRDefault="004324D5">
      <w:pPr>
        <w:pStyle w:val="EndnoteText"/>
        <w:spacing w:before="120" w:after="120"/>
        <w:ind w:left="720" w:hanging="720"/>
        <w:jc w:val="both"/>
      </w:pPr>
      <w:r>
        <w:rPr>
          <w:rStyle w:val="EndnoteReference"/>
        </w:rPr>
        <w:endnoteRef/>
      </w:r>
      <w:r>
        <w:t xml:space="preserve"> </w:t>
      </w:r>
      <w:r>
        <w:tab/>
      </w:r>
      <w:r>
        <w:rPr>
          <w:rFonts w:ascii="Times New Roman" w:hAnsi="Times New Roman"/>
        </w:rPr>
        <w:t>Proposta da Comissão de Regulamento do Parlamento Europeu e do Conselho relativo às regras comuns que garantem a conectividade aérea fundamental no contexto da saída do Reino Unido da Grã-</w:t>
      </w:r>
      <w:r>
        <w:rPr>
          <w:rFonts w:ascii="Times New Roman" w:hAnsi="Times New Roman"/>
        </w:rPr>
        <w:t>Bretanha e da Irlanda do Norte da União [COM(2018) 893 final].</w:t>
      </w:r>
    </w:p>
  </w:endnote>
  <w:endnote w:id="7">
    <w:p w:rsidR="00CD4822" w:rsidRDefault="004324D5">
      <w:pPr>
        <w:pStyle w:val="EndnoteText"/>
        <w:spacing w:before="120" w:after="120"/>
        <w:ind w:left="720" w:hanging="720"/>
        <w:jc w:val="both"/>
      </w:pPr>
      <w:r>
        <w:rPr>
          <w:rStyle w:val="EndnoteReference"/>
        </w:rPr>
        <w:endnoteRef/>
      </w:r>
      <w:r>
        <w:t xml:space="preserve"> </w:t>
      </w:r>
      <w:r>
        <w:tab/>
      </w:r>
      <w:r>
        <w:rPr>
          <w:rFonts w:ascii="Times New Roman" w:hAnsi="Times New Roman"/>
        </w:rPr>
        <w:t>Proposta da Comissão de Regulamento do Parlamento Europeu e do Conselho relativo a determinados aspetos da segurança da aviação no contexto da saída do Reino Unido da Grã</w:t>
      </w:r>
      <w:r>
        <w:rPr>
          <w:rFonts w:ascii="Times New Roman" w:hAnsi="Times New Roman"/>
        </w:rPr>
        <w:noBreakHyphen/>
        <w:t>Bretanha e da Irlan</w:t>
      </w:r>
      <w:r>
        <w:rPr>
          <w:rFonts w:ascii="Times New Roman" w:hAnsi="Times New Roman"/>
        </w:rPr>
        <w:t>da do Norte da União [COM(2018) 894 final].</w:t>
      </w:r>
    </w:p>
  </w:endnote>
  <w:endnote w:id="8">
    <w:p w:rsidR="00CD4822" w:rsidRDefault="004324D5">
      <w:pPr>
        <w:pStyle w:val="EndnoteText"/>
        <w:spacing w:before="120" w:after="120"/>
        <w:ind w:left="720" w:hanging="720"/>
        <w:jc w:val="both"/>
      </w:pPr>
      <w:r>
        <w:rPr>
          <w:rStyle w:val="EndnoteReference"/>
        </w:rPr>
        <w:endnoteRef/>
      </w:r>
      <w:r>
        <w:t xml:space="preserve"> </w:t>
      </w:r>
      <w:r>
        <w:tab/>
      </w:r>
      <w:r>
        <w:rPr>
          <w:rFonts w:ascii="Times New Roman" w:hAnsi="Times New Roman"/>
        </w:rPr>
        <w:t xml:space="preserve">Proposta da Comissão de Regulamento do Parlamento Europeu e do Conselho relativo às regras comuns que garantem a conectividade rodoviária fundamental do transporte de mercadorias no contexto da saída do Reino </w:t>
      </w:r>
      <w:r>
        <w:rPr>
          <w:rFonts w:ascii="Times New Roman" w:hAnsi="Times New Roman"/>
        </w:rPr>
        <w:t>Unido da Grã-Bretanha e da Irlanda do Norte da União [COM(2018) 895 final].</w:t>
      </w:r>
    </w:p>
  </w:endnote>
  <w:endnote w:id="9">
    <w:p w:rsidR="00CD4822" w:rsidRDefault="004324D5">
      <w:pPr>
        <w:pStyle w:val="EndnoteText"/>
        <w:ind w:left="720" w:hanging="720"/>
        <w:jc w:val="both"/>
      </w:pPr>
      <w:r>
        <w:rPr>
          <w:rStyle w:val="EndnoteReference"/>
        </w:rPr>
        <w:endnoteRef/>
      </w:r>
      <w:r>
        <w:t xml:space="preserve"> </w:t>
      </w:r>
      <w:r>
        <w:tab/>
      </w:r>
      <w:r>
        <w:rPr>
          <w:rFonts w:ascii="Times New Roman" w:hAnsi="Times New Roman"/>
        </w:rPr>
        <w:t>Regulamento Delegado da Comissão que altera o Regulamento Delegado (UE) 2015/2446 no que respeita aos prazos para a apresentação de declarações sumárias de entrada e de declaraç</w:t>
      </w:r>
      <w:r>
        <w:rPr>
          <w:rFonts w:ascii="Times New Roman" w:hAnsi="Times New Roman"/>
        </w:rPr>
        <w:t>ões prévias de saída em caso de transporte marítimo com origem ou destino no Reino Unido da Grã</w:t>
      </w:r>
      <w:r>
        <w:rPr>
          <w:rFonts w:ascii="Times New Roman" w:hAnsi="Times New Roman"/>
        </w:rPr>
        <w:noBreakHyphen/>
        <w:t>Bretanha e da Irlanda do Norte, das Ilhas Anglo</w:t>
      </w:r>
      <w:r>
        <w:rPr>
          <w:rFonts w:ascii="Times New Roman" w:hAnsi="Times New Roman"/>
        </w:rPr>
        <w:noBreakHyphen/>
        <w:t xml:space="preserve">Normandas e da Ilha de Man [C(2018) </w:t>
      </w:r>
      <w:bookmarkStart w:id="1" w:name="_GoBack"/>
      <w:bookmarkEnd w:id="1"/>
      <w:r>
        <w:rPr>
          <w:rFonts w:ascii="Times New Roman" w:hAnsi="Times New Roman"/>
        </w:rPr>
        <w:t>9094].</w:t>
      </w:r>
    </w:p>
  </w:endnote>
  <w:endnote w:id="10">
    <w:p w:rsidR="00CD4822" w:rsidRDefault="004324D5">
      <w:pPr>
        <w:pStyle w:val="EndnoteText"/>
        <w:spacing w:before="120" w:after="120"/>
        <w:ind w:left="720" w:hanging="720"/>
        <w:jc w:val="both"/>
      </w:pPr>
      <w:r>
        <w:rPr>
          <w:rStyle w:val="EndnoteReference"/>
        </w:rPr>
        <w:endnoteRef/>
      </w:r>
      <w:r>
        <w:t xml:space="preserve"> </w:t>
      </w:r>
      <w:r>
        <w:tab/>
      </w:r>
      <w:r>
        <w:rPr>
          <w:rFonts w:ascii="Times New Roman" w:hAnsi="Times New Roman"/>
        </w:rPr>
        <w:t>Proposta da Comissão de Regulamento do Parlamento Europeu e do Cons</w:t>
      </w:r>
      <w:r>
        <w:rPr>
          <w:rFonts w:ascii="Times New Roman" w:hAnsi="Times New Roman"/>
        </w:rPr>
        <w:t>elho que altera o Regulamento (CE) n.º 428/2009 do Conselho mediante a concessão de uma autorização geral de exportação da União para a exportação de determinados produtos de dupla utilização da União para o Reino Unido da Grã</w:t>
      </w:r>
      <w:r>
        <w:rPr>
          <w:rFonts w:ascii="Times New Roman" w:hAnsi="Times New Roman"/>
        </w:rPr>
        <w:noBreakHyphen/>
        <w:t>Bretanha e da Irlanda do Nort</w:t>
      </w:r>
      <w:r>
        <w:rPr>
          <w:rFonts w:ascii="Times New Roman" w:hAnsi="Times New Roman"/>
        </w:rPr>
        <w:t>e [COM(2018) 891 final].</w:t>
      </w:r>
    </w:p>
  </w:endnote>
  <w:endnote w:id="11">
    <w:p w:rsidR="00CD4822" w:rsidRDefault="004324D5">
      <w:pPr>
        <w:pStyle w:val="EndnoteText"/>
        <w:spacing w:before="120" w:after="120"/>
        <w:ind w:left="720" w:hanging="720"/>
        <w:jc w:val="both"/>
      </w:pPr>
      <w:r>
        <w:rPr>
          <w:rStyle w:val="EndnoteReference"/>
        </w:rPr>
        <w:endnoteRef/>
      </w:r>
      <w:r>
        <w:t xml:space="preserve"> </w:t>
      </w:r>
      <w:r>
        <w:tab/>
      </w:r>
      <w:r>
        <w:rPr>
          <w:rFonts w:ascii="Times New Roman" w:hAnsi="Times New Roman"/>
        </w:rPr>
        <w:t>Decisão da Comissão relativa à comunicação, ao administrador central, de instruções para suspensão temporária da aceitação, pelo Diário de Operações da União Europeia, de processos, que envolvam o Reino Unido, referentes à atrib</w:t>
      </w:r>
      <w:r>
        <w:rPr>
          <w:rFonts w:ascii="Times New Roman" w:hAnsi="Times New Roman"/>
        </w:rPr>
        <w:t>uição gratuita, à venda em leilão ou ao intercâmbio de créditos internacionais [C(2018)</w:t>
      </w:r>
      <w:r>
        <w:t> </w:t>
      </w:r>
      <w:r>
        <w:rPr>
          <w:rFonts w:ascii="Times New Roman" w:hAnsi="Times New Roman"/>
        </w:rPr>
        <w:t>8707].</w:t>
      </w:r>
    </w:p>
  </w:endnote>
  <w:endnote w:id="12">
    <w:p w:rsidR="00CD4822" w:rsidRDefault="004324D5">
      <w:pPr>
        <w:pStyle w:val="EndnoteText"/>
        <w:spacing w:after="120"/>
        <w:ind w:left="720" w:hanging="720"/>
        <w:jc w:val="both"/>
      </w:pPr>
      <w:r>
        <w:rPr>
          <w:rStyle w:val="EndnoteReference"/>
        </w:rPr>
        <w:endnoteRef/>
      </w:r>
      <w:r>
        <w:t xml:space="preserve"> </w:t>
      </w:r>
      <w:r>
        <w:tab/>
      </w:r>
      <w:r>
        <w:rPr>
          <w:rFonts w:ascii="Times New Roman" w:hAnsi="Times New Roman"/>
        </w:rPr>
        <w:t xml:space="preserve">Decisão de Execução da Comissão, de 17 de dezembro de 2018, que estabelece, nos termos do Regulamento (UE) n.º 517/2014 do Parlamento Europeu e do Conselho </w:t>
      </w:r>
      <w:r>
        <w:rPr>
          <w:rFonts w:ascii="Times New Roman" w:hAnsi="Times New Roman"/>
        </w:rPr>
        <w:t>relativo aos gases fluorados com efeito de estufa, valores de referência, no respeitante aos valores de referência aplicáveis, no período de 30 de março de 2019 a 31 de dezembro de 2020, aos produtores ou importadores estabelecidos no Reino Unido que tenha</w:t>
      </w:r>
      <w:r>
        <w:rPr>
          <w:rFonts w:ascii="Times New Roman" w:hAnsi="Times New Roman"/>
        </w:rPr>
        <w:t>m colocado legalmente hidrofluorocarbonetos no mercado a partir de 1 de janeiro de 2015, tal como comunicado ao abrigo desse regulamento [C(2018) 8801].</w:t>
      </w:r>
    </w:p>
  </w:endnote>
  <w:endnote w:id="13">
    <w:p w:rsidR="00CD4822" w:rsidRDefault="004324D5">
      <w:pPr>
        <w:pStyle w:val="EndnoteText"/>
        <w:ind w:left="720" w:hanging="720"/>
        <w:jc w:val="both"/>
      </w:pPr>
      <w:r>
        <w:rPr>
          <w:rStyle w:val="EndnoteReference"/>
        </w:rPr>
        <w:endnoteRef/>
      </w:r>
      <w:r>
        <w:t xml:space="preserve"> </w:t>
      </w:r>
      <w:r>
        <w:tab/>
      </w:r>
      <w:r>
        <w:rPr>
          <w:rFonts w:ascii="Times New Roman" w:hAnsi="Times New Roman"/>
        </w:rPr>
        <w:t>Regulamento de Execução (UE) da Comissão de 14 de dezembro de 2018 que altera o Regulamento de Execu</w:t>
      </w:r>
      <w:r>
        <w:rPr>
          <w:rFonts w:ascii="Times New Roman" w:hAnsi="Times New Roman"/>
        </w:rPr>
        <w:t>ção (UE) n.º 1191/2014 no respeitante à comunicação dos dados previstos no artigo 19.º do Regulamento (UE) n.º 517/2014, relativos aos hidrofluorocarbonetos colocados no mercado no Reino Unido e na União de 27 Estados</w:t>
      </w:r>
      <w:r>
        <w:rPr>
          <w:rFonts w:ascii="Times New Roman" w:hAnsi="Times New Roman"/>
        </w:rPr>
        <w:noBreakHyphen/>
        <w:t>Membros [C(2018) 8575].</w:t>
      </w:r>
    </w:p>
  </w:endnote>
  <w:endnote w:id="14">
    <w:p w:rsidR="00CD4822" w:rsidRDefault="004324D5">
      <w:pPr>
        <w:pStyle w:val="EndnoteText"/>
        <w:spacing w:before="120" w:after="120"/>
        <w:ind w:left="720" w:hanging="720"/>
        <w:jc w:val="both"/>
        <w:rPr>
          <w:rFonts w:ascii="Times New Roman" w:hAnsi="Times New Roman"/>
        </w:rPr>
      </w:pPr>
      <w:r>
        <w:rPr>
          <w:rStyle w:val="EndnoteReference"/>
        </w:rPr>
        <w:endnoteRef/>
      </w:r>
      <w:r>
        <w:t xml:space="preserve"> </w:t>
      </w:r>
      <w:r>
        <w:tab/>
      </w:r>
      <w:r>
        <w:rPr>
          <w:rFonts w:ascii="Times New Roman" w:hAnsi="Times New Roman"/>
        </w:rPr>
        <w:t>Proposta de</w:t>
      </w:r>
      <w:r>
        <w:rPr>
          <w:rFonts w:ascii="Times New Roman" w:hAnsi="Times New Roman"/>
        </w:rPr>
        <w:t xml:space="preserve"> regulamento do Parlamento Europeu e do Conselho para permitir a prossecução dos programas de Cooperação Territorial PEACE IV (Irlanda </w:t>
      </w:r>
      <w:r>
        <w:rPr>
          <w:rFonts w:ascii="Times New Roman" w:hAnsi="Times New Roman"/>
        </w:rPr>
        <w:noBreakHyphen/>
        <w:t xml:space="preserve"> Reino Unido) e Reino Unido </w:t>
      </w:r>
      <w:r>
        <w:rPr>
          <w:rFonts w:ascii="Times New Roman" w:hAnsi="Times New Roman"/>
        </w:rPr>
        <w:noBreakHyphen/>
        <w:t xml:space="preserve"> Irlanda (Irlanda </w:t>
      </w:r>
      <w:r>
        <w:rPr>
          <w:rFonts w:ascii="Times New Roman" w:hAnsi="Times New Roman"/>
        </w:rPr>
        <w:noBreakHyphen/>
        <w:t xml:space="preserve"> Irlanda do Norte </w:t>
      </w:r>
      <w:r>
        <w:rPr>
          <w:rFonts w:ascii="Times New Roman" w:hAnsi="Times New Roman"/>
        </w:rPr>
        <w:noBreakHyphen/>
        <w:t xml:space="preserve"> Escócia), no contexto da saída do Reino Unido da Uni</w:t>
      </w:r>
      <w:r>
        <w:rPr>
          <w:rFonts w:ascii="Times New Roman" w:hAnsi="Times New Roman"/>
        </w:rPr>
        <w:t>ão Europeia [COM(2018) 892 final].</w:t>
      </w:r>
    </w:p>
  </w:endnote>
  <w:endnote w:id="15">
    <w:p w:rsidR="00CD4822" w:rsidRDefault="004324D5">
      <w:pPr>
        <w:pStyle w:val="EndnoteText"/>
        <w:ind w:left="720" w:hanging="720"/>
        <w:jc w:val="both"/>
        <w:rPr>
          <w:rFonts w:ascii="Times New Roman" w:hAnsi="Times New Roman"/>
        </w:rPr>
      </w:pPr>
      <w:r>
        <w:rPr>
          <w:rStyle w:val="EndnoteReference"/>
        </w:rPr>
        <w:endnoteRef/>
      </w:r>
      <w:r>
        <w:t xml:space="preserve"> </w:t>
      </w:r>
      <w:r>
        <w:tab/>
      </w:r>
      <w:r>
        <w:rPr>
          <w:rFonts w:ascii="Times New Roman" w:hAnsi="Times New Roman"/>
        </w:rPr>
        <w:t>Regulamento Delegado (UE) da Comissão, de 19 de dezembro de 2018, que altera o anexo I do Regulamento (CE) n.º 184/2005 do Parlamento Europeu e do Conselho no que diz respeito aos níveis de desagregação geográfica [C(2</w:t>
      </w:r>
      <w:r>
        <w:rPr>
          <w:rFonts w:ascii="Times New Roman" w:hAnsi="Times New Roman"/>
        </w:rPr>
        <w:t>018) 8872].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Tahom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822" w:rsidRDefault="00CD4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822" w:rsidRDefault="004324D5">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822" w:rsidRDefault="00CD4822">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822" w:rsidRDefault="00CD482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639287"/>
      <w:docPartObj>
        <w:docPartGallery w:val="Page Numbers (Bottom of Page)"/>
        <w:docPartUnique/>
      </w:docPartObj>
    </w:sdtPr>
    <w:sdtEndPr>
      <w:rPr>
        <w:rFonts w:ascii="Times New Roman" w:hAnsi="Times New Roman"/>
        <w:noProof/>
      </w:rPr>
    </w:sdtEndPr>
    <w:sdtContent>
      <w:p w:rsidR="00CD4822" w:rsidRDefault="004324D5">
        <w:pPr>
          <w:pStyle w:val="Footer"/>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11</w:t>
        </w:r>
        <w:r>
          <w:rPr>
            <w:rFonts w:ascii="Times New Roman" w:hAnsi="Times New Roman"/>
            <w:noProof/>
          </w:rPr>
          <w:fldChar w:fldCharType="end"/>
        </w:r>
      </w:p>
    </w:sdtContent>
  </w:sdt>
  <w:p w:rsidR="00CD4822" w:rsidRDefault="00CD482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822" w:rsidRDefault="00CD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822" w:rsidRDefault="004324D5">
      <w:r>
        <w:separator/>
      </w:r>
    </w:p>
  </w:footnote>
  <w:footnote w:type="continuationSeparator" w:id="0">
    <w:p w:rsidR="00CD4822" w:rsidRDefault="004324D5">
      <w:r>
        <w:continuationSeparator/>
      </w:r>
    </w:p>
  </w:footnote>
  <w:footnote w:type="continuationNotice" w:id="1">
    <w:p w:rsidR="00CD4822" w:rsidRDefault="00CD4822"/>
  </w:footnote>
  <w:footnote w:id="2">
    <w:p w:rsidR="00CD4822" w:rsidRDefault="004324D5">
      <w:pPr>
        <w:pStyle w:val="FootnoteText"/>
        <w:jc w:val="both"/>
        <w:rPr>
          <w:rFonts w:ascii="Times New Roman" w:eastAsia="Times New Roman" w:hAnsi="Times New Roman"/>
          <w:lang w:val="en-GB"/>
        </w:rPr>
      </w:pPr>
      <w:r>
        <w:rPr>
          <w:rStyle w:val="FootnoteReference"/>
          <w:rFonts w:ascii="Times New Roman" w:hAnsi="Times New Roman"/>
        </w:rPr>
        <w:footnoteRef/>
      </w:r>
      <w:r>
        <w:tab/>
      </w:r>
      <w:hyperlink r:id="rId1">
        <w:r>
          <w:rPr>
            <w:rStyle w:val="Hyperlink"/>
            <w:rFonts w:ascii="Times New Roman" w:hAnsi="Times New Roman"/>
          </w:rPr>
          <w:t>https://www.consilium.europa.eu/media/37508/13</w:t>
        </w:r>
        <w:r>
          <w:rPr>
            <w:rStyle w:val="Hyperlink"/>
            <w:rFonts w:ascii="Times New Roman" w:hAnsi="Times New Roman"/>
          </w:rPr>
          <w:noBreakHyphen/>
          <w:t>euco</w:t>
        </w:r>
        <w:r>
          <w:rPr>
            <w:rStyle w:val="Hyperlink"/>
            <w:rFonts w:ascii="Times New Roman" w:hAnsi="Times New Roman"/>
          </w:rPr>
          <w:noBreakHyphen/>
          <w:t>art</w:t>
        </w:r>
        <w:r>
          <w:rPr>
            <w:rStyle w:val="Hyperlink"/>
            <w:rFonts w:ascii="Times New Roman" w:hAnsi="Times New Roman"/>
          </w:rPr>
          <w:noBreakHyphen/>
          <w:t>50</w:t>
        </w:r>
        <w:r>
          <w:rPr>
            <w:rStyle w:val="Hyperlink"/>
            <w:rFonts w:ascii="Times New Roman" w:hAnsi="Times New Roman"/>
          </w:rPr>
          <w:noBreakHyphen/>
          <w:t>conclusions</w:t>
        </w:r>
        <w:r>
          <w:rPr>
            <w:rStyle w:val="Hyperlink"/>
            <w:rFonts w:ascii="Times New Roman" w:hAnsi="Times New Roman"/>
          </w:rPr>
          <w:noBreakHyphen/>
          <w:t>en.pdf</w:t>
        </w:r>
      </w:hyperlink>
      <w:r>
        <w:t>.</w:t>
      </w:r>
    </w:p>
  </w:footnote>
  <w:footnote w:id="3">
    <w:p w:rsidR="00CD4822" w:rsidRDefault="004324D5">
      <w:pPr>
        <w:pStyle w:val="FootnoteText"/>
        <w:ind w:left="720" w:hanging="720"/>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O Reino Unido pode revogar unilateral, inequívoca e incondicionalmente a notifi</w:t>
      </w:r>
      <w:r>
        <w:rPr>
          <w:rFonts w:ascii="Times New Roman" w:hAnsi="Times New Roman"/>
        </w:rPr>
        <w:t>cação da sua intenção de se retirar da UE – processo C</w:t>
      </w:r>
      <w:r>
        <w:rPr>
          <w:rFonts w:ascii="Times New Roman" w:hAnsi="Times New Roman"/>
        </w:rPr>
        <w:noBreakHyphen/>
        <w:t xml:space="preserve">621/18, </w:t>
      </w:r>
      <w:r>
        <w:rPr>
          <w:rFonts w:ascii="Times New Roman" w:hAnsi="Times New Roman"/>
          <w:i/>
        </w:rPr>
        <w:t>Wightman e o. contra Secretary of State for Exiting the European Union</w:t>
      </w:r>
      <w:r>
        <w:rPr>
          <w:rFonts w:ascii="Times New Roman" w:hAnsi="Times New Roman"/>
        </w:rPr>
        <w:t>.</w:t>
      </w:r>
    </w:p>
  </w:footnote>
  <w:footnote w:id="4">
    <w:p w:rsidR="00CD4822" w:rsidRDefault="004324D5">
      <w:pPr>
        <w:pStyle w:val="FootnoteText"/>
        <w:ind w:left="720" w:hanging="720"/>
        <w:jc w:val="both"/>
      </w:pPr>
      <w:r>
        <w:rPr>
          <w:rStyle w:val="FootnoteReference"/>
          <w:rFonts w:ascii="Times New Roman" w:hAnsi="Times New Roman"/>
        </w:rPr>
        <w:footnoteRef/>
      </w:r>
      <w:r>
        <w:rPr>
          <w:rFonts w:ascii="Times New Roman" w:hAnsi="Times New Roman"/>
        </w:rPr>
        <w:t xml:space="preserve"> </w:t>
      </w:r>
      <w:hyperlink r:id="rId2">
        <w:r>
          <w:rPr>
            <w:rStyle w:val="Hyperlink"/>
            <w:rFonts w:ascii="Times New Roman" w:hAnsi="Times New Roman"/>
          </w:rPr>
          <w:t>https://ec.europa.eu/info/publications/preparing</w:t>
        </w:r>
        <w:r>
          <w:rPr>
            <w:rStyle w:val="Hyperlink"/>
            <w:rFonts w:ascii="Times New Roman" w:hAnsi="Times New Roman"/>
          </w:rPr>
          <w:noBreakHyphen/>
          <w:t>withdrawal</w:t>
        </w:r>
        <w:r>
          <w:rPr>
            <w:rStyle w:val="Hyperlink"/>
            <w:rFonts w:ascii="Times New Roman" w:hAnsi="Times New Roman"/>
          </w:rPr>
          <w:noBreakHyphen/>
          <w:t>united</w:t>
        </w:r>
        <w:r>
          <w:rPr>
            <w:rStyle w:val="Hyperlink"/>
            <w:rFonts w:ascii="Times New Roman" w:hAnsi="Times New Roman"/>
          </w:rPr>
          <w:noBreakHyphen/>
          <w:t>kingdom</w:t>
        </w:r>
        <w:r>
          <w:rPr>
            <w:rStyle w:val="Hyperlink"/>
            <w:rFonts w:ascii="Times New Roman" w:hAnsi="Times New Roman"/>
          </w:rPr>
          <w:noBreakHyphen/>
          <w:t>european</w:t>
        </w:r>
        <w:r>
          <w:rPr>
            <w:rStyle w:val="Hyperlink"/>
            <w:rFonts w:ascii="Times New Roman" w:hAnsi="Times New Roman"/>
          </w:rPr>
          <w:noBreakHyphen/>
          <w:t>union</w:t>
        </w:r>
        <w:r>
          <w:rPr>
            <w:rStyle w:val="Hyperlink"/>
            <w:rFonts w:ascii="Times New Roman" w:hAnsi="Times New Roman"/>
          </w:rPr>
          <w:noBreakHyphen/>
          <w:t>30</w:t>
        </w:r>
        <w:r>
          <w:rPr>
            <w:rStyle w:val="Hyperlink"/>
            <w:rFonts w:ascii="Times New Roman" w:hAnsi="Times New Roman"/>
          </w:rPr>
          <w:noBreakHyphen/>
          <w:t>march</w:t>
        </w:r>
        <w:r>
          <w:rPr>
            <w:rStyle w:val="Hyperlink"/>
            <w:rFonts w:ascii="Times New Roman" w:hAnsi="Times New Roman"/>
          </w:rPr>
          <w:noBreakHyphen/>
          <w:t>2019_pt</w:t>
        </w:r>
      </w:hyperlink>
      <w:r>
        <w:t>.</w:t>
      </w:r>
    </w:p>
  </w:footnote>
  <w:footnote w:id="5">
    <w:p w:rsidR="00CD4822" w:rsidRDefault="004324D5">
      <w:pPr>
        <w:pStyle w:val="FootnoteText"/>
        <w:ind w:left="720" w:hanging="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3">
        <w:r>
          <w:rPr>
            <w:rStyle w:val="Hyperlink"/>
            <w:rFonts w:ascii="Times New Roman" w:hAnsi="Times New Roman"/>
          </w:rPr>
          <w:t>https://ec.europa.eu/info/publications/communication</w:t>
        </w:r>
        <w:r>
          <w:rPr>
            <w:rStyle w:val="Hyperlink"/>
            <w:rFonts w:ascii="Times New Roman" w:hAnsi="Times New Roman"/>
          </w:rPr>
          <w:noBreakHyphen/>
          <w:t>preparing</w:t>
        </w:r>
        <w:r>
          <w:rPr>
            <w:rStyle w:val="Hyperlink"/>
            <w:rFonts w:ascii="Times New Roman" w:hAnsi="Times New Roman"/>
          </w:rPr>
          <w:noBreakHyphen/>
          <w:t>withdrawal</w:t>
        </w:r>
        <w:r>
          <w:rPr>
            <w:rStyle w:val="Hyperlink"/>
            <w:rFonts w:ascii="Times New Roman" w:hAnsi="Times New Roman"/>
          </w:rPr>
          <w:noBreakHyphen/>
          <w:t>united</w:t>
        </w:r>
        <w:r>
          <w:rPr>
            <w:rStyle w:val="Hyperlink"/>
            <w:rFonts w:ascii="Times New Roman" w:hAnsi="Times New Roman"/>
          </w:rPr>
          <w:noBreakHyphen/>
          <w:t>kingdom</w:t>
        </w:r>
        <w:r>
          <w:rPr>
            <w:rStyle w:val="Hyperlink"/>
            <w:rFonts w:ascii="Times New Roman" w:hAnsi="Times New Roman"/>
          </w:rPr>
          <w:noBreakHyphen/>
          <w:t>european</w:t>
        </w:r>
        <w:r>
          <w:rPr>
            <w:rStyle w:val="Hyperlink"/>
            <w:rFonts w:ascii="Times New Roman" w:hAnsi="Times New Roman"/>
          </w:rPr>
          <w:noBreakHyphen/>
          <w:t>union</w:t>
        </w:r>
        <w:r>
          <w:rPr>
            <w:rStyle w:val="Hyperlink"/>
            <w:rFonts w:ascii="Times New Roman" w:hAnsi="Times New Roman"/>
          </w:rPr>
          <w:noBreakHyphen/>
          <w:t>30</w:t>
        </w:r>
        <w:r>
          <w:rPr>
            <w:rStyle w:val="Hyperlink"/>
            <w:rFonts w:ascii="Times New Roman" w:hAnsi="Times New Roman"/>
          </w:rPr>
          <w:noBreakHyphen/>
          <w:t>march</w:t>
        </w:r>
        <w:r>
          <w:rPr>
            <w:rStyle w:val="Hyperlink"/>
            <w:rFonts w:ascii="Times New Roman" w:hAnsi="Times New Roman"/>
          </w:rPr>
          <w:noBreakHyphen/>
          <w:t>2019</w:t>
        </w:r>
        <w:r>
          <w:rPr>
            <w:rStyle w:val="Hyperlink"/>
            <w:rFonts w:ascii="Times New Roman" w:hAnsi="Times New Roman"/>
          </w:rPr>
          <w:noBreakHyphen/>
          <w:t>contingency</w:t>
        </w:r>
        <w:r>
          <w:rPr>
            <w:rStyle w:val="Hyperlink"/>
            <w:rFonts w:ascii="Times New Roman" w:hAnsi="Times New Roman"/>
          </w:rPr>
          <w:noBreakHyphen/>
          <w:t>action</w:t>
        </w:r>
        <w:r>
          <w:rPr>
            <w:rStyle w:val="Hyperlink"/>
            <w:rFonts w:ascii="Times New Roman" w:hAnsi="Times New Roman"/>
          </w:rPr>
          <w:noBreakHyphen/>
          <w:t>plan</w:t>
        </w:r>
        <w:r>
          <w:rPr>
            <w:rStyle w:val="Hyperlink"/>
            <w:rFonts w:ascii="Times New Roman" w:hAnsi="Times New Roman"/>
          </w:rPr>
          <w:noBreakHyphen/>
          <w:t>13</w:t>
        </w:r>
        <w:r>
          <w:rPr>
            <w:rStyle w:val="Hyperlink"/>
            <w:rFonts w:ascii="Times New Roman" w:hAnsi="Times New Roman"/>
          </w:rPr>
          <w:noBreakHyphen/>
          <w:t>11</w:t>
        </w:r>
        <w:r>
          <w:rPr>
            <w:rStyle w:val="Hyperlink"/>
            <w:rFonts w:ascii="Times New Roman" w:hAnsi="Times New Roman"/>
          </w:rPr>
          <w:noBreakHyphen/>
          <w:t>2018_pt</w:t>
        </w:r>
      </w:hyperlink>
      <w:r>
        <w:t>.</w:t>
      </w:r>
    </w:p>
  </w:footnote>
  <w:footnote w:id="6">
    <w:p w:rsidR="00CD4822" w:rsidRDefault="004324D5">
      <w:pPr>
        <w:pStyle w:val="FootnoteText"/>
        <w:ind w:left="720" w:hanging="720"/>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hyperlink r:id="rId4">
        <w:r>
          <w:rPr>
            <w:rStyle w:val="Hyperlink"/>
            <w:rFonts w:ascii="Times New Roman" w:hAnsi="Times New Roman"/>
          </w:rPr>
          <w:t>https://ec.europa.eu/commission/sites/beta</w:t>
        </w:r>
        <w:r>
          <w:rPr>
            <w:rStyle w:val="Hyperlink"/>
            <w:rFonts w:ascii="Times New Roman" w:hAnsi="Times New Roman"/>
          </w:rPr>
          <w:noBreakHyphen/>
          <w:t>political/files/joint_report_0.pdf</w:t>
        </w:r>
      </w:hyperlink>
      <w:r>
        <w:rPr>
          <w:rStyle w:val="Hyperlink"/>
          <w:rFonts w:ascii="Times New Roman" w:hAnsi="Times New Roman"/>
          <w:u w:val="none"/>
        </w:rPr>
        <w:t xml:space="preserve">; </w:t>
      </w:r>
      <w:hyperlink r:id="rId5">
        <w:r>
          <w:rPr>
            <w:rStyle w:val="Hyperlink"/>
            <w:rFonts w:ascii="Times New Roman" w:hAnsi="Times New Roman"/>
          </w:rPr>
          <w:t>https://ec.europa.eu/commission/sites/beta</w:t>
        </w:r>
        <w:r>
          <w:rPr>
            <w:rStyle w:val="Hyperlink"/>
            <w:rFonts w:ascii="Times New Roman" w:hAnsi="Times New Roman"/>
          </w:rPr>
          <w:noBreakHyphen/>
          <w:t>political/files/draft_withdrawal_agreement_0.pdf</w:t>
        </w:r>
      </w:hyperlink>
      <w:r>
        <w:t>.</w:t>
      </w:r>
    </w:p>
  </w:footnote>
  <w:footnote w:id="7">
    <w:p w:rsidR="00CD4822" w:rsidRDefault="004324D5">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Comunicação à Comissão aprovada em 22 de novembro de 2018, C(2018)9001.</w:t>
      </w:r>
    </w:p>
  </w:footnote>
  <w:footnote w:id="8">
    <w:p w:rsidR="00CD4822" w:rsidRDefault="004324D5">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hyperlink r:id="rId6">
        <w:r>
          <w:rPr>
            <w:rStyle w:val="Hyperlink"/>
            <w:rFonts w:ascii="Times New Roman" w:hAnsi="Times New Roman"/>
          </w:rPr>
          <w:t>https://www.consilium.europa.eu/media/37103/25</w:t>
        </w:r>
        <w:r>
          <w:rPr>
            <w:rStyle w:val="Hyperlink"/>
            <w:rFonts w:ascii="Times New Roman" w:hAnsi="Times New Roman"/>
          </w:rPr>
          <w:noBreakHyphen/>
          <w:t>special</w:t>
        </w:r>
        <w:r>
          <w:rPr>
            <w:rStyle w:val="Hyperlink"/>
            <w:rFonts w:ascii="Times New Roman" w:hAnsi="Times New Roman"/>
          </w:rPr>
          <w:noBreakHyphen/>
          <w:t>euco</w:t>
        </w:r>
        <w:r>
          <w:rPr>
            <w:rStyle w:val="Hyperlink"/>
            <w:rFonts w:ascii="Times New Roman" w:hAnsi="Times New Roman"/>
          </w:rPr>
          <w:noBreakHyphen/>
          <w:t>final</w:t>
        </w:r>
        <w:r>
          <w:rPr>
            <w:rStyle w:val="Hyperlink"/>
            <w:rFonts w:ascii="Times New Roman" w:hAnsi="Times New Roman"/>
          </w:rPr>
          <w:noBreakHyphen/>
          <w:t>conclusions</w:t>
        </w:r>
        <w:r>
          <w:rPr>
            <w:rStyle w:val="Hyperlink"/>
            <w:rFonts w:ascii="Times New Roman" w:hAnsi="Times New Roman"/>
          </w:rPr>
          <w:noBreakHyphen/>
          <w:t>en.pdf</w:t>
        </w:r>
      </w:hyperlink>
      <w:r>
        <w:t>.</w:t>
      </w:r>
    </w:p>
  </w:footnote>
  <w:footnote w:id="9">
    <w:p w:rsidR="00CD4822" w:rsidRDefault="004324D5">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Cf. anexos I e II da segunda comunicação sobre a preparação para o Brexit.</w:t>
      </w:r>
    </w:p>
  </w:footnote>
  <w:footnote w:id="10">
    <w:p w:rsidR="00CD4822" w:rsidRDefault="004324D5">
      <w:pPr>
        <w:pStyle w:val="FootnoteText"/>
        <w:ind w:left="720" w:hanging="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Foram organizados seminários com os Estad</w:t>
      </w:r>
      <w:r>
        <w:rPr>
          <w:rFonts w:ascii="Times New Roman" w:hAnsi="Times New Roman"/>
        </w:rPr>
        <w:t>os</w:t>
      </w:r>
      <w:r>
        <w:rPr>
          <w:rFonts w:ascii="Times New Roman" w:hAnsi="Times New Roman"/>
        </w:rPr>
        <w:noBreakHyphen/>
        <w:t>Membros (UE</w:t>
      </w:r>
      <w:r>
        <w:rPr>
          <w:rFonts w:ascii="Times New Roman" w:hAnsi="Times New Roman"/>
        </w:rPr>
        <w:noBreakHyphen/>
        <w:t>27), que estão enumerados no anexo 6 da segunda comunicação sobre a preparação para o Brexit.</w:t>
      </w:r>
    </w:p>
  </w:footnote>
  <w:footnote w:id="11">
    <w:p w:rsidR="00CD4822" w:rsidRDefault="004324D5">
      <w:pPr>
        <w:pStyle w:val="FootnoteText"/>
        <w:ind w:left="720" w:hanging="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 lista das ações não prejudica outras ações que possam vir a ser necessárias posteriormente.</w:t>
      </w:r>
    </w:p>
  </w:footnote>
  <w:footnote w:id="12">
    <w:p w:rsidR="00CD4822" w:rsidRDefault="004324D5">
      <w:pPr>
        <w:pStyle w:val="FootnoteText"/>
        <w:ind w:left="720" w:hanging="720"/>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O conceito de «nacionais do Reino Unido» utiliz</w:t>
      </w:r>
      <w:r>
        <w:rPr>
          <w:rFonts w:ascii="Times New Roman" w:hAnsi="Times New Roman"/>
        </w:rPr>
        <w:t>ado na presente comunicação deve ser entendido como abrangendo também os seus familiares nacionais de países terceiros já residentes no Estado de acolhimento em causa no momento da saída</w:t>
      </w:r>
      <w:r>
        <w:t>.</w:t>
      </w:r>
    </w:p>
  </w:footnote>
  <w:footnote w:id="13">
    <w:p w:rsidR="00CD4822" w:rsidRDefault="004324D5">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https://www.gov.uk/government/news/pm</w:t>
      </w:r>
      <w:r>
        <w:rPr>
          <w:rFonts w:ascii="Times New Roman" w:hAnsi="Times New Roman"/>
        </w:rPr>
        <w:noBreakHyphen/>
        <w:t>brexit</w:t>
      </w:r>
      <w:r>
        <w:rPr>
          <w:rFonts w:ascii="Times New Roman" w:hAnsi="Times New Roman"/>
        </w:rPr>
        <w:noBreakHyphen/>
        <w:t>negotiations</w:t>
      </w:r>
      <w:r>
        <w:rPr>
          <w:rFonts w:ascii="Times New Roman" w:hAnsi="Times New Roman"/>
        </w:rPr>
        <w:noBreakHyphen/>
        <w:t>stateme</w:t>
      </w:r>
      <w:r>
        <w:rPr>
          <w:rFonts w:ascii="Times New Roman" w:hAnsi="Times New Roman"/>
        </w:rPr>
        <w:t>nt</w:t>
      </w:r>
      <w:r>
        <w:rPr>
          <w:rFonts w:ascii="Times New Roman" w:hAnsi="Times New Roman"/>
        </w:rPr>
        <w:noBreakHyphen/>
        <w:t>21</w:t>
      </w:r>
      <w:r>
        <w:rPr>
          <w:rFonts w:ascii="Times New Roman" w:hAnsi="Times New Roman"/>
        </w:rPr>
        <w:noBreakHyphen/>
        <w:t>september</w:t>
      </w:r>
      <w:r>
        <w:rPr>
          <w:rFonts w:ascii="Times New Roman" w:hAnsi="Times New Roman"/>
        </w:rPr>
        <w:noBreakHyphen/>
        <w:t>2018.</w:t>
      </w:r>
    </w:p>
  </w:footnote>
  <w:footnote w:id="14">
    <w:p w:rsidR="00CD4822" w:rsidRDefault="004324D5">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COM/2018/745 final.</w:t>
      </w:r>
    </w:p>
  </w:footnote>
  <w:footnote w:id="15">
    <w:p w:rsidR="00CD4822" w:rsidRDefault="004324D5">
      <w:pPr>
        <w:pStyle w:val="FootnoteText"/>
        <w:ind w:left="720" w:hanging="720"/>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Para continuarem a residir e a trabalhar num Estado</w:t>
      </w:r>
      <w:r>
        <w:rPr>
          <w:rFonts w:ascii="Times New Roman" w:hAnsi="Times New Roman"/>
        </w:rPr>
        <w:noBreakHyphen/>
        <w:t>Membro da UE, os nacionais do Reino Unido que residam no Estado</w:t>
      </w:r>
      <w:r>
        <w:rPr>
          <w:rFonts w:ascii="Times New Roman" w:hAnsi="Times New Roman"/>
        </w:rPr>
        <w:noBreakHyphen/>
        <w:t>Membro no momento da saída terão de possuir um título de residência adequado para os naciona</w:t>
      </w:r>
      <w:r>
        <w:rPr>
          <w:rFonts w:ascii="Times New Roman" w:hAnsi="Times New Roman"/>
        </w:rPr>
        <w:t>is de países terceiros, emitido pelas autoridades nacionais responsáveis pela migração.</w:t>
      </w:r>
    </w:p>
  </w:footnote>
  <w:footnote w:id="16">
    <w:p w:rsidR="00CD4822" w:rsidRDefault="004324D5">
      <w:pPr>
        <w:pStyle w:val="FootnoteText"/>
        <w:ind w:left="720" w:hanging="720"/>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Como previsto no Regulamento (CE) n.º 1030/2002 do Conselho, de 13 de junho de 2002, que estabelece um modelo uniforme de título de residência para os nacionais de </w:t>
      </w:r>
      <w:r>
        <w:rPr>
          <w:rFonts w:ascii="Times New Roman" w:hAnsi="Times New Roman"/>
        </w:rPr>
        <w:t>países terceiros (JO L 157 de 15.6.2002, p. 1).</w:t>
      </w:r>
    </w:p>
  </w:footnote>
  <w:footnote w:id="17">
    <w:p w:rsidR="00CD4822" w:rsidRDefault="004324D5">
      <w:pPr>
        <w:pStyle w:val="FootnoteText"/>
        <w:ind w:left="720" w:hanging="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Regulamento (CE) n.º 883/2004 do Parlamento Europeu e do Conselho, de 29 de abril de 2004, relativo à coordenação dos sistemas de segurança social (JO L 166 de 30.4.2004, p. 1), e Regulamento (CE) n.º 987/</w:t>
      </w:r>
      <w:r>
        <w:rPr>
          <w:rFonts w:ascii="Times New Roman" w:hAnsi="Times New Roman"/>
        </w:rPr>
        <w:t>2009 do Parlamento Europeu e do Conselho, de 16 de setembro de 2009, que estabelece as modalidades de aplicação do Regulamento (CE) n.º 883/2004 relativo à coordenação dos sistemas de segurança social (JO L 284 de 30.10.2009, p. 1).</w:t>
      </w:r>
    </w:p>
  </w:footnote>
  <w:footnote w:id="18">
    <w:p w:rsidR="00CD4822" w:rsidRDefault="004324D5">
      <w:pPr>
        <w:ind w:left="720" w:hanging="720"/>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hyperlink r:id="rId7" w:anchor="fisma">
        <w:r>
          <w:rPr>
            <w:rStyle w:val="Hyperlink"/>
            <w:rFonts w:ascii="Times New Roman" w:hAnsi="Times New Roman"/>
          </w:rPr>
          <w:t>https://ec.europa.eu/info/brexit/brexit</w:t>
        </w:r>
        <w:r>
          <w:rPr>
            <w:rStyle w:val="Hyperlink"/>
            <w:rFonts w:ascii="Times New Roman" w:hAnsi="Times New Roman"/>
          </w:rPr>
          <w:noBreakHyphen/>
          <w:t>preparedness/preparedness</w:t>
        </w:r>
        <w:r>
          <w:rPr>
            <w:rStyle w:val="Hyperlink"/>
            <w:rFonts w:ascii="Times New Roman" w:hAnsi="Times New Roman"/>
          </w:rPr>
          <w:noBreakHyphen/>
          <w:t>notices_en#fisma</w:t>
        </w:r>
      </w:hyperlink>
      <w:r>
        <w:t>.</w:t>
      </w:r>
    </w:p>
  </w:footnote>
  <w:footnote w:id="19">
    <w:p w:rsidR="00CD4822" w:rsidRDefault="004324D5">
      <w:pPr>
        <w:pStyle w:val="FootnoteText"/>
        <w:ind w:left="720" w:hanging="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Quanto às partes interessadas, a Comissão tem realçado a necessidade de as </w:t>
      </w:r>
      <w:r>
        <w:rPr>
          <w:rFonts w:ascii="Times New Roman" w:hAnsi="Times New Roman"/>
        </w:rPr>
        <w:t>transportadoras aéreas, as organizações de fabrico e de manutenção, e o pessoal habilitado requererem os certificados, licenças e aprovações necessários quanto antes. A Comissão reitera ainda a necessidade de as companhias que pretendam ser reconhecidas co</w:t>
      </w:r>
      <w:r>
        <w:rPr>
          <w:rFonts w:ascii="Times New Roman" w:hAnsi="Times New Roman"/>
        </w:rPr>
        <w:t>mo transportadoras aéreas da UE tomarem as medidas necessárias para o cumprimento deste requisito até 30 de março de 2019.</w:t>
      </w:r>
    </w:p>
  </w:footnote>
  <w:footnote w:id="20">
    <w:p w:rsidR="00CD4822" w:rsidRDefault="004324D5">
      <w:pPr>
        <w:pStyle w:val="FootnoteText"/>
        <w:ind w:left="720" w:hanging="720"/>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As exportações para a Austrália, o Canadá, o Japão, a Nova Zelândia, a Noruega, a Suíça, o Listenstaine e os Estados Unidos da Amé</w:t>
      </w:r>
      <w:r>
        <w:rPr>
          <w:rFonts w:ascii="Times New Roman" w:hAnsi="Times New Roman"/>
        </w:rPr>
        <w:t>rica beneficiam de uma autorização geral de exportação da União.</w:t>
      </w:r>
    </w:p>
  </w:footnote>
  <w:footnote w:id="21">
    <w:p w:rsidR="00CD4822" w:rsidRDefault="004324D5">
      <w:pPr>
        <w:pStyle w:val="FootnoteText"/>
        <w:rPr>
          <w:rFonts w:ascii="Times New Roman" w:hAnsi="Times New Roman"/>
          <w:lang w:val="da-DK"/>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COM/2018/374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822" w:rsidRDefault="00CD4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822" w:rsidRDefault="00CD4822">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822" w:rsidRDefault="00CD4822">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822" w:rsidRDefault="004324D5">
    <w:pPr>
      <w:pStyle w:val="Header"/>
    </w:pPr>
    <w:r>
      <w:rPr>
        <w:noProof/>
        <w:sz w:val="20"/>
        <w:lang w:val="fr-BE" w:eastAsia="fr-BE" w:bidi="ar-SA"/>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 name="WordArt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a:extLst>
                        <a:ext uri="{91240B29-F687-4F45-9708-019B960494DF}">
                          <a14:hiddenLine xmlns:a14="http://schemas.microsoft.com/office/drawing/2010/main" w="9525">
                            <a:solidFill>
                              <a:srgbClr val="000000"/>
                            </a:solidFill>
                            <a:round/>
                            <a:headEnd/>
                            <a:tailEnd/>
                          </a14:hiddenLine>
                        </a:ext>
                      </a:extLst>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415DCF" id="_x0000_t202" coordsize="21600,21600" o:spt="202" path="m,l,21600r21600,l21600,xe">
              <v:stroke joinstyle="miter"/>
              <v:path gradientshapeok="t" o:connecttype="rect"/>
            </v:shapetype>
            <v:shape id="WordArt 7"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" filled="f" stroked="f">
              <v:stroke joinstyle="round"/>
              <o:lock v:ext="edit" selection="t" text="t" shapetype="t"/>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822" w:rsidRDefault="004324D5">
    <w:pPr>
      <w:pStyle w:val="Header"/>
    </w:pPr>
    <w:r>
      <w:rPr>
        <w:noProof/>
        <w:sz w:val="20"/>
        <w:lang w:val="fr-BE" w:eastAsia="fr-BE" w:bidi="ar-SA"/>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 name="WordArt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a:extLst>
                        <a:ext uri="{91240B29-F687-4F45-9708-019B960494DF}">
                          <a14:hiddenLine xmlns:a14="http://schemas.microsoft.com/office/drawing/2010/main" w="9525">
                            <a:solidFill>
                              <a:srgbClr val="000000"/>
                            </a:solidFill>
                            <a:round/>
                            <a:headEnd/>
                            <a:tailEnd/>
                          </a14:hiddenLine>
                        </a:ext>
                      </a:extLst>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73957F" id="_x0000_t202" coordsize="21600,21600" o:spt="202" path="m,l,21600r21600,l21600,xe">
              <v:stroke joinstyle="miter"/>
              <v:path gradientshapeok="t" o:connecttype="rect"/>
            </v:shapetype>
            <v:shape id="WordArt 6"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" filled="f" stroked="f">
              <v:stroke joinstyle="round"/>
              <o:lock v:ext="edit" selection="t" text="t" shapetype="t"/>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822" w:rsidRDefault="004324D5">
    <w:pPr>
      <w:pStyle w:val="Header"/>
    </w:pPr>
    <w:r>
      <w:rPr>
        <w:noProof/>
        <w:sz w:val="20"/>
        <w:lang w:val="fr-BE" w:eastAsia="fr-BE" w:bidi="ar-SA"/>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 name="WordArt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a:extLst>
                        <a:ext uri="{91240B29-F687-4F45-9708-019B960494DF}">
                          <a14:hiddenLine xmlns:a14="http://schemas.microsoft.com/office/drawing/2010/main" w="9525">
                            <a:solidFill>
                              <a:srgbClr val="000000"/>
                            </a:solidFill>
                            <a:round/>
                            <a:headEnd/>
                            <a:tailEnd/>
                          </a14:hiddenLine>
                        </a:ext>
                      </a:extLst>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9D8EB4" id="_x0000_t202" coordsize="21600,21600" o:spt="202" path="m,l,21600r21600,l21600,xe">
              <v:stroke joinstyle="miter"/>
              <v:path gradientshapeok="t" o:connecttype="rect"/>
            </v:shapetype>
            <v:shape id="WordArt 5"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" filled="f" stroked="f">
              <v:stroke joinstyle="round"/>
              <o:lock v:ext="edit" selection="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1E8A"/>
    <w:multiLevelType w:val="hybridMultilevel"/>
    <w:tmpl w:val="7EDEAB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C4E93"/>
    <w:multiLevelType w:val="hybridMultilevel"/>
    <w:tmpl w:val="ED7C5248"/>
    <w:lvl w:ilvl="0" w:tplc="415CB20E">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B20707"/>
    <w:multiLevelType w:val="hybridMultilevel"/>
    <w:tmpl w:val="A4EC8AD2"/>
    <w:lvl w:ilvl="0" w:tplc="3E3AA8C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74002"/>
    <w:multiLevelType w:val="hybridMultilevel"/>
    <w:tmpl w:val="77AA1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AB7CB5"/>
    <w:multiLevelType w:val="hybridMultilevel"/>
    <w:tmpl w:val="0DA8653A"/>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A126792"/>
    <w:multiLevelType w:val="hybridMultilevel"/>
    <w:tmpl w:val="28C0D6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10F9B"/>
    <w:multiLevelType w:val="hybridMultilevel"/>
    <w:tmpl w:val="7AA4440C"/>
    <w:lvl w:ilvl="0" w:tplc="0406000D">
      <w:start w:val="1"/>
      <w:numFmt w:val="bullet"/>
      <w:lvlText w:val=""/>
      <w:lvlJc w:val="left"/>
      <w:pPr>
        <w:ind w:left="720" w:hanging="360"/>
      </w:pPr>
      <w:rPr>
        <w:rFonts w:ascii="Wingdings" w:hAnsi="Wingdings" w:hint="default"/>
        <w:w w:val="100"/>
        <w:sz w:val="20"/>
        <w:szCs w:val="20"/>
        <w:shd w:val="clear" w:color="auto" w:fil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C93A37"/>
    <w:multiLevelType w:val="hybridMultilevel"/>
    <w:tmpl w:val="FB7204CE"/>
    <w:lvl w:ilvl="0" w:tplc="91B65EB6">
      <w:start w:val="1"/>
      <w:numFmt w:val="bullet"/>
      <w:lvlText w:val=""/>
      <w:lvlJc w:val="left"/>
      <w:pPr>
        <w:ind w:left="837" w:hanging="360"/>
      </w:pPr>
      <w:rPr>
        <w:rFonts w:ascii="Symbol" w:eastAsia="Symbol" w:hAnsi="Symbol" w:hint="default"/>
        <w:sz w:val="20"/>
        <w:szCs w:val="20"/>
      </w:rPr>
    </w:lvl>
    <w:lvl w:ilvl="1" w:tplc="0B1200E4">
      <w:start w:val="1"/>
      <w:numFmt w:val="bullet"/>
      <w:lvlText w:val="•"/>
      <w:lvlJc w:val="left"/>
      <w:pPr>
        <w:ind w:left="1328" w:hanging="360"/>
      </w:pPr>
      <w:rPr>
        <w:rFonts w:hint="default"/>
      </w:rPr>
    </w:lvl>
    <w:lvl w:ilvl="2" w:tplc="67940BF6">
      <w:start w:val="1"/>
      <w:numFmt w:val="bullet"/>
      <w:lvlText w:val="•"/>
      <w:lvlJc w:val="left"/>
      <w:pPr>
        <w:ind w:left="1819" w:hanging="360"/>
      </w:pPr>
      <w:rPr>
        <w:rFonts w:hint="default"/>
      </w:rPr>
    </w:lvl>
    <w:lvl w:ilvl="3" w:tplc="4F30418C">
      <w:start w:val="1"/>
      <w:numFmt w:val="bullet"/>
      <w:lvlText w:val="•"/>
      <w:lvlJc w:val="left"/>
      <w:pPr>
        <w:ind w:left="2311" w:hanging="360"/>
      </w:pPr>
      <w:rPr>
        <w:rFonts w:hint="default"/>
      </w:rPr>
    </w:lvl>
    <w:lvl w:ilvl="4" w:tplc="0684663E">
      <w:start w:val="1"/>
      <w:numFmt w:val="bullet"/>
      <w:lvlText w:val="•"/>
      <w:lvlJc w:val="left"/>
      <w:pPr>
        <w:ind w:left="2802" w:hanging="360"/>
      </w:pPr>
      <w:rPr>
        <w:rFonts w:hint="default"/>
      </w:rPr>
    </w:lvl>
    <w:lvl w:ilvl="5" w:tplc="B5D8A86A">
      <w:start w:val="1"/>
      <w:numFmt w:val="bullet"/>
      <w:lvlText w:val="•"/>
      <w:lvlJc w:val="left"/>
      <w:pPr>
        <w:ind w:left="3293" w:hanging="360"/>
      </w:pPr>
      <w:rPr>
        <w:rFonts w:hint="default"/>
      </w:rPr>
    </w:lvl>
    <w:lvl w:ilvl="6" w:tplc="82CEB95A">
      <w:start w:val="1"/>
      <w:numFmt w:val="bullet"/>
      <w:lvlText w:val="•"/>
      <w:lvlJc w:val="left"/>
      <w:pPr>
        <w:ind w:left="3784" w:hanging="360"/>
      </w:pPr>
      <w:rPr>
        <w:rFonts w:hint="default"/>
      </w:rPr>
    </w:lvl>
    <w:lvl w:ilvl="7" w:tplc="2F703F5C">
      <w:start w:val="1"/>
      <w:numFmt w:val="bullet"/>
      <w:lvlText w:val="•"/>
      <w:lvlJc w:val="left"/>
      <w:pPr>
        <w:ind w:left="4275" w:hanging="360"/>
      </w:pPr>
      <w:rPr>
        <w:rFonts w:hint="default"/>
      </w:rPr>
    </w:lvl>
    <w:lvl w:ilvl="8" w:tplc="190A06A2">
      <w:start w:val="1"/>
      <w:numFmt w:val="bullet"/>
      <w:lvlText w:val="•"/>
      <w:lvlJc w:val="left"/>
      <w:pPr>
        <w:ind w:left="4766" w:hanging="360"/>
      </w:pPr>
      <w:rPr>
        <w:rFonts w:hint="default"/>
      </w:rPr>
    </w:lvl>
  </w:abstractNum>
  <w:abstractNum w:abstractNumId="8" w15:restartNumberingAfterBreak="0">
    <w:nsid w:val="23DE2C08"/>
    <w:multiLevelType w:val="hybridMultilevel"/>
    <w:tmpl w:val="F8C2EB56"/>
    <w:lvl w:ilvl="0" w:tplc="D57453C6">
      <w:start w:val="5"/>
      <w:numFmt w:val="decimal"/>
      <w:lvlText w:val="%1."/>
      <w:lvlJc w:val="left"/>
      <w:pPr>
        <w:ind w:left="786"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B143BC"/>
    <w:multiLevelType w:val="hybridMultilevel"/>
    <w:tmpl w:val="1F5A45A2"/>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5B7098B"/>
    <w:multiLevelType w:val="hybridMultilevel"/>
    <w:tmpl w:val="70C6FF5C"/>
    <w:lvl w:ilvl="0" w:tplc="0406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59300CEE">
      <w:numFmt w:val="bullet"/>
      <w:lvlText w:val="-"/>
      <w:lvlJc w:val="left"/>
      <w:pPr>
        <w:ind w:left="2160" w:hanging="36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42773"/>
    <w:multiLevelType w:val="hybridMultilevel"/>
    <w:tmpl w:val="D4FC441E"/>
    <w:lvl w:ilvl="0" w:tplc="0406000D">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6CA3D9A"/>
    <w:multiLevelType w:val="hybridMultilevel"/>
    <w:tmpl w:val="FC62E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E76CB3"/>
    <w:multiLevelType w:val="hybridMultilevel"/>
    <w:tmpl w:val="A81CC340"/>
    <w:lvl w:ilvl="0" w:tplc="007A9126">
      <w:start w:val="1"/>
      <w:numFmt w:val="bullet"/>
      <w:lvlText w:val=""/>
      <w:lvlJc w:val="left"/>
      <w:pPr>
        <w:ind w:left="822" w:hanging="360"/>
      </w:pPr>
      <w:rPr>
        <w:rFonts w:ascii="Symbol" w:eastAsia="Symbol" w:hAnsi="Symbol" w:hint="default"/>
        <w:sz w:val="20"/>
        <w:szCs w:val="20"/>
      </w:rPr>
    </w:lvl>
    <w:lvl w:ilvl="1" w:tplc="FEC0A35A">
      <w:start w:val="1"/>
      <w:numFmt w:val="bullet"/>
      <w:lvlText w:val="•"/>
      <w:lvlJc w:val="left"/>
      <w:pPr>
        <w:ind w:left="1314" w:hanging="360"/>
      </w:pPr>
      <w:rPr>
        <w:rFonts w:hint="default"/>
      </w:rPr>
    </w:lvl>
    <w:lvl w:ilvl="2" w:tplc="61F2DC82">
      <w:start w:val="1"/>
      <w:numFmt w:val="bullet"/>
      <w:lvlText w:val="•"/>
      <w:lvlJc w:val="left"/>
      <w:pPr>
        <w:ind w:left="1807" w:hanging="360"/>
      </w:pPr>
      <w:rPr>
        <w:rFonts w:hint="default"/>
      </w:rPr>
    </w:lvl>
    <w:lvl w:ilvl="3" w:tplc="F86AAE34">
      <w:start w:val="1"/>
      <w:numFmt w:val="bullet"/>
      <w:lvlText w:val="•"/>
      <w:lvlJc w:val="left"/>
      <w:pPr>
        <w:ind w:left="2300" w:hanging="360"/>
      </w:pPr>
      <w:rPr>
        <w:rFonts w:hint="default"/>
      </w:rPr>
    </w:lvl>
    <w:lvl w:ilvl="4" w:tplc="B636D728">
      <w:start w:val="1"/>
      <w:numFmt w:val="bullet"/>
      <w:lvlText w:val="•"/>
      <w:lvlJc w:val="left"/>
      <w:pPr>
        <w:ind w:left="2792" w:hanging="360"/>
      </w:pPr>
      <w:rPr>
        <w:rFonts w:hint="default"/>
      </w:rPr>
    </w:lvl>
    <w:lvl w:ilvl="5" w:tplc="B64ACE04">
      <w:start w:val="1"/>
      <w:numFmt w:val="bullet"/>
      <w:lvlText w:val="•"/>
      <w:lvlJc w:val="left"/>
      <w:pPr>
        <w:ind w:left="3285" w:hanging="360"/>
      </w:pPr>
      <w:rPr>
        <w:rFonts w:hint="default"/>
      </w:rPr>
    </w:lvl>
    <w:lvl w:ilvl="6" w:tplc="E3745C3E">
      <w:start w:val="1"/>
      <w:numFmt w:val="bullet"/>
      <w:lvlText w:val="•"/>
      <w:lvlJc w:val="left"/>
      <w:pPr>
        <w:ind w:left="3777" w:hanging="360"/>
      </w:pPr>
      <w:rPr>
        <w:rFonts w:hint="default"/>
      </w:rPr>
    </w:lvl>
    <w:lvl w:ilvl="7" w:tplc="351A9BAC">
      <w:start w:val="1"/>
      <w:numFmt w:val="bullet"/>
      <w:lvlText w:val="•"/>
      <w:lvlJc w:val="left"/>
      <w:pPr>
        <w:ind w:left="4270" w:hanging="360"/>
      </w:pPr>
      <w:rPr>
        <w:rFonts w:hint="default"/>
      </w:rPr>
    </w:lvl>
    <w:lvl w:ilvl="8" w:tplc="8F6A7888">
      <w:start w:val="1"/>
      <w:numFmt w:val="bullet"/>
      <w:lvlText w:val="•"/>
      <w:lvlJc w:val="left"/>
      <w:pPr>
        <w:ind w:left="4763" w:hanging="360"/>
      </w:pPr>
      <w:rPr>
        <w:rFonts w:hint="default"/>
      </w:rPr>
    </w:lvl>
  </w:abstractNum>
  <w:abstractNum w:abstractNumId="14" w15:restartNumberingAfterBreak="0">
    <w:nsid w:val="2DAA114E"/>
    <w:multiLevelType w:val="hybridMultilevel"/>
    <w:tmpl w:val="FCE68DB4"/>
    <w:lvl w:ilvl="0" w:tplc="B3789BEE">
      <w:start w:val="1"/>
      <w:numFmt w:val="bullet"/>
      <w:lvlText w:val=""/>
      <w:lvlJc w:val="left"/>
      <w:pPr>
        <w:ind w:left="822" w:hanging="360"/>
      </w:pPr>
      <w:rPr>
        <w:rFonts w:ascii="Symbol" w:eastAsia="Symbol" w:hAnsi="Symbol" w:hint="default"/>
        <w:sz w:val="20"/>
        <w:szCs w:val="20"/>
      </w:rPr>
    </w:lvl>
    <w:lvl w:ilvl="1" w:tplc="695C7888">
      <w:start w:val="1"/>
      <w:numFmt w:val="bullet"/>
      <w:lvlText w:val="•"/>
      <w:lvlJc w:val="left"/>
      <w:pPr>
        <w:ind w:left="1314" w:hanging="360"/>
      </w:pPr>
      <w:rPr>
        <w:rFonts w:hint="default"/>
      </w:rPr>
    </w:lvl>
    <w:lvl w:ilvl="2" w:tplc="93FA5522">
      <w:start w:val="1"/>
      <w:numFmt w:val="bullet"/>
      <w:lvlText w:val="•"/>
      <w:lvlJc w:val="left"/>
      <w:pPr>
        <w:ind w:left="1807" w:hanging="360"/>
      </w:pPr>
      <w:rPr>
        <w:rFonts w:hint="default"/>
      </w:rPr>
    </w:lvl>
    <w:lvl w:ilvl="3" w:tplc="838AB1F4">
      <w:start w:val="1"/>
      <w:numFmt w:val="bullet"/>
      <w:lvlText w:val="•"/>
      <w:lvlJc w:val="left"/>
      <w:pPr>
        <w:ind w:left="2300" w:hanging="360"/>
      </w:pPr>
      <w:rPr>
        <w:rFonts w:hint="default"/>
      </w:rPr>
    </w:lvl>
    <w:lvl w:ilvl="4" w:tplc="8660836A">
      <w:start w:val="1"/>
      <w:numFmt w:val="bullet"/>
      <w:lvlText w:val="•"/>
      <w:lvlJc w:val="left"/>
      <w:pPr>
        <w:ind w:left="2792" w:hanging="360"/>
      </w:pPr>
      <w:rPr>
        <w:rFonts w:hint="default"/>
      </w:rPr>
    </w:lvl>
    <w:lvl w:ilvl="5" w:tplc="20B0411C">
      <w:start w:val="1"/>
      <w:numFmt w:val="bullet"/>
      <w:lvlText w:val="•"/>
      <w:lvlJc w:val="left"/>
      <w:pPr>
        <w:ind w:left="3285" w:hanging="360"/>
      </w:pPr>
      <w:rPr>
        <w:rFonts w:hint="default"/>
      </w:rPr>
    </w:lvl>
    <w:lvl w:ilvl="6" w:tplc="433A6CE0">
      <w:start w:val="1"/>
      <w:numFmt w:val="bullet"/>
      <w:lvlText w:val="•"/>
      <w:lvlJc w:val="left"/>
      <w:pPr>
        <w:ind w:left="3777" w:hanging="360"/>
      </w:pPr>
      <w:rPr>
        <w:rFonts w:hint="default"/>
      </w:rPr>
    </w:lvl>
    <w:lvl w:ilvl="7" w:tplc="36D4B2A2">
      <w:start w:val="1"/>
      <w:numFmt w:val="bullet"/>
      <w:lvlText w:val="•"/>
      <w:lvlJc w:val="left"/>
      <w:pPr>
        <w:ind w:left="4270" w:hanging="360"/>
      </w:pPr>
      <w:rPr>
        <w:rFonts w:hint="default"/>
      </w:rPr>
    </w:lvl>
    <w:lvl w:ilvl="8" w:tplc="79288C6E">
      <w:start w:val="1"/>
      <w:numFmt w:val="bullet"/>
      <w:lvlText w:val="•"/>
      <w:lvlJc w:val="left"/>
      <w:pPr>
        <w:ind w:left="4763" w:hanging="360"/>
      </w:pPr>
      <w:rPr>
        <w:rFonts w:hint="default"/>
      </w:rPr>
    </w:lvl>
  </w:abstractNum>
  <w:abstractNum w:abstractNumId="15" w15:restartNumberingAfterBreak="0">
    <w:nsid w:val="2F00000B"/>
    <w:multiLevelType w:val="hybridMultilevel"/>
    <w:tmpl w:val="1116FB26"/>
    <w:lvl w:ilvl="0" w:tplc="0406000D">
      <w:start w:val="1"/>
      <w:numFmt w:val="bullet"/>
      <w:lvlText w:val=""/>
      <w:lvlJc w:val="left"/>
      <w:pPr>
        <w:ind w:left="720" w:hanging="360"/>
        <w:jc w:val="both"/>
      </w:pPr>
      <w:rPr>
        <w:rFonts w:ascii="Wingdings" w:hAnsi="Wingdings" w:hint="default"/>
        <w:w w:val="100"/>
        <w:sz w:val="20"/>
        <w:szCs w:val="20"/>
        <w:shd w:val="clear" w:color="auto" w:fill="auto"/>
      </w:rPr>
    </w:lvl>
    <w:lvl w:ilvl="1" w:tplc="779E6894">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72328924">
      <w:start w:val="1"/>
      <w:numFmt w:val="bullet"/>
      <w:lvlText w:val="§"/>
      <w:lvlJc w:val="left"/>
      <w:pPr>
        <w:ind w:left="2160" w:hanging="360"/>
        <w:jc w:val="both"/>
      </w:pPr>
      <w:rPr>
        <w:rFonts w:ascii="Wingdings" w:eastAsia="Wingdings" w:hAnsi="Wingdings"/>
        <w:w w:val="100"/>
        <w:sz w:val="20"/>
        <w:szCs w:val="20"/>
        <w:shd w:val="clear" w:color="auto" w:fill="auto"/>
      </w:rPr>
    </w:lvl>
    <w:lvl w:ilvl="3" w:tplc="93DE21BE">
      <w:start w:val="1"/>
      <w:numFmt w:val="bullet"/>
      <w:lvlText w:val="·"/>
      <w:lvlJc w:val="left"/>
      <w:pPr>
        <w:ind w:left="2880" w:hanging="360"/>
        <w:jc w:val="both"/>
      </w:pPr>
      <w:rPr>
        <w:rFonts w:ascii="Symbol" w:eastAsia="Symbol" w:hAnsi="Symbol"/>
        <w:w w:val="100"/>
        <w:sz w:val="20"/>
        <w:szCs w:val="20"/>
        <w:shd w:val="clear" w:color="auto" w:fill="auto"/>
      </w:rPr>
    </w:lvl>
    <w:lvl w:ilvl="4" w:tplc="DB2A9102">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730860D6">
      <w:start w:val="1"/>
      <w:numFmt w:val="bullet"/>
      <w:lvlText w:val="§"/>
      <w:lvlJc w:val="left"/>
      <w:pPr>
        <w:ind w:left="4320" w:hanging="360"/>
        <w:jc w:val="both"/>
      </w:pPr>
      <w:rPr>
        <w:rFonts w:ascii="Wingdings" w:eastAsia="Wingdings" w:hAnsi="Wingdings"/>
        <w:w w:val="100"/>
        <w:sz w:val="20"/>
        <w:szCs w:val="20"/>
        <w:shd w:val="clear" w:color="auto" w:fill="auto"/>
      </w:rPr>
    </w:lvl>
    <w:lvl w:ilvl="6" w:tplc="4E6866E4">
      <w:start w:val="1"/>
      <w:numFmt w:val="bullet"/>
      <w:lvlText w:val="·"/>
      <w:lvlJc w:val="left"/>
      <w:pPr>
        <w:ind w:left="5040" w:hanging="360"/>
        <w:jc w:val="both"/>
      </w:pPr>
      <w:rPr>
        <w:rFonts w:ascii="Symbol" w:eastAsia="Symbol" w:hAnsi="Symbol"/>
        <w:w w:val="100"/>
        <w:sz w:val="20"/>
        <w:szCs w:val="20"/>
        <w:shd w:val="clear" w:color="auto" w:fill="auto"/>
      </w:rPr>
    </w:lvl>
    <w:lvl w:ilvl="7" w:tplc="D278CADC">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FD625644">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6" w15:restartNumberingAfterBreak="0">
    <w:nsid w:val="2F000012"/>
    <w:multiLevelType w:val="hybridMultilevel"/>
    <w:tmpl w:val="3795C8F2"/>
    <w:lvl w:ilvl="0" w:tplc="6FBA9A0A">
      <w:start w:val="1"/>
      <w:numFmt w:val="decimal"/>
      <w:lvlText w:val="%1."/>
      <w:lvlJc w:val="left"/>
      <w:pPr>
        <w:ind w:left="360" w:hanging="360"/>
        <w:jc w:val="both"/>
      </w:pPr>
    </w:lvl>
    <w:lvl w:ilvl="1" w:tplc="0BF415D4">
      <w:start w:val="1"/>
      <w:numFmt w:val="lowerLetter"/>
      <w:lvlText w:val="%2."/>
      <w:lvlJc w:val="left"/>
      <w:pPr>
        <w:ind w:left="1080" w:hanging="360"/>
        <w:jc w:val="both"/>
      </w:pPr>
    </w:lvl>
    <w:lvl w:ilvl="2" w:tplc="CB8C58E6">
      <w:start w:val="1"/>
      <w:numFmt w:val="lowerRoman"/>
      <w:lvlText w:val="%3."/>
      <w:lvlJc w:val="right"/>
      <w:pPr>
        <w:ind w:left="1800" w:hanging="180"/>
        <w:jc w:val="both"/>
      </w:pPr>
    </w:lvl>
    <w:lvl w:ilvl="3" w:tplc="C13EF79E">
      <w:start w:val="1"/>
      <w:numFmt w:val="decimal"/>
      <w:lvlText w:val="%4."/>
      <w:lvlJc w:val="left"/>
      <w:pPr>
        <w:ind w:left="2520" w:hanging="360"/>
        <w:jc w:val="both"/>
      </w:pPr>
    </w:lvl>
    <w:lvl w:ilvl="4" w:tplc="0F92C9C0">
      <w:start w:val="1"/>
      <w:numFmt w:val="lowerLetter"/>
      <w:lvlText w:val="%5."/>
      <w:lvlJc w:val="left"/>
      <w:pPr>
        <w:ind w:left="3240" w:hanging="360"/>
        <w:jc w:val="both"/>
      </w:pPr>
    </w:lvl>
    <w:lvl w:ilvl="5" w:tplc="4BD23052">
      <w:start w:val="1"/>
      <w:numFmt w:val="lowerRoman"/>
      <w:lvlText w:val="%6."/>
      <w:lvlJc w:val="right"/>
      <w:pPr>
        <w:ind w:left="3960" w:hanging="180"/>
        <w:jc w:val="both"/>
      </w:pPr>
    </w:lvl>
    <w:lvl w:ilvl="6" w:tplc="42D439CC">
      <w:start w:val="1"/>
      <w:numFmt w:val="decimal"/>
      <w:lvlText w:val="%7."/>
      <w:lvlJc w:val="left"/>
      <w:pPr>
        <w:ind w:left="4680" w:hanging="360"/>
        <w:jc w:val="both"/>
      </w:pPr>
    </w:lvl>
    <w:lvl w:ilvl="7" w:tplc="926CDB90">
      <w:start w:val="1"/>
      <w:numFmt w:val="lowerLetter"/>
      <w:lvlText w:val="%8."/>
      <w:lvlJc w:val="left"/>
      <w:pPr>
        <w:ind w:left="5400" w:hanging="360"/>
        <w:jc w:val="both"/>
      </w:pPr>
    </w:lvl>
    <w:lvl w:ilvl="8" w:tplc="B77488F0">
      <w:start w:val="1"/>
      <w:numFmt w:val="lowerRoman"/>
      <w:lvlText w:val="%9."/>
      <w:lvlJc w:val="right"/>
      <w:pPr>
        <w:ind w:left="6120" w:hanging="180"/>
        <w:jc w:val="both"/>
      </w:pPr>
    </w:lvl>
  </w:abstractNum>
  <w:abstractNum w:abstractNumId="17" w15:restartNumberingAfterBreak="0">
    <w:nsid w:val="2F000022"/>
    <w:multiLevelType w:val="hybridMultilevel"/>
    <w:tmpl w:val="4D6D2672"/>
    <w:lvl w:ilvl="0" w:tplc="48869F76">
      <w:start w:val="1"/>
      <w:numFmt w:val="bullet"/>
      <w:lvlText w:val="·"/>
      <w:lvlJc w:val="left"/>
      <w:pPr>
        <w:ind w:left="720" w:hanging="360"/>
        <w:jc w:val="both"/>
      </w:pPr>
      <w:rPr>
        <w:rFonts w:ascii="Symbol" w:eastAsia="Symbol" w:hAnsi="Symbol"/>
        <w:w w:val="100"/>
        <w:sz w:val="20"/>
        <w:szCs w:val="20"/>
        <w:shd w:val="clear" w:color="auto" w:fill="auto"/>
      </w:rPr>
    </w:lvl>
    <w:lvl w:ilvl="1" w:tplc="13B8DDB8">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6A9A2344">
      <w:start w:val="1"/>
      <w:numFmt w:val="bullet"/>
      <w:lvlText w:val="§"/>
      <w:lvlJc w:val="left"/>
      <w:pPr>
        <w:ind w:left="2160" w:hanging="360"/>
        <w:jc w:val="both"/>
      </w:pPr>
      <w:rPr>
        <w:rFonts w:ascii="Wingdings" w:eastAsia="Wingdings" w:hAnsi="Wingdings"/>
        <w:w w:val="100"/>
        <w:sz w:val="20"/>
        <w:szCs w:val="20"/>
        <w:shd w:val="clear" w:color="auto" w:fill="auto"/>
      </w:rPr>
    </w:lvl>
    <w:lvl w:ilvl="3" w:tplc="354C19D2">
      <w:start w:val="1"/>
      <w:numFmt w:val="bullet"/>
      <w:lvlText w:val="·"/>
      <w:lvlJc w:val="left"/>
      <w:pPr>
        <w:ind w:left="2880" w:hanging="360"/>
        <w:jc w:val="both"/>
      </w:pPr>
      <w:rPr>
        <w:rFonts w:ascii="Symbol" w:eastAsia="Symbol" w:hAnsi="Symbol"/>
        <w:w w:val="100"/>
        <w:sz w:val="20"/>
        <w:szCs w:val="20"/>
        <w:shd w:val="clear" w:color="auto" w:fill="auto"/>
      </w:rPr>
    </w:lvl>
    <w:lvl w:ilvl="4" w:tplc="E9C26CE4">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C41E4222">
      <w:start w:val="1"/>
      <w:numFmt w:val="bullet"/>
      <w:lvlText w:val="§"/>
      <w:lvlJc w:val="left"/>
      <w:pPr>
        <w:ind w:left="4320" w:hanging="360"/>
        <w:jc w:val="both"/>
      </w:pPr>
      <w:rPr>
        <w:rFonts w:ascii="Wingdings" w:eastAsia="Wingdings" w:hAnsi="Wingdings"/>
        <w:w w:val="100"/>
        <w:sz w:val="20"/>
        <w:szCs w:val="20"/>
        <w:shd w:val="clear" w:color="auto" w:fill="auto"/>
      </w:rPr>
    </w:lvl>
    <w:lvl w:ilvl="6" w:tplc="832807FC">
      <w:start w:val="1"/>
      <w:numFmt w:val="bullet"/>
      <w:lvlText w:val="·"/>
      <w:lvlJc w:val="left"/>
      <w:pPr>
        <w:ind w:left="5040" w:hanging="360"/>
        <w:jc w:val="both"/>
      </w:pPr>
      <w:rPr>
        <w:rFonts w:ascii="Symbol" w:eastAsia="Symbol" w:hAnsi="Symbol"/>
        <w:w w:val="100"/>
        <w:sz w:val="20"/>
        <w:szCs w:val="20"/>
        <w:shd w:val="clear" w:color="auto" w:fill="auto"/>
      </w:rPr>
    </w:lvl>
    <w:lvl w:ilvl="7" w:tplc="B4B2ADCC">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21A03A7C">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8" w15:restartNumberingAfterBreak="0">
    <w:nsid w:val="2F000024"/>
    <w:multiLevelType w:val="hybridMultilevel"/>
    <w:tmpl w:val="57DE5DFD"/>
    <w:lvl w:ilvl="0" w:tplc="4ECA2BC2">
      <w:start w:val="1"/>
      <w:numFmt w:val="bullet"/>
      <w:lvlText w:val="·"/>
      <w:lvlJc w:val="left"/>
      <w:pPr>
        <w:ind w:left="780" w:hanging="360"/>
        <w:jc w:val="both"/>
      </w:pPr>
      <w:rPr>
        <w:rFonts w:ascii="Symbol" w:eastAsia="Symbol" w:hAnsi="Symbol"/>
        <w:w w:val="100"/>
        <w:sz w:val="20"/>
        <w:szCs w:val="20"/>
        <w:shd w:val="clear" w:color="auto" w:fill="auto"/>
      </w:rPr>
    </w:lvl>
    <w:lvl w:ilvl="1" w:tplc="32705334">
      <w:start w:val="1"/>
      <w:numFmt w:val="bullet"/>
      <w:lvlText w:val="o"/>
      <w:lvlJc w:val="left"/>
      <w:pPr>
        <w:ind w:left="1500" w:hanging="360"/>
        <w:jc w:val="both"/>
      </w:pPr>
      <w:rPr>
        <w:rFonts w:ascii="Courier New" w:eastAsia="Courier New" w:hAnsi="Courier New"/>
        <w:w w:val="100"/>
        <w:sz w:val="20"/>
        <w:szCs w:val="20"/>
        <w:shd w:val="clear" w:color="auto" w:fill="auto"/>
      </w:rPr>
    </w:lvl>
    <w:lvl w:ilvl="2" w:tplc="8B74730E">
      <w:start w:val="1"/>
      <w:numFmt w:val="bullet"/>
      <w:lvlText w:val="§"/>
      <w:lvlJc w:val="left"/>
      <w:pPr>
        <w:ind w:left="2220" w:hanging="360"/>
        <w:jc w:val="both"/>
      </w:pPr>
      <w:rPr>
        <w:rFonts w:ascii="Wingdings" w:eastAsia="Wingdings" w:hAnsi="Wingdings"/>
        <w:w w:val="100"/>
        <w:sz w:val="20"/>
        <w:szCs w:val="20"/>
        <w:shd w:val="clear" w:color="auto" w:fill="auto"/>
      </w:rPr>
    </w:lvl>
    <w:lvl w:ilvl="3" w:tplc="51BA9F8E">
      <w:start w:val="1"/>
      <w:numFmt w:val="bullet"/>
      <w:lvlText w:val="·"/>
      <w:lvlJc w:val="left"/>
      <w:pPr>
        <w:ind w:left="2940" w:hanging="360"/>
        <w:jc w:val="both"/>
      </w:pPr>
      <w:rPr>
        <w:rFonts w:ascii="Symbol" w:eastAsia="Symbol" w:hAnsi="Symbol"/>
        <w:w w:val="100"/>
        <w:sz w:val="20"/>
        <w:szCs w:val="20"/>
        <w:shd w:val="clear" w:color="auto" w:fill="auto"/>
      </w:rPr>
    </w:lvl>
    <w:lvl w:ilvl="4" w:tplc="7C5A0CBC">
      <w:start w:val="1"/>
      <w:numFmt w:val="bullet"/>
      <w:lvlText w:val="o"/>
      <w:lvlJc w:val="left"/>
      <w:pPr>
        <w:ind w:left="3660" w:hanging="360"/>
        <w:jc w:val="both"/>
      </w:pPr>
      <w:rPr>
        <w:rFonts w:ascii="Courier New" w:eastAsia="Courier New" w:hAnsi="Courier New"/>
        <w:w w:val="100"/>
        <w:sz w:val="20"/>
        <w:szCs w:val="20"/>
        <w:shd w:val="clear" w:color="auto" w:fill="auto"/>
      </w:rPr>
    </w:lvl>
    <w:lvl w:ilvl="5" w:tplc="FC68B310">
      <w:start w:val="1"/>
      <w:numFmt w:val="bullet"/>
      <w:lvlText w:val="§"/>
      <w:lvlJc w:val="left"/>
      <w:pPr>
        <w:ind w:left="4380" w:hanging="360"/>
        <w:jc w:val="both"/>
      </w:pPr>
      <w:rPr>
        <w:rFonts w:ascii="Wingdings" w:eastAsia="Wingdings" w:hAnsi="Wingdings"/>
        <w:w w:val="100"/>
        <w:sz w:val="20"/>
        <w:szCs w:val="20"/>
        <w:shd w:val="clear" w:color="auto" w:fill="auto"/>
      </w:rPr>
    </w:lvl>
    <w:lvl w:ilvl="6" w:tplc="13109602">
      <w:start w:val="1"/>
      <w:numFmt w:val="bullet"/>
      <w:lvlText w:val="·"/>
      <w:lvlJc w:val="left"/>
      <w:pPr>
        <w:ind w:left="5100" w:hanging="360"/>
        <w:jc w:val="both"/>
      </w:pPr>
      <w:rPr>
        <w:rFonts w:ascii="Symbol" w:eastAsia="Symbol" w:hAnsi="Symbol"/>
        <w:w w:val="100"/>
        <w:sz w:val="20"/>
        <w:szCs w:val="20"/>
        <w:shd w:val="clear" w:color="auto" w:fill="auto"/>
      </w:rPr>
    </w:lvl>
    <w:lvl w:ilvl="7" w:tplc="624C5734">
      <w:start w:val="1"/>
      <w:numFmt w:val="bullet"/>
      <w:lvlText w:val="o"/>
      <w:lvlJc w:val="left"/>
      <w:pPr>
        <w:ind w:left="5820" w:hanging="360"/>
        <w:jc w:val="both"/>
      </w:pPr>
      <w:rPr>
        <w:rFonts w:ascii="Courier New" w:eastAsia="Courier New" w:hAnsi="Courier New"/>
        <w:w w:val="100"/>
        <w:sz w:val="20"/>
        <w:szCs w:val="20"/>
        <w:shd w:val="clear" w:color="auto" w:fill="auto"/>
      </w:rPr>
    </w:lvl>
    <w:lvl w:ilvl="8" w:tplc="D91EE372">
      <w:start w:val="1"/>
      <w:numFmt w:val="bullet"/>
      <w:lvlText w:val="§"/>
      <w:lvlJc w:val="left"/>
      <w:pPr>
        <w:ind w:left="6540" w:hanging="360"/>
        <w:jc w:val="both"/>
      </w:pPr>
      <w:rPr>
        <w:rFonts w:ascii="Wingdings" w:eastAsia="Wingdings" w:hAnsi="Wingdings"/>
        <w:w w:val="100"/>
        <w:sz w:val="20"/>
        <w:szCs w:val="20"/>
        <w:shd w:val="clear" w:color="auto" w:fill="auto"/>
      </w:rPr>
    </w:lvl>
  </w:abstractNum>
  <w:abstractNum w:abstractNumId="19" w15:restartNumberingAfterBreak="0">
    <w:nsid w:val="2F00002F"/>
    <w:multiLevelType w:val="hybridMultilevel"/>
    <w:tmpl w:val="41633036"/>
    <w:lvl w:ilvl="0" w:tplc="32D6B342">
      <w:start w:val="1"/>
      <w:numFmt w:val="bullet"/>
      <w:lvlText w:val="Ø"/>
      <w:lvlJc w:val="left"/>
      <w:pPr>
        <w:ind w:left="720" w:hanging="360"/>
        <w:jc w:val="both"/>
      </w:pPr>
      <w:rPr>
        <w:rFonts w:ascii="Wingdings" w:eastAsia="Wingdings" w:hAnsi="Wingdings"/>
        <w:w w:val="100"/>
        <w:sz w:val="20"/>
        <w:szCs w:val="20"/>
        <w:shd w:val="clear" w:color="auto" w:fill="auto"/>
      </w:rPr>
    </w:lvl>
    <w:lvl w:ilvl="1" w:tplc="58F29FD4">
      <w:start w:val="1"/>
      <w:numFmt w:val="lowerLetter"/>
      <w:lvlText w:val="%2."/>
      <w:lvlJc w:val="left"/>
      <w:pPr>
        <w:ind w:left="1440" w:hanging="360"/>
        <w:jc w:val="both"/>
      </w:pPr>
    </w:lvl>
    <w:lvl w:ilvl="2" w:tplc="39FE156E">
      <w:start w:val="1"/>
      <w:numFmt w:val="lowerRoman"/>
      <w:lvlText w:val="%3."/>
      <w:lvlJc w:val="right"/>
      <w:pPr>
        <w:ind w:left="2160" w:hanging="180"/>
        <w:jc w:val="both"/>
      </w:pPr>
    </w:lvl>
    <w:lvl w:ilvl="3" w:tplc="A14EBC4C">
      <w:start w:val="1"/>
      <w:numFmt w:val="decimal"/>
      <w:lvlText w:val="%4."/>
      <w:lvlJc w:val="left"/>
      <w:pPr>
        <w:ind w:left="2880" w:hanging="360"/>
        <w:jc w:val="both"/>
      </w:pPr>
    </w:lvl>
    <w:lvl w:ilvl="4" w:tplc="2A6E34FA">
      <w:start w:val="1"/>
      <w:numFmt w:val="lowerLetter"/>
      <w:lvlText w:val="%5."/>
      <w:lvlJc w:val="left"/>
      <w:pPr>
        <w:ind w:left="3600" w:hanging="360"/>
        <w:jc w:val="both"/>
      </w:pPr>
    </w:lvl>
    <w:lvl w:ilvl="5" w:tplc="EAE27978">
      <w:start w:val="1"/>
      <w:numFmt w:val="lowerRoman"/>
      <w:lvlText w:val="%6."/>
      <w:lvlJc w:val="right"/>
      <w:pPr>
        <w:ind w:left="4320" w:hanging="180"/>
        <w:jc w:val="both"/>
      </w:pPr>
    </w:lvl>
    <w:lvl w:ilvl="6" w:tplc="805A73FC">
      <w:start w:val="1"/>
      <w:numFmt w:val="decimal"/>
      <w:lvlText w:val="%7."/>
      <w:lvlJc w:val="left"/>
      <w:pPr>
        <w:ind w:left="5040" w:hanging="360"/>
        <w:jc w:val="both"/>
      </w:pPr>
    </w:lvl>
    <w:lvl w:ilvl="7" w:tplc="03B6A842">
      <w:start w:val="1"/>
      <w:numFmt w:val="lowerLetter"/>
      <w:lvlText w:val="%8."/>
      <w:lvlJc w:val="left"/>
      <w:pPr>
        <w:ind w:left="5760" w:hanging="360"/>
        <w:jc w:val="both"/>
      </w:pPr>
    </w:lvl>
    <w:lvl w:ilvl="8" w:tplc="7DCECFF0">
      <w:start w:val="1"/>
      <w:numFmt w:val="lowerRoman"/>
      <w:lvlText w:val="%9."/>
      <w:lvlJc w:val="right"/>
      <w:pPr>
        <w:ind w:left="6480" w:hanging="180"/>
        <w:jc w:val="both"/>
      </w:pPr>
    </w:lvl>
  </w:abstractNum>
  <w:abstractNum w:abstractNumId="20" w15:restartNumberingAfterBreak="0">
    <w:nsid w:val="405362A1"/>
    <w:multiLevelType w:val="hybridMultilevel"/>
    <w:tmpl w:val="189A4D3C"/>
    <w:lvl w:ilvl="0" w:tplc="753E6B9A">
      <w:start w:val="1"/>
      <w:numFmt w:val="bullet"/>
      <w:lvlText w:val=""/>
      <w:lvlJc w:val="left"/>
      <w:pPr>
        <w:ind w:left="822" w:hanging="360"/>
      </w:pPr>
      <w:rPr>
        <w:rFonts w:ascii="Symbol" w:eastAsia="Symbol" w:hAnsi="Symbol" w:hint="default"/>
        <w:sz w:val="20"/>
        <w:szCs w:val="20"/>
      </w:rPr>
    </w:lvl>
    <w:lvl w:ilvl="1" w:tplc="76B20318">
      <w:start w:val="1"/>
      <w:numFmt w:val="bullet"/>
      <w:lvlText w:val="•"/>
      <w:lvlJc w:val="left"/>
      <w:pPr>
        <w:ind w:left="1314" w:hanging="360"/>
      </w:pPr>
      <w:rPr>
        <w:rFonts w:hint="default"/>
      </w:rPr>
    </w:lvl>
    <w:lvl w:ilvl="2" w:tplc="1BC6DD0E">
      <w:start w:val="1"/>
      <w:numFmt w:val="bullet"/>
      <w:lvlText w:val="•"/>
      <w:lvlJc w:val="left"/>
      <w:pPr>
        <w:ind w:left="1807" w:hanging="360"/>
      </w:pPr>
      <w:rPr>
        <w:rFonts w:hint="default"/>
      </w:rPr>
    </w:lvl>
    <w:lvl w:ilvl="3" w:tplc="DD221D90">
      <w:start w:val="1"/>
      <w:numFmt w:val="bullet"/>
      <w:lvlText w:val="•"/>
      <w:lvlJc w:val="left"/>
      <w:pPr>
        <w:ind w:left="2300" w:hanging="360"/>
      </w:pPr>
      <w:rPr>
        <w:rFonts w:hint="default"/>
      </w:rPr>
    </w:lvl>
    <w:lvl w:ilvl="4" w:tplc="8CECB3A2">
      <w:start w:val="1"/>
      <w:numFmt w:val="bullet"/>
      <w:lvlText w:val="•"/>
      <w:lvlJc w:val="left"/>
      <w:pPr>
        <w:ind w:left="2792" w:hanging="360"/>
      </w:pPr>
      <w:rPr>
        <w:rFonts w:hint="default"/>
      </w:rPr>
    </w:lvl>
    <w:lvl w:ilvl="5" w:tplc="F9CA8236">
      <w:start w:val="1"/>
      <w:numFmt w:val="bullet"/>
      <w:lvlText w:val="•"/>
      <w:lvlJc w:val="left"/>
      <w:pPr>
        <w:ind w:left="3285" w:hanging="360"/>
      </w:pPr>
      <w:rPr>
        <w:rFonts w:hint="default"/>
      </w:rPr>
    </w:lvl>
    <w:lvl w:ilvl="6" w:tplc="F2E837B0">
      <w:start w:val="1"/>
      <w:numFmt w:val="bullet"/>
      <w:lvlText w:val="•"/>
      <w:lvlJc w:val="left"/>
      <w:pPr>
        <w:ind w:left="3777" w:hanging="360"/>
      </w:pPr>
      <w:rPr>
        <w:rFonts w:hint="default"/>
      </w:rPr>
    </w:lvl>
    <w:lvl w:ilvl="7" w:tplc="E42028A2">
      <w:start w:val="1"/>
      <w:numFmt w:val="bullet"/>
      <w:lvlText w:val="•"/>
      <w:lvlJc w:val="left"/>
      <w:pPr>
        <w:ind w:left="4270" w:hanging="360"/>
      </w:pPr>
      <w:rPr>
        <w:rFonts w:hint="default"/>
      </w:rPr>
    </w:lvl>
    <w:lvl w:ilvl="8" w:tplc="2E32A776">
      <w:start w:val="1"/>
      <w:numFmt w:val="bullet"/>
      <w:lvlText w:val="•"/>
      <w:lvlJc w:val="left"/>
      <w:pPr>
        <w:ind w:left="4763" w:hanging="360"/>
      </w:pPr>
      <w:rPr>
        <w:rFonts w:hint="default"/>
      </w:rPr>
    </w:lvl>
  </w:abstractNum>
  <w:abstractNum w:abstractNumId="21" w15:restartNumberingAfterBreak="0">
    <w:nsid w:val="40814570"/>
    <w:multiLevelType w:val="hybridMultilevel"/>
    <w:tmpl w:val="1B3ADCA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B2E2219E">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A32A4B"/>
    <w:multiLevelType w:val="hybridMultilevel"/>
    <w:tmpl w:val="4594D5AC"/>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9FE68B4"/>
    <w:multiLevelType w:val="hybridMultilevel"/>
    <w:tmpl w:val="15248EDE"/>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0A0589E"/>
    <w:multiLevelType w:val="hybridMultilevel"/>
    <w:tmpl w:val="D4EABB88"/>
    <w:lvl w:ilvl="0" w:tplc="E4E011CC">
      <w:start w:val="1"/>
      <w:numFmt w:val="bullet"/>
      <w:lvlText w:val=""/>
      <w:lvlJc w:val="left"/>
      <w:pPr>
        <w:ind w:left="837" w:hanging="360"/>
      </w:pPr>
      <w:rPr>
        <w:rFonts w:ascii="Symbol" w:eastAsia="Symbol" w:hAnsi="Symbol" w:hint="default"/>
        <w:sz w:val="20"/>
        <w:szCs w:val="20"/>
      </w:rPr>
    </w:lvl>
    <w:lvl w:ilvl="1" w:tplc="3A8A2E2C">
      <w:start w:val="1"/>
      <w:numFmt w:val="bullet"/>
      <w:lvlText w:val="•"/>
      <w:lvlJc w:val="left"/>
      <w:pPr>
        <w:ind w:left="1328" w:hanging="360"/>
      </w:pPr>
      <w:rPr>
        <w:rFonts w:hint="default"/>
      </w:rPr>
    </w:lvl>
    <w:lvl w:ilvl="2" w:tplc="C6FA162C">
      <w:start w:val="1"/>
      <w:numFmt w:val="bullet"/>
      <w:lvlText w:val="•"/>
      <w:lvlJc w:val="left"/>
      <w:pPr>
        <w:ind w:left="1819" w:hanging="360"/>
      </w:pPr>
      <w:rPr>
        <w:rFonts w:hint="default"/>
      </w:rPr>
    </w:lvl>
    <w:lvl w:ilvl="3" w:tplc="FB84A93C">
      <w:start w:val="1"/>
      <w:numFmt w:val="bullet"/>
      <w:lvlText w:val="•"/>
      <w:lvlJc w:val="left"/>
      <w:pPr>
        <w:ind w:left="2311" w:hanging="360"/>
      </w:pPr>
      <w:rPr>
        <w:rFonts w:hint="default"/>
      </w:rPr>
    </w:lvl>
    <w:lvl w:ilvl="4" w:tplc="D666BC68">
      <w:start w:val="1"/>
      <w:numFmt w:val="bullet"/>
      <w:lvlText w:val="•"/>
      <w:lvlJc w:val="left"/>
      <w:pPr>
        <w:ind w:left="2802" w:hanging="360"/>
      </w:pPr>
      <w:rPr>
        <w:rFonts w:hint="default"/>
      </w:rPr>
    </w:lvl>
    <w:lvl w:ilvl="5" w:tplc="61EC0F04">
      <w:start w:val="1"/>
      <w:numFmt w:val="bullet"/>
      <w:lvlText w:val="•"/>
      <w:lvlJc w:val="left"/>
      <w:pPr>
        <w:ind w:left="3293" w:hanging="360"/>
      </w:pPr>
      <w:rPr>
        <w:rFonts w:hint="default"/>
      </w:rPr>
    </w:lvl>
    <w:lvl w:ilvl="6" w:tplc="8BEC7D84">
      <w:start w:val="1"/>
      <w:numFmt w:val="bullet"/>
      <w:lvlText w:val="•"/>
      <w:lvlJc w:val="left"/>
      <w:pPr>
        <w:ind w:left="3784" w:hanging="360"/>
      </w:pPr>
      <w:rPr>
        <w:rFonts w:hint="default"/>
      </w:rPr>
    </w:lvl>
    <w:lvl w:ilvl="7" w:tplc="BE94E0FE">
      <w:start w:val="1"/>
      <w:numFmt w:val="bullet"/>
      <w:lvlText w:val="•"/>
      <w:lvlJc w:val="left"/>
      <w:pPr>
        <w:ind w:left="4275" w:hanging="360"/>
      </w:pPr>
      <w:rPr>
        <w:rFonts w:hint="default"/>
      </w:rPr>
    </w:lvl>
    <w:lvl w:ilvl="8" w:tplc="FB54898C">
      <w:start w:val="1"/>
      <w:numFmt w:val="bullet"/>
      <w:lvlText w:val="•"/>
      <w:lvlJc w:val="left"/>
      <w:pPr>
        <w:ind w:left="4766" w:hanging="360"/>
      </w:pPr>
      <w:rPr>
        <w:rFonts w:hint="default"/>
      </w:rPr>
    </w:lvl>
  </w:abstractNum>
  <w:abstractNum w:abstractNumId="25" w15:restartNumberingAfterBreak="0">
    <w:nsid w:val="51892F82"/>
    <w:multiLevelType w:val="multilevel"/>
    <w:tmpl w:val="AE8CA1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9666EDD"/>
    <w:multiLevelType w:val="hybridMultilevel"/>
    <w:tmpl w:val="C2E2D7EC"/>
    <w:lvl w:ilvl="0" w:tplc="FA9615A8">
      <w:start w:val="1"/>
      <w:numFmt w:val="bullet"/>
      <w:lvlText w:val=""/>
      <w:lvlJc w:val="left"/>
      <w:pPr>
        <w:ind w:left="822" w:hanging="360"/>
      </w:pPr>
      <w:rPr>
        <w:rFonts w:ascii="Symbol" w:eastAsia="Symbol" w:hAnsi="Symbol" w:hint="default"/>
        <w:sz w:val="20"/>
        <w:szCs w:val="20"/>
      </w:rPr>
    </w:lvl>
    <w:lvl w:ilvl="1" w:tplc="11DEC7D6">
      <w:start w:val="1"/>
      <w:numFmt w:val="bullet"/>
      <w:lvlText w:val="•"/>
      <w:lvlJc w:val="left"/>
      <w:pPr>
        <w:ind w:left="1314" w:hanging="360"/>
      </w:pPr>
      <w:rPr>
        <w:rFonts w:hint="default"/>
      </w:rPr>
    </w:lvl>
    <w:lvl w:ilvl="2" w:tplc="F9BC24EA">
      <w:start w:val="1"/>
      <w:numFmt w:val="bullet"/>
      <w:lvlText w:val="•"/>
      <w:lvlJc w:val="left"/>
      <w:pPr>
        <w:ind w:left="1807" w:hanging="360"/>
      </w:pPr>
      <w:rPr>
        <w:rFonts w:hint="default"/>
      </w:rPr>
    </w:lvl>
    <w:lvl w:ilvl="3" w:tplc="A8A651A6">
      <w:start w:val="1"/>
      <w:numFmt w:val="bullet"/>
      <w:lvlText w:val="•"/>
      <w:lvlJc w:val="left"/>
      <w:pPr>
        <w:ind w:left="2300" w:hanging="360"/>
      </w:pPr>
      <w:rPr>
        <w:rFonts w:hint="default"/>
      </w:rPr>
    </w:lvl>
    <w:lvl w:ilvl="4" w:tplc="DFF69166">
      <w:start w:val="1"/>
      <w:numFmt w:val="bullet"/>
      <w:lvlText w:val="•"/>
      <w:lvlJc w:val="left"/>
      <w:pPr>
        <w:ind w:left="2792" w:hanging="360"/>
      </w:pPr>
      <w:rPr>
        <w:rFonts w:hint="default"/>
      </w:rPr>
    </w:lvl>
    <w:lvl w:ilvl="5" w:tplc="77685444">
      <w:start w:val="1"/>
      <w:numFmt w:val="bullet"/>
      <w:lvlText w:val="•"/>
      <w:lvlJc w:val="left"/>
      <w:pPr>
        <w:ind w:left="3285" w:hanging="360"/>
      </w:pPr>
      <w:rPr>
        <w:rFonts w:hint="default"/>
      </w:rPr>
    </w:lvl>
    <w:lvl w:ilvl="6" w:tplc="2AE034AA">
      <w:start w:val="1"/>
      <w:numFmt w:val="bullet"/>
      <w:lvlText w:val="•"/>
      <w:lvlJc w:val="left"/>
      <w:pPr>
        <w:ind w:left="3777" w:hanging="360"/>
      </w:pPr>
      <w:rPr>
        <w:rFonts w:hint="default"/>
      </w:rPr>
    </w:lvl>
    <w:lvl w:ilvl="7" w:tplc="A7527772">
      <w:start w:val="1"/>
      <w:numFmt w:val="bullet"/>
      <w:lvlText w:val="•"/>
      <w:lvlJc w:val="left"/>
      <w:pPr>
        <w:ind w:left="4270" w:hanging="360"/>
      </w:pPr>
      <w:rPr>
        <w:rFonts w:hint="default"/>
      </w:rPr>
    </w:lvl>
    <w:lvl w:ilvl="8" w:tplc="BB2AD232">
      <w:start w:val="1"/>
      <w:numFmt w:val="bullet"/>
      <w:lvlText w:val="•"/>
      <w:lvlJc w:val="left"/>
      <w:pPr>
        <w:ind w:left="4763" w:hanging="360"/>
      </w:pPr>
      <w:rPr>
        <w:rFonts w:hint="default"/>
      </w:rPr>
    </w:lvl>
  </w:abstractNum>
  <w:abstractNum w:abstractNumId="27" w15:restartNumberingAfterBreak="0">
    <w:nsid w:val="5BD36A94"/>
    <w:multiLevelType w:val="hybridMultilevel"/>
    <w:tmpl w:val="8228DD16"/>
    <w:lvl w:ilvl="0" w:tplc="57D04E1A">
      <w:start w:val="3"/>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22" w:hanging="360"/>
      </w:pPr>
    </w:lvl>
    <w:lvl w:ilvl="2" w:tplc="0809001B" w:tentative="1">
      <w:start w:val="1"/>
      <w:numFmt w:val="lowerRoman"/>
      <w:lvlText w:val="%3."/>
      <w:lvlJc w:val="right"/>
      <w:pPr>
        <w:ind w:left="742" w:hanging="180"/>
      </w:pPr>
    </w:lvl>
    <w:lvl w:ilvl="3" w:tplc="0809000F" w:tentative="1">
      <w:start w:val="1"/>
      <w:numFmt w:val="decimal"/>
      <w:lvlText w:val="%4."/>
      <w:lvlJc w:val="left"/>
      <w:pPr>
        <w:ind w:left="1462" w:hanging="360"/>
      </w:pPr>
    </w:lvl>
    <w:lvl w:ilvl="4" w:tplc="08090019" w:tentative="1">
      <w:start w:val="1"/>
      <w:numFmt w:val="lowerLetter"/>
      <w:lvlText w:val="%5."/>
      <w:lvlJc w:val="left"/>
      <w:pPr>
        <w:ind w:left="2182" w:hanging="360"/>
      </w:pPr>
    </w:lvl>
    <w:lvl w:ilvl="5" w:tplc="0809001B" w:tentative="1">
      <w:start w:val="1"/>
      <w:numFmt w:val="lowerRoman"/>
      <w:lvlText w:val="%6."/>
      <w:lvlJc w:val="right"/>
      <w:pPr>
        <w:ind w:left="2902" w:hanging="180"/>
      </w:pPr>
    </w:lvl>
    <w:lvl w:ilvl="6" w:tplc="0809000F" w:tentative="1">
      <w:start w:val="1"/>
      <w:numFmt w:val="decimal"/>
      <w:lvlText w:val="%7."/>
      <w:lvlJc w:val="left"/>
      <w:pPr>
        <w:ind w:left="3622" w:hanging="360"/>
      </w:pPr>
    </w:lvl>
    <w:lvl w:ilvl="7" w:tplc="08090019" w:tentative="1">
      <w:start w:val="1"/>
      <w:numFmt w:val="lowerLetter"/>
      <w:lvlText w:val="%8."/>
      <w:lvlJc w:val="left"/>
      <w:pPr>
        <w:ind w:left="4342" w:hanging="360"/>
      </w:pPr>
    </w:lvl>
    <w:lvl w:ilvl="8" w:tplc="0809001B" w:tentative="1">
      <w:start w:val="1"/>
      <w:numFmt w:val="lowerRoman"/>
      <w:lvlText w:val="%9."/>
      <w:lvlJc w:val="right"/>
      <w:pPr>
        <w:ind w:left="5062" w:hanging="180"/>
      </w:pPr>
    </w:lvl>
  </w:abstractNum>
  <w:abstractNum w:abstractNumId="28" w15:restartNumberingAfterBreak="0">
    <w:nsid w:val="64027D2E"/>
    <w:multiLevelType w:val="hybridMultilevel"/>
    <w:tmpl w:val="3336E41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96C2463"/>
    <w:multiLevelType w:val="hybridMultilevel"/>
    <w:tmpl w:val="20689D4A"/>
    <w:lvl w:ilvl="0" w:tplc="85FED7B2">
      <w:start w:val="1"/>
      <w:numFmt w:val="bullet"/>
      <w:lvlText w:val=""/>
      <w:lvlJc w:val="left"/>
      <w:pPr>
        <w:ind w:left="837" w:hanging="360"/>
      </w:pPr>
      <w:rPr>
        <w:rFonts w:ascii="Symbol" w:eastAsia="Symbol" w:hAnsi="Symbol" w:hint="default"/>
        <w:sz w:val="20"/>
        <w:szCs w:val="20"/>
      </w:rPr>
    </w:lvl>
    <w:lvl w:ilvl="1" w:tplc="4E4AEA7A">
      <w:start w:val="1"/>
      <w:numFmt w:val="bullet"/>
      <w:lvlText w:val="•"/>
      <w:lvlJc w:val="left"/>
      <w:pPr>
        <w:ind w:left="1328" w:hanging="360"/>
      </w:pPr>
      <w:rPr>
        <w:rFonts w:hint="default"/>
      </w:rPr>
    </w:lvl>
    <w:lvl w:ilvl="2" w:tplc="D0A60460">
      <w:start w:val="1"/>
      <w:numFmt w:val="bullet"/>
      <w:lvlText w:val="•"/>
      <w:lvlJc w:val="left"/>
      <w:pPr>
        <w:ind w:left="1819" w:hanging="360"/>
      </w:pPr>
      <w:rPr>
        <w:rFonts w:hint="default"/>
      </w:rPr>
    </w:lvl>
    <w:lvl w:ilvl="3" w:tplc="50565586">
      <w:start w:val="1"/>
      <w:numFmt w:val="bullet"/>
      <w:lvlText w:val="•"/>
      <w:lvlJc w:val="left"/>
      <w:pPr>
        <w:ind w:left="2311" w:hanging="360"/>
      </w:pPr>
      <w:rPr>
        <w:rFonts w:hint="default"/>
      </w:rPr>
    </w:lvl>
    <w:lvl w:ilvl="4" w:tplc="4F40C57E">
      <w:start w:val="1"/>
      <w:numFmt w:val="bullet"/>
      <w:lvlText w:val="•"/>
      <w:lvlJc w:val="left"/>
      <w:pPr>
        <w:ind w:left="2802" w:hanging="360"/>
      </w:pPr>
      <w:rPr>
        <w:rFonts w:hint="default"/>
      </w:rPr>
    </w:lvl>
    <w:lvl w:ilvl="5" w:tplc="E560424A">
      <w:start w:val="1"/>
      <w:numFmt w:val="bullet"/>
      <w:lvlText w:val="•"/>
      <w:lvlJc w:val="left"/>
      <w:pPr>
        <w:ind w:left="3293" w:hanging="360"/>
      </w:pPr>
      <w:rPr>
        <w:rFonts w:hint="default"/>
      </w:rPr>
    </w:lvl>
    <w:lvl w:ilvl="6" w:tplc="5DE46E90">
      <w:start w:val="1"/>
      <w:numFmt w:val="bullet"/>
      <w:lvlText w:val="•"/>
      <w:lvlJc w:val="left"/>
      <w:pPr>
        <w:ind w:left="3784" w:hanging="360"/>
      </w:pPr>
      <w:rPr>
        <w:rFonts w:hint="default"/>
      </w:rPr>
    </w:lvl>
    <w:lvl w:ilvl="7" w:tplc="F628FECC">
      <w:start w:val="1"/>
      <w:numFmt w:val="bullet"/>
      <w:lvlText w:val="•"/>
      <w:lvlJc w:val="left"/>
      <w:pPr>
        <w:ind w:left="4275" w:hanging="360"/>
      </w:pPr>
      <w:rPr>
        <w:rFonts w:hint="default"/>
      </w:rPr>
    </w:lvl>
    <w:lvl w:ilvl="8" w:tplc="5F5CCFC8">
      <w:start w:val="1"/>
      <w:numFmt w:val="bullet"/>
      <w:lvlText w:val="•"/>
      <w:lvlJc w:val="left"/>
      <w:pPr>
        <w:ind w:left="4766" w:hanging="360"/>
      </w:pPr>
      <w:rPr>
        <w:rFonts w:hint="default"/>
      </w:rPr>
    </w:lvl>
  </w:abstractNum>
  <w:abstractNum w:abstractNumId="30" w15:restartNumberingAfterBreak="0">
    <w:nsid w:val="6C233DA2"/>
    <w:multiLevelType w:val="hybridMultilevel"/>
    <w:tmpl w:val="5186F232"/>
    <w:lvl w:ilvl="0" w:tplc="01462338">
      <w:start w:val="1"/>
      <w:numFmt w:val="bullet"/>
      <w:lvlText w:val=""/>
      <w:lvlJc w:val="left"/>
      <w:pPr>
        <w:ind w:left="837" w:hanging="360"/>
      </w:pPr>
      <w:rPr>
        <w:rFonts w:ascii="Symbol" w:eastAsia="Symbol" w:hAnsi="Symbol" w:hint="default"/>
        <w:sz w:val="20"/>
        <w:szCs w:val="20"/>
      </w:rPr>
    </w:lvl>
    <w:lvl w:ilvl="1" w:tplc="96CCA3F2">
      <w:start w:val="1"/>
      <w:numFmt w:val="bullet"/>
      <w:lvlText w:val="•"/>
      <w:lvlJc w:val="left"/>
      <w:pPr>
        <w:ind w:left="1328" w:hanging="360"/>
      </w:pPr>
      <w:rPr>
        <w:rFonts w:hint="default"/>
      </w:rPr>
    </w:lvl>
    <w:lvl w:ilvl="2" w:tplc="11F67A38">
      <w:start w:val="1"/>
      <w:numFmt w:val="bullet"/>
      <w:lvlText w:val="•"/>
      <w:lvlJc w:val="left"/>
      <w:pPr>
        <w:ind w:left="1819" w:hanging="360"/>
      </w:pPr>
      <w:rPr>
        <w:rFonts w:hint="default"/>
      </w:rPr>
    </w:lvl>
    <w:lvl w:ilvl="3" w:tplc="3DFA2070">
      <w:start w:val="1"/>
      <w:numFmt w:val="bullet"/>
      <w:lvlText w:val="•"/>
      <w:lvlJc w:val="left"/>
      <w:pPr>
        <w:ind w:left="2311" w:hanging="360"/>
      </w:pPr>
      <w:rPr>
        <w:rFonts w:hint="default"/>
      </w:rPr>
    </w:lvl>
    <w:lvl w:ilvl="4" w:tplc="DE0866FC">
      <w:start w:val="1"/>
      <w:numFmt w:val="bullet"/>
      <w:lvlText w:val="•"/>
      <w:lvlJc w:val="left"/>
      <w:pPr>
        <w:ind w:left="2802" w:hanging="360"/>
      </w:pPr>
      <w:rPr>
        <w:rFonts w:hint="default"/>
      </w:rPr>
    </w:lvl>
    <w:lvl w:ilvl="5" w:tplc="4710B3E2">
      <w:start w:val="1"/>
      <w:numFmt w:val="bullet"/>
      <w:lvlText w:val="•"/>
      <w:lvlJc w:val="left"/>
      <w:pPr>
        <w:ind w:left="3293" w:hanging="360"/>
      </w:pPr>
      <w:rPr>
        <w:rFonts w:hint="default"/>
      </w:rPr>
    </w:lvl>
    <w:lvl w:ilvl="6" w:tplc="5300BB36">
      <w:start w:val="1"/>
      <w:numFmt w:val="bullet"/>
      <w:lvlText w:val="•"/>
      <w:lvlJc w:val="left"/>
      <w:pPr>
        <w:ind w:left="3784" w:hanging="360"/>
      </w:pPr>
      <w:rPr>
        <w:rFonts w:hint="default"/>
      </w:rPr>
    </w:lvl>
    <w:lvl w:ilvl="7" w:tplc="849E1368">
      <w:start w:val="1"/>
      <w:numFmt w:val="bullet"/>
      <w:lvlText w:val="•"/>
      <w:lvlJc w:val="left"/>
      <w:pPr>
        <w:ind w:left="4275" w:hanging="360"/>
      </w:pPr>
      <w:rPr>
        <w:rFonts w:hint="default"/>
      </w:rPr>
    </w:lvl>
    <w:lvl w:ilvl="8" w:tplc="C0B69BB2">
      <w:start w:val="1"/>
      <w:numFmt w:val="bullet"/>
      <w:lvlText w:val="•"/>
      <w:lvlJc w:val="left"/>
      <w:pPr>
        <w:ind w:left="4766" w:hanging="360"/>
      </w:pPr>
      <w:rPr>
        <w:rFonts w:hint="default"/>
      </w:rPr>
    </w:lvl>
  </w:abstractNum>
  <w:abstractNum w:abstractNumId="31" w15:restartNumberingAfterBreak="0">
    <w:nsid w:val="6CE843B2"/>
    <w:multiLevelType w:val="hybridMultilevel"/>
    <w:tmpl w:val="1F6CDDDC"/>
    <w:lvl w:ilvl="0" w:tplc="CFCA365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7A1D7B"/>
    <w:multiLevelType w:val="hybridMultilevel"/>
    <w:tmpl w:val="8326E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F7F3B74"/>
    <w:multiLevelType w:val="hybridMultilevel"/>
    <w:tmpl w:val="16644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8947EF"/>
    <w:multiLevelType w:val="hybridMultilevel"/>
    <w:tmpl w:val="D166AFFE"/>
    <w:lvl w:ilvl="0" w:tplc="4DB6D934">
      <w:start w:val="1"/>
      <w:numFmt w:val="bullet"/>
      <w:lvlText w:val=""/>
      <w:lvlJc w:val="left"/>
      <w:pPr>
        <w:ind w:left="822" w:hanging="360"/>
      </w:pPr>
      <w:rPr>
        <w:rFonts w:ascii="Symbol" w:eastAsia="Symbol" w:hAnsi="Symbol" w:hint="default"/>
        <w:sz w:val="20"/>
        <w:szCs w:val="20"/>
      </w:rPr>
    </w:lvl>
    <w:lvl w:ilvl="1" w:tplc="61685A7A">
      <w:start w:val="1"/>
      <w:numFmt w:val="bullet"/>
      <w:lvlText w:val="•"/>
      <w:lvlJc w:val="left"/>
      <w:pPr>
        <w:ind w:left="1314" w:hanging="360"/>
      </w:pPr>
      <w:rPr>
        <w:rFonts w:hint="default"/>
      </w:rPr>
    </w:lvl>
    <w:lvl w:ilvl="2" w:tplc="4E6E5FB8">
      <w:start w:val="1"/>
      <w:numFmt w:val="bullet"/>
      <w:lvlText w:val="•"/>
      <w:lvlJc w:val="left"/>
      <w:pPr>
        <w:ind w:left="1807" w:hanging="360"/>
      </w:pPr>
      <w:rPr>
        <w:rFonts w:hint="default"/>
      </w:rPr>
    </w:lvl>
    <w:lvl w:ilvl="3" w:tplc="A96051E0">
      <w:start w:val="1"/>
      <w:numFmt w:val="bullet"/>
      <w:lvlText w:val="•"/>
      <w:lvlJc w:val="left"/>
      <w:pPr>
        <w:ind w:left="2300" w:hanging="360"/>
      </w:pPr>
      <w:rPr>
        <w:rFonts w:hint="default"/>
      </w:rPr>
    </w:lvl>
    <w:lvl w:ilvl="4" w:tplc="54E40526">
      <w:start w:val="1"/>
      <w:numFmt w:val="bullet"/>
      <w:lvlText w:val="•"/>
      <w:lvlJc w:val="left"/>
      <w:pPr>
        <w:ind w:left="2792" w:hanging="360"/>
      </w:pPr>
      <w:rPr>
        <w:rFonts w:hint="default"/>
      </w:rPr>
    </w:lvl>
    <w:lvl w:ilvl="5" w:tplc="D466089E">
      <w:start w:val="1"/>
      <w:numFmt w:val="bullet"/>
      <w:lvlText w:val="•"/>
      <w:lvlJc w:val="left"/>
      <w:pPr>
        <w:ind w:left="3285" w:hanging="360"/>
      </w:pPr>
      <w:rPr>
        <w:rFonts w:hint="default"/>
      </w:rPr>
    </w:lvl>
    <w:lvl w:ilvl="6" w:tplc="DB74A708">
      <w:start w:val="1"/>
      <w:numFmt w:val="bullet"/>
      <w:lvlText w:val="•"/>
      <w:lvlJc w:val="left"/>
      <w:pPr>
        <w:ind w:left="3777" w:hanging="360"/>
      </w:pPr>
      <w:rPr>
        <w:rFonts w:hint="default"/>
      </w:rPr>
    </w:lvl>
    <w:lvl w:ilvl="7" w:tplc="6128C99E">
      <w:start w:val="1"/>
      <w:numFmt w:val="bullet"/>
      <w:lvlText w:val="•"/>
      <w:lvlJc w:val="left"/>
      <w:pPr>
        <w:ind w:left="4270" w:hanging="360"/>
      </w:pPr>
      <w:rPr>
        <w:rFonts w:hint="default"/>
      </w:rPr>
    </w:lvl>
    <w:lvl w:ilvl="8" w:tplc="2FD458D6">
      <w:start w:val="1"/>
      <w:numFmt w:val="bullet"/>
      <w:lvlText w:val="•"/>
      <w:lvlJc w:val="left"/>
      <w:pPr>
        <w:ind w:left="4763" w:hanging="360"/>
      </w:pPr>
      <w:rPr>
        <w:rFonts w:hint="default"/>
      </w:rPr>
    </w:lvl>
  </w:abstractNum>
  <w:abstractNum w:abstractNumId="35" w15:restartNumberingAfterBreak="0">
    <w:nsid w:val="728F350E"/>
    <w:multiLevelType w:val="hybridMultilevel"/>
    <w:tmpl w:val="E4D42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BC6CC7"/>
    <w:multiLevelType w:val="hybridMultilevel"/>
    <w:tmpl w:val="C3BEFDF8"/>
    <w:lvl w:ilvl="0" w:tplc="AC12CDC4">
      <w:start w:val="1"/>
      <w:numFmt w:val="bullet"/>
      <w:lvlText w:val=""/>
      <w:lvlJc w:val="left"/>
      <w:pPr>
        <w:ind w:left="837" w:hanging="360"/>
      </w:pPr>
      <w:rPr>
        <w:rFonts w:ascii="Symbol" w:eastAsia="Symbol" w:hAnsi="Symbol" w:hint="default"/>
        <w:sz w:val="20"/>
        <w:szCs w:val="20"/>
      </w:rPr>
    </w:lvl>
    <w:lvl w:ilvl="1" w:tplc="7BB8AA76">
      <w:start w:val="1"/>
      <w:numFmt w:val="bullet"/>
      <w:lvlText w:val="•"/>
      <w:lvlJc w:val="left"/>
      <w:pPr>
        <w:ind w:left="1328" w:hanging="360"/>
      </w:pPr>
      <w:rPr>
        <w:rFonts w:hint="default"/>
      </w:rPr>
    </w:lvl>
    <w:lvl w:ilvl="2" w:tplc="F684E530">
      <w:start w:val="1"/>
      <w:numFmt w:val="bullet"/>
      <w:lvlText w:val="•"/>
      <w:lvlJc w:val="left"/>
      <w:pPr>
        <w:ind w:left="1819" w:hanging="360"/>
      </w:pPr>
      <w:rPr>
        <w:rFonts w:hint="default"/>
      </w:rPr>
    </w:lvl>
    <w:lvl w:ilvl="3" w:tplc="FDB01404">
      <w:start w:val="1"/>
      <w:numFmt w:val="bullet"/>
      <w:lvlText w:val="•"/>
      <w:lvlJc w:val="left"/>
      <w:pPr>
        <w:ind w:left="2311" w:hanging="360"/>
      </w:pPr>
      <w:rPr>
        <w:rFonts w:hint="default"/>
      </w:rPr>
    </w:lvl>
    <w:lvl w:ilvl="4" w:tplc="2A9ADFA8">
      <w:start w:val="1"/>
      <w:numFmt w:val="bullet"/>
      <w:lvlText w:val="•"/>
      <w:lvlJc w:val="left"/>
      <w:pPr>
        <w:ind w:left="2802" w:hanging="360"/>
      </w:pPr>
      <w:rPr>
        <w:rFonts w:hint="default"/>
      </w:rPr>
    </w:lvl>
    <w:lvl w:ilvl="5" w:tplc="DCB6D8DE">
      <w:start w:val="1"/>
      <w:numFmt w:val="bullet"/>
      <w:lvlText w:val="•"/>
      <w:lvlJc w:val="left"/>
      <w:pPr>
        <w:ind w:left="3293" w:hanging="360"/>
      </w:pPr>
      <w:rPr>
        <w:rFonts w:hint="default"/>
      </w:rPr>
    </w:lvl>
    <w:lvl w:ilvl="6" w:tplc="4CAAA8FC">
      <w:start w:val="1"/>
      <w:numFmt w:val="bullet"/>
      <w:lvlText w:val="•"/>
      <w:lvlJc w:val="left"/>
      <w:pPr>
        <w:ind w:left="3784" w:hanging="360"/>
      </w:pPr>
      <w:rPr>
        <w:rFonts w:hint="default"/>
      </w:rPr>
    </w:lvl>
    <w:lvl w:ilvl="7" w:tplc="64769AD6">
      <w:start w:val="1"/>
      <w:numFmt w:val="bullet"/>
      <w:lvlText w:val="•"/>
      <w:lvlJc w:val="left"/>
      <w:pPr>
        <w:ind w:left="4275" w:hanging="360"/>
      </w:pPr>
      <w:rPr>
        <w:rFonts w:hint="default"/>
      </w:rPr>
    </w:lvl>
    <w:lvl w:ilvl="8" w:tplc="A50C4C4A">
      <w:start w:val="1"/>
      <w:numFmt w:val="bullet"/>
      <w:lvlText w:val="•"/>
      <w:lvlJc w:val="left"/>
      <w:pPr>
        <w:ind w:left="4766" w:hanging="360"/>
      </w:pPr>
      <w:rPr>
        <w:rFonts w:hint="default"/>
      </w:rPr>
    </w:lvl>
  </w:abstractNum>
  <w:abstractNum w:abstractNumId="37" w15:restartNumberingAfterBreak="0">
    <w:nsid w:val="764740A8"/>
    <w:multiLevelType w:val="hybridMultilevel"/>
    <w:tmpl w:val="81C85900"/>
    <w:lvl w:ilvl="0" w:tplc="C2BE7B3E">
      <w:start w:val="1"/>
      <w:numFmt w:val="bullet"/>
      <w:lvlText w:val=""/>
      <w:lvlJc w:val="left"/>
      <w:pPr>
        <w:ind w:left="837" w:hanging="360"/>
      </w:pPr>
      <w:rPr>
        <w:rFonts w:ascii="Symbol" w:eastAsia="Symbol" w:hAnsi="Symbol" w:hint="default"/>
        <w:sz w:val="20"/>
        <w:szCs w:val="20"/>
      </w:rPr>
    </w:lvl>
    <w:lvl w:ilvl="1" w:tplc="7A908526">
      <w:start w:val="1"/>
      <w:numFmt w:val="bullet"/>
      <w:lvlText w:val="•"/>
      <w:lvlJc w:val="left"/>
      <w:pPr>
        <w:ind w:left="1328" w:hanging="360"/>
      </w:pPr>
      <w:rPr>
        <w:rFonts w:hint="default"/>
      </w:rPr>
    </w:lvl>
    <w:lvl w:ilvl="2" w:tplc="865C116E">
      <w:start w:val="1"/>
      <w:numFmt w:val="bullet"/>
      <w:lvlText w:val="•"/>
      <w:lvlJc w:val="left"/>
      <w:pPr>
        <w:ind w:left="1819" w:hanging="360"/>
      </w:pPr>
      <w:rPr>
        <w:rFonts w:hint="default"/>
      </w:rPr>
    </w:lvl>
    <w:lvl w:ilvl="3" w:tplc="E690BB72">
      <w:start w:val="1"/>
      <w:numFmt w:val="bullet"/>
      <w:lvlText w:val="•"/>
      <w:lvlJc w:val="left"/>
      <w:pPr>
        <w:ind w:left="2311" w:hanging="360"/>
      </w:pPr>
      <w:rPr>
        <w:rFonts w:hint="default"/>
      </w:rPr>
    </w:lvl>
    <w:lvl w:ilvl="4" w:tplc="A82E73B0">
      <w:start w:val="1"/>
      <w:numFmt w:val="bullet"/>
      <w:lvlText w:val="•"/>
      <w:lvlJc w:val="left"/>
      <w:pPr>
        <w:ind w:left="2802" w:hanging="360"/>
      </w:pPr>
      <w:rPr>
        <w:rFonts w:hint="default"/>
      </w:rPr>
    </w:lvl>
    <w:lvl w:ilvl="5" w:tplc="965CD92E">
      <w:start w:val="1"/>
      <w:numFmt w:val="bullet"/>
      <w:lvlText w:val="•"/>
      <w:lvlJc w:val="left"/>
      <w:pPr>
        <w:ind w:left="3293" w:hanging="360"/>
      </w:pPr>
      <w:rPr>
        <w:rFonts w:hint="default"/>
      </w:rPr>
    </w:lvl>
    <w:lvl w:ilvl="6" w:tplc="5D00447E">
      <w:start w:val="1"/>
      <w:numFmt w:val="bullet"/>
      <w:lvlText w:val="•"/>
      <w:lvlJc w:val="left"/>
      <w:pPr>
        <w:ind w:left="3784" w:hanging="360"/>
      </w:pPr>
      <w:rPr>
        <w:rFonts w:hint="default"/>
      </w:rPr>
    </w:lvl>
    <w:lvl w:ilvl="7" w:tplc="089A683C">
      <w:start w:val="1"/>
      <w:numFmt w:val="bullet"/>
      <w:lvlText w:val="•"/>
      <w:lvlJc w:val="left"/>
      <w:pPr>
        <w:ind w:left="4275" w:hanging="360"/>
      </w:pPr>
      <w:rPr>
        <w:rFonts w:hint="default"/>
      </w:rPr>
    </w:lvl>
    <w:lvl w:ilvl="8" w:tplc="2A7C3836">
      <w:start w:val="1"/>
      <w:numFmt w:val="bullet"/>
      <w:lvlText w:val="•"/>
      <w:lvlJc w:val="left"/>
      <w:pPr>
        <w:ind w:left="4766" w:hanging="360"/>
      </w:pPr>
      <w:rPr>
        <w:rFonts w:hint="default"/>
      </w:rPr>
    </w:lvl>
  </w:abstractNum>
  <w:abstractNum w:abstractNumId="38" w15:restartNumberingAfterBreak="0">
    <w:nsid w:val="7D213592"/>
    <w:multiLevelType w:val="hybridMultilevel"/>
    <w:tmpl w:val="A852F52E"/>
    <w:lvl w:ilvl="0" w:tplc="760647C4">
      <w:start w:val="1"/>
      <w:numFmt w:val="bullet"/>
      <w:lvlText w:val=""/>
      <w:lvlJc w:val="left"/>
      <w:pPr>
        <w:ind w:left="822" w:hanging="360"/>
      </w:pPr>
      <w:rPr>
        <w:rFonts w:ascii="Symbol" w:eastAsia="Symbol" w:hAnsi="Symbol" w:hint="default"/>
        <w:sz w:val="20"/>
        <w:szCs w:val="20"/>
      </w:rPr>
    </w:lvl>
    <w:lvl w:ilvl="1" w:tplc="777C3988">
      <w:start w:val="1"/>
      <w:numFmt w:val="bullet"/>
      <w:lvlText w:val="•"/>
      <w:lvlJc w:val="left"/>
      <w:pPr>
        <w:ind w:left="1314" w:hanging="360"/>
      </w:pPr>
      <w:rPr>
        <w:rFonts w:hint="default"/>
      </w:rPr>
    </w:lvl>
    <w:lvl w:ilvl="2" w:tplc="9D5AEF6C">
      <w:start w:val="1"/>
      <w:numFmt w:val="bullet"/>
      <w:lvlText w:val="•"/>
      <w:lvlJc w:val="left"/>
      <w:pPr>
        <w:ind w:left="1807" w:hanging="360"/>
      </w:pPr>
      <w:rPr>
        <w:rFonts w:hint="default"/>
      </w:rPr>
    </w:lvl>
    <w:lvl w:ilvl="3" w:tplc="96769268">
      <w:start w:val="1"/>
      <w:numFmt w:val="bullet"/>
      <w:lvlText w:val="•"/>
      <w:lvlJc w:val="left"/>
      <w:pPr>
        <w:ind w:left="2300" w:hanging="360"/>
      </w:pPr>
      <w:rPr>
        <w:rFonts w:hint="default"/>
      </w:rPr>
    </w:lvl>
    <w:lvl w:ilvl="4" w:tplc="1954E970">
      <w:start w:val="1"/>
      <w:numFmt w:val="bullet"/>
      <w:lvlText w:val="•"/>
      <w:lvlJc w:val="left"/>
      <w:pPr>
        <w:ind w:left="2792" w:hanging="360"/>
      </w:pPr>
      <w:rPr>
        <w:rFonts w:hint="default"/>
      </w:rPr>
    </w:lvl>
    <w:lvl w:ilvl="5" w:tplc="2D7094C6">
      <w:start w:val="1"/>
      <w:numFmt w:val="bullet"/>
      <w:lvlText w:val="•"/>
      <w:lvlJc w:val="left"/>
      <w:pPr>
        <w:ind w:left="3285" w:hanging="360"/>
      </w:pPr>
      <w:rPr>
        <w:rFonts w:hint="default"/>
      </w:rPr>
    </w:lvl>
    <w:lvl w:ilvl="6" w:tplc="1D48B446">
      <w:start w:val="1"/>
      <w:numFmt w:val="bullet"/>
      <w:lvlText w:val="•"/>
      <w:lvlJc w:val="left"/>
      <w:pPr>
        <w:ind w:left="3777" w:hanging="360"/>
      </w:pPr>
      <w:rPr>
        <w:rFonts w:hint="default"/>
      </w:rPr>
    </w:lvl>
    <w:lvl w:ilvl="7" w:tplc="850CB8A4">
      <w:start w:val="1"/>
      <w:numFmt w:val="bullet"/>
      <w:lvlText w:val="•"/>
      <w:lvlJc w:val="left"/>
      <w:pPr>
        <w:ind w:left="4270" w:hanging="360"/>
      </w:pPr>
      <w:rPr>
        <w:rFonts w:hint="default"/>
      </w:rPr>
    </w:lvl>
    <w:lvl w:ilvl="8" w:tplc="11A2F50E">
      <w:start w:val="1"/>
      <w:numFmt w:val="bullet"/>
      <w:lvlText w:val="•"/>
      <w:lvlJc w:val="left"/>
      <w:pPr>
        <w:ind w:left="4763" w:hanging="360"/>
      </w:pPr>
      <w:rPr>
        <w:rFonts w:hint="default"/>
      </w:rPr>
    </w:lvl>
  </w:abstractNum>
  <w:num w:numId="1">
    <w:abstractNumId w:val="16"/>
  </w:num>
  <w:num w:numId="2">
    <w:abstractNumId w:val="17"/>
  </w:num>
  <w:num w:numId="3">
    <w:abstractNumId w:val="19"/>
  </w:num>
  <w:num w:numId="4">
    <w:abstractNumId w:val="15"/>
  </w:num>
  <w:num w:numId="5">
    <w:abstractNumId w:val="18"/>
  </w:num>
  <w:num w:numId="6">
    <w:abstractNumId w:val="25"/>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8"/>
  </w:num>
  <w:num w:numId="13">
    <w:abstractNumId w:val="38"/>
  </w:num>
  <w:num w:numId="14">
    <w:abstractNumId w:val="26"/>
  </w:num>
  <w:num w:numId="15">
    <w:abstractNumId w:val="7"/>
  </w:num>
  <w:num w:numId="16">
    <w:abstractNumId w:val="29"/>
  </w:num>
  <w:num w:numId="17">
    <w:abstractNumId w:val="34"/>
  </w:num>
  <w:num w:numId="18">
    <w:abstractNumId w:val="20"/>
  </w:num>
  <w:num w:numId="19">
    <w:abstractNumId w:val="37"/>
  </w:num>
  <w:num w:numId="20">
    <w:abstractNumId w:val="30"/>
  </w:num>
  <w:num w:numId="21">
    <w:abstractNumId w:val="24"/>
  </w:num>
  <w:num w:numId="22">
    <w:abstractNumId w:val="13"/>
  </w:num>
  <w:num w:numId="23">
    <w:abstractNumId w:val="14"/>
  </w:num>
  <w:num w:numId="24">
    <w:abstractNumId w:val="36"/>
  </w:num>
  <w:num w:numId="25">
    <w:abstractNumId w:val="10"/>
  </w:num>
  <w:num w:numId="26">
    <w:abstractNumId w:val="5"/>
  </w:num>
  <w:num w:numId="27">
    <w:abstractNumId w:val="1"/>
  </w:num>
  <w:num w:numId="28">
    <w:abstractNumId w:val="2"/>
  </w:num>
  <w:num w:numId="29">
    <w:abstractNumId w:val="31"/>
  </w:num>
  <w:num w:numId="30">
    <w:abstractNumId w:val="28"/>
  </w:num>
  <w:num w:numId="31">
    <w:abstractNumId w:val="33"/>
  </w:num>
  <w:num w:numId="32">
    <w:abstractNumId w:val="21"/>
  </w:num>
  <w:num w:numId="33">
    <w:abstractNumId w:val="6"/>
  </w:num>
  <w:num w:numId="34">
    <w:abstractNumId w:val="11"/>
  </w:num>
  <w:num w:numId="35">
    <w:abstractNumId w:val="4"/>
  </w:num>
  <w:num w:numId="36">
    <w:abstractNumId w:val="23"/>
  </w:num>
  <w:num w:numId="37">
    <w:abstractNumId w:val="22"/>
  </w:num>
  <w:num w:numId="38">
    <w:abstractNumId w:val="32"/>
  </w:num>
  <w:num w:numId="39">
    <w:abstractNumId w:val="3"/>
  </w:num>
  <w:num w:numId="40">
    <w:abstractNumId w:val="35"/>
  </w:num>
  <w:num w:numId="41">
    <w:abstractNumId w:val="12"/>
  </w:num>
  <w:num w:numId="42">
    <w:abstractNumId w:val="9"/>
  </w:num>
  <w:num w:numId="4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a-DK" w:vendorID="64" w:dllVersion="131078" w:nlCheck="1" w:checkStyle="0"/>
  <w:activeWritingStyle w:appName="MSWord" w:lang="pt-PT" w:vendorID="64" w:dllVersion="131078" w:nlCheck="1" w:checkStyle="0"/>
  <w:defaultTabStop w:val="720"/>
  <w:hyphenationZone w:val="425"/>
  <w:displayHorizontalDrawingGridEvery w:val="0"/>
  <w:displayVerticalDrawingGridEvery w:val="2"/>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123F3EF-DB3B-461F-80C2-1B51CCDF9645"/>
    <w:docVar w:name="LW_COVERPAGE_TYPE" w:val="1"/>
    <w:docVar w:name="LW_CROSSREFERENCE" w:val="&lt;UNUSED&gt;"/>
    <w:docVar w:name="LW_DocType" w:val="NORMAL"/>
    <w:docVar w:name="LW_EMISSION" w:val="19.12.2018"/>
    <w:docVar w:name="LW_EMISSION_ISODATE" w:val="2018-12-19"/>
    <w:docVar w:name="LW_EMISSION_LOCATION" w:val="BRX"/>
    <w:docVar w:name="LW_EMISSION_PREFIX" w:val="Bruxelas, "/>
    <w:docVar w:name="LW_EMISSION_SUFFIX" w:val=" "/>
    <w:docVar w:name="LW_ID_DOCTYPE_NONLW" w:val="CP-009"/>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18) 8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Preparação para a saída do Reino Unido da União Europeia em 30 de março de 2019: Execução do Plano de Ação de Contingência"/>
    <w:docVar w:name="LW_TYPE.DOC.CP" w:val="COMUNICAÇÃO DA COMISSÃO"/>
    <w:docVar w:name="LW_TYPE.DOC.CP.USERTEXT" w:val="AO PARLAMENTO EUROPEU, _x000b_AO CONSELHO EUROPEU, AO CONSELHO, AO BANCO CENTRAL EUROPEU, AO COMITÉ ECONÓMICO E SOCIAL  EUROPEU, AO COMITÉ DAS REGIÕES _x000b_E AO BANCO EUROPEU DE INVESTIMENTO"/>
  </w:docVars>
  <w:rsids>
    <w:rsidRoot w:val="00CD4822"/>
    <w:rsid w:val="004324D5"/>
    <w:rsid w:val="00CD4822"/>
  </w:rsids>
  <m:mathPr>
    <m:mathFont m:val="Cambria Math"/>
    <m:brkBin m:val="before"/>
    <m:brkBinSub m:val="--"/>
    <m:smallFrac/>
    <m:dispDef/>
    <m:lMargin m:val="1440"/>
    <m:rMargin m:val="144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69A17FFC"/>
  <w15:docId w15:val="{B7DD564F-57C8-4956-895F-22ABEE59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t-PT" w:eastAsia="pt-PT" w:bidi="pt-PT"/>
      </w:rPr>
    </w:rPrDefault>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8"/>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7"/>
    <w:qFormat/>
    <w:pPr>
      <w:ind w:left="99"/>
      <w:outlineLvl w:val="0"/>
    </w:pPr>
    <w:rPr>
      <w:rFonts w:ascii="Times New Roman" w:eastAsia="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w w:val="100"/>
      <w:sz w:val="20"/>
      <w:szCs w:val="20"/>
      <w:shd w:val="clear" w:color="auto" w:fill="auto"/>
    </w:rPr>
  </w:style>
  <w:style w:type="paragraph" w:styleId="ListParagraph">
    <w:name w:val="List Paragraph"/>
    <w:aliases w:val="OBC Bullet,Normal 1,Task Body,Viñetas (Inicio Parrafo),Paragrafo elenco,3 Txt tabla,Zerrenda-paragrafoa,Fiche List Paragraph,Dot pt,F5 List Paragraph,List Paragraph1,No Spacing1,List Paragraph Char Char Char,Indicator Text"/>
    <w:basedOn w:val="Normal"/>
    <w:link w:val="ListParagraphChar"/>
    <w:uiPriority w:val="34"/>
    <w:qFormat/>
    <w:pPr>
      <w:ind w:left="720"/>
    </w:pPr>
  </w:style>
  <w:style w:type="table" w:styleId="TableGrid">
    <w:name w:val="Table Grid"/>
    <w:basedOn w:val="TableNormal"/>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w w:val="100"/>
      <w:sz w:val="20"/>
      <w:szCs w:val="20"/>
      <w:shd w:val="clear" w:color="000000" w:fill="auto"/>
    </w:rPr>
  </w:style>
  <w:style w:type="paragraph" w:customStyle="1" w:styleId="Pagedecouverture">
    <w:name w:val="Page de couverture"/>
    <w:basedOn w:val="Normal"/>
    <w:next w:val="Normal"/>
    <w:pPr>
      <w:jc w:val="both"/>
    </w:pPr>
    <w:rPr>
      <w:rFonts w:ascii="Times New Roman" w:eastAsia="Times New Roman" w:hAnsi="Times New Roman"/>
      <w:sz w:val="24"/>
      <w:szCs w:val="24"/>
    </w:rPr>
  </w:style>
  <w:style w:type="paragraph" w:styleId="Header">
    <w:name w:val="header"/>
    <w:basedOn w:val="Normal"/>
    <w:link w:val="HeaderChar"/>
    <w:unhideWhenUsed/>
    <w:pPr>
      <w:tabs>
        <w:tab w:val="center" w:pos="4536"/>
        <w:tab w:val="right" w:pos="9072"/>
      </w:tabs>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jc w:val="center"/>
    </w:pPr>
    <w:rPr>
      <w:rFonts w:ascii="Times New Roman" w:eastAsia="Times New Roman" w:hAnsi="Times New Roman"/>
      <w:b/>
      <w:sz w:val="24"/>
      <w:szCs w:val="24"/>
    </w:rPr>
  </w:style>
  <w:style w:type="paragraph" w:customStyle="1" w:styleId="Titreobjet">
    <w:name w:val="Titre objet"/>
    <w:basedOn w:val="Normal"/>
    <w:next w:val="Normal"/>
    <w:pPr>
      <w:jc w:val="center"/>
    </w:pPr>
    <w:rPr>
      <w:rFonts w:ascii="Times New Roman" w:eastAsia="Times New Roman" w:hAnsi="Times New Roman"/>
      <w:b/>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sz w:val="24"/>
    </w:rPr>
  </w:style>
  <w:style w:type="character" w:customStyle="1" w:styleId="TypedudocumentChar">
    <w:name w:val="Type du document Char"/>
    <w:basedOn w:val="DefaultParagraphFont"/>
    <w:link w:val="Typedudocument"/>
    <w:rPr>
      <w:rFonts w:ascii="Times New Roman" w:eastAsia="Times New Roman" w:hAnsi="Times New Roman"/>
      <w:b/>
      <w:w w:val="100"/>
      <w:sz w:val="24"/>
      <w:szCs w:val="24"/>
      <w:shd w:val="clear" w:color="auto" w:fill="auto"/>
    </w:rPr>
  </w:style>
  <w:style w:type="character" w:customStyle="1" w:styleId="FooterCoverPageChar">
    <w:name w:val="Footer Cover Page Char"/>
    <w:basedOn w:val="TypedudocumentChar"/>
    <w:link w:val="FooterCoverPage"/>
    <w:rPr>
      <w:rFonts w:ascii="Times New Roman" w:eastAsia="Times New Roman" w:hAnsi="Times New Roman"/>
      <w:b w:val="0"/>
      <w:w w:val="100"/>
      <w:sz w:val="24"/>
      <w:szCs w:val="24"/>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b/>
      <w:sz w:val="32"/>
    </w:rPr>
  </w:style>
  <w:style w:type="character" w:customStyle="1" w:styleId="FooterSensitivityChar">
    <w:name w:val="Footer Sensitivity Char"/>
    <w:basedOn w:val="TypedudocumentChar"/>
    <w:link w:val="FooterSensitivity"/>
    <w:rPr>
      <w:rFonts w:ascii="Times New Roman" w:eastAsia="Times New Roman" w:hAnsi="Times New Roman"/>
      <w:b/>
      <w:w w:val="100"/>
      <w:sz w:val="32"/>
      <w:szCs w:val="24"/>
      <w:shd w:val="clear" w:color="auto" w:fill="auto"/>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TypedudocumentChar"/>
    <w:link w:val="HeaderCoverPage"/>
    <w:rPr>
      <w:rFonts w:ascii="Times New Roman" w:eastAsia="Times New Roman" w:hAnsi="Times New Roman"/>
      <w:b w:val="0"/>
      <w:w w:val="100"/>
      <w:sz w:val="24"/>
      <w:szCs w:val="24"/>
      <w:shd w:val="clear" w:color="auto" w:fill="auto"/>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TypedudocumentChar"/>
    <w:link w:val="HeaderSensitivity"/>
    <w:rPr>
      <w:rFonts w:ascii="Times New Roman" w:eastAsia="Times New Roman" w:hAnsi="Times New Roman"/>
      <w:b/>
      <w:w w:val="100"/>
      <w:sz w:val="32"/>
      <w:szCs w:val="24"/>
      <w:shd w:val="clear" w:color="auto" w:fill="auto"/>
    </w:rPr>
  </w:style>
  <w:style w:type="paragraph" w:styleId="NormalWeb">
    <w:name w:val="Normal (Web)"/>
    <w:basedOn w:val="Normal"/>
    <w:uiPriority w:val="99"/>
    <w:unhideWhenUsed/>
    <w:rPr>
      <w:rFonts w:ascii="Times New Roman" w:eastAsia="Times New Roman" w:hAnsi="Times New Roman"/>
      <w:sz w:val="24"/>
      <w:szCs w:val="24"/>
    </w:rPr>
  </w:style>
  <w:style w:type="paragraph" w:styleId="FootnoteText">
    <w:name w:val="footnote text"/>
    <w:basedOn w:val="Normal"/>
    <w:link w:val="FootnoteTextChar"/>
    <w:unhideWhenUsed/>
    <w:rPr>
      <w:sz w:val="20"/>
      <w:szCs w:val="20"/>
    </w:rPr>
  </w:style>
  <w:style w:type="character" w:customStyle="1" w:styleId="FootnoteTextChar">
    <w:name w:val="Footnote Text Char"/>
    <w:basedOn w:val="DefaultParagraphFont"/>
    <w:link w:val="FootnoteText"/>
    <w:rPr>
      <w:w w:val="100"/>
      <w:sz w:val="20"/>
      <w:szCs w:val="20"/>
      <w:shd w:val="clear" w:color="auto" w:fill="auto"/>
    </w:rPr>
  </w:style>
  <w:style w:type="character" w:styleId="FootnoteReference">
    <w:name w:val="footnote reference"/>
    <w:basedOn w:val="DefaultParagraphFont"/>
    <w:unhideWhenUsed/>
    <w:rPr>
      <w:w w:val="100"/>
      <w:sz w:val="20"/>
      <w:szCs w:val="20"/>
      <w:shd w:val="clear" w:color="auto" w:fill="auto"/>
      <w:vertAlign w:val="superscript"/>
    </w:rPr>
  </w:style>
  <w:style w:type="character" w:styleId="Hyperlink">
    <w:name w:val="Hyperlink"/>
    <w:basedOn w:val="DefaultParagraphFont"/>
    <w:unhideWhenUsed/>
    <w:rPr>
      <w:color w:val="0000FF" w:themeColor="hyperlink"/>
      <w:w w:val="100"/>
      <w:sz w:val="20"/>
      <w:szCs w:val="20"/>
      <w:u w:val="single"/>
      <w:shd w:val="clear" w:color="auto" w:fill="auto"/>
    </w:rPr>
  </w:style>
  <w:style w:type="character" w:customStyle="1" w:styleId="ListParagraphChar">
    <w:name w:val="List Paragraph Char"/>
    <w:aliases w:val="OBC Bullet Char,Normal 1 Char,Task Body Char,Viñetas (Inicio Parrafo) Char,Paragrafo elenco Char,3 Txt tabla Char,Zerrenda-paragrafoa Char,Fiche List Paragraph Char,Dot pt Char,F5 List Paragraph Char,List Paragraph1 Char"/>
    <w:link w:val="ListParagraph"/>
    <w:uiPriority w:val="34"/>
    <w:qFormat/>
  </w:style>
  <w:style w:type="paragraph" w:customStyle="1" w:styleId="Briefingtext">
    <w:name w:val="Briefing text"/>
    <w:basedOn w:val="Normal"/>
    <w:link w:val="BriefingtextChar"/>
    <w:pPr>
      <w:jc w:val="both"/>
    </w:pPr>
    <w:rPr>
      <w:rFonts w:ascii="Arial" w:eastAsia="Arial" w:hAnsi="Arial"/>
      <w:sz w:val="20"/>
      <w:szCs w:val="20"/>
    </w:rPr>
  </w:style>
  <w:style w:type="character" w:customStyle="1" w:styleId="BriefingtextChar">
    <w:name w:val="Briefing text Char"/>
    <w:link w:val="Briefingtext"/>
    <w:rPr>
      <w:rFonts w:ascii="Arial" w:eastAsia="Arial" w:hAnsi="Arial"/>
      <w:w w:val="100"/>
      <w:sz w:val="20"/>
      <w:szCs w:val="20"/>
      <w:shd w:val="clear" w:color="auto" w:fill="auto"/>
    </w:rPr>
  </w:style>
  <w:style w:type="paragraph" w:customStyle="1" w:styleId="Default">
    <w:name w:val="Default"/>
    <w:pPr>
      <w:autoSpaceDE w:val="0"/>
      <w:autoSpaceDN w:val="0"/>
    </w:pPr>
    <w:rPr>
      <w:rFonts w:ascii="Times New Roman" w:eastAsia="Times New Roman" w:hAnsi="Times New Roman"/>
      <w:color w:val="000000"/>
      <w:sz w:val="24"/>
      <w:szCs w:val="24"/>
    </w:rP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 w:type="paragraph" w:customStyle="1" w:styleId="statut">
    <w:name w:val="statut"/>
    <w:basedOn w:val="Normal"/>
    <w:rPr>
      <w:rFonts w:ascii="Times New Roman" w:eastAsia="Times New Roman" w:hAnsi="Times New Roman"/>
      <w:sz w:val="24"/>
      <w:szCs w:val="24"/>
    </w:rPr>
  </w:style>
  <w:style w:type="character" w:customStyle="1" w:styleId="truncate">
    <w:name w:val="truncate"/>
    <w:basedOn w:val="DefaultParagraphFont"/>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Pr>
      <w:w w:val="100"/>
      <w:sz w:val="16"/>
      <w:szCs w:val="16"/>
      <w:shd w:val="clear" w:color="auto" w:fill="auto"/>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w w:val="100"/>
      <w:sz w:val="20"/>
      <w:szCs w:val="20"/>
      <w:shd w:val="clear" w:color="auto" w:fill="auto"/>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b/>
      <w:w w:val="100"/>
      <w:sz w:val="20"/>
      <w:szCs w:val="20"/>
      <w:shd w:val="clear" w:color="auto" w:fill="auto"/>
    </w:rPr>
  </w:style>
  <w:style w:type="character" w:styleId="FollowedHyperlink">
    <w:name w:val="FollowedHyperlink"/>
    <w:basedOn w:val="DefaultParagraphFont"/>
    <w:semiHidden/>
    <w:unhideWhenUsed/>
    <w:rPr>
      <w:color w:val="800080" w:themeColor="followedHyperlink"/>
      <w:w w:val="100"/>
      <w:sz w:val="20"/>
      <w:szCs w:val="20"/>
      <w:u w:val="single"/>
      <w:shd w:val="clear" w:color="auto" w:fill="auto"/>
    </w:rPr>
  </w:style>
  <w:style w:type="character" w:customStyle="1" w:styleId="UnresolvedMention">
    <w:name w:val="Unresolved Mention"/>
    <w:basedOn w:val="DefaultParagraphFont"/>
    <w:semiHidden/>
    <w:unhideWhenUsed/>
    <w:rPr>
      <w:color w:val="605E5C"/>
      <w:w w:val="100"/>
      <w:sz w:val="20"/>
      <w:szCs w:val="20"/>
      <w:shd w:val="clear" w:color="000000" w:fill="E1DFDD"/>
    </w:rPr>
  </w:style>
  <w:style w:type="paragraph" w:styleId="Revision">
    <w:name w:val="Revision"/>
    <w:semiHidden/>
  </w:style>
  <w:style w:type="character" w:customStyle="1" w:styleId="Heading1Char">
    <w:name w:val="Heading 1 Char"/>
    <w:basedOn w:val="DefaultParagraphFont"/>
    <w:link w:val="Heading1"/>
    <w:rPr>
      <w:rFonts w:ascii="Times New Roman" w:eastAsia="Times New Roman" w:hAnsi="Times New Roman"/>
      <w:w w:val="100"/>
      <w:sz w:val="24"/>
      <w:szCs w:val="24"/>
      <w:u w:val="single"/>
      <w:shd w:val="clear" w:color="auto" w:fill="auto"/>
    </w:rPr>
  </w:style>
  <w:style w:type="paragraph" w:customStyle="1" w:styleId="TableParagraph">
    <w:name w:val="Table Paragraph"/>
    <w:basedOn w:val="Normal"/>
    <w:uiPriority w:val="1"/>
    <w:qFormat/>
    <w:rPr>
      <w:sz w:val="20"/>
      <w:szCs w:val="20"/>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36">
      <w:bodyDiv w:val="1"/>
      <w:marLeft w:val="0"/>
      <w:marRight w:val="0"/>
      <w:marTop w:val="0"/>
      <w:marBottom w:val="0"/>
      <w:divBdr>
        <w:top w:val="none" w:sz="0" w:space="0" w:color="auto"/>
        <w:left w:val="none" w:sz="0" w:space="0" w:color="auto"/>
        <w:bottom w:val="none" w:sz="0" w:space="0" w:color="auto"/>
        <w:right w:val="none" w:sz="0" w:space="0" w:color="auto"/>
      </w:divBdr>
    </w:div>
    <w:div w:id="178323959">
      <w:bodyDiv w:val="1"/>
      <w:marLeft w:val="0"/>
      <w:marRight w:val="0"/>
      <w:marTop w:val="0"/>
      <w:marBottom w:val="0"/>
      <w:divBdr>
        <w:top w:val="none" w:sz="0" w:space="0" w:color="auto"/>
        <w:left w:val="none" w:sz="0" w:space="0" w:color="auto"/>
        <w:bottom w:val="none" w:sz="0" w:space="0" w:color="auto"/>
        <w:right w:val="none" w:sz="0" w:space="0" w:color="auto"/>
      </w:divBdr>
    </w:div>
    <w:div w:id="516967949">
      <w:bodyDiv w:val="1"/>
      <w:marLeft w:val="0"/>
      <w:marRight w:val="0"/>
      <w:marTop w:val="0"/>
      <w:marBottom w:val="0"/>
      <w:divBdr>
        <w:top w:val="none" w:sz="0" w:space="0" w:color="auto"/>
        <w:left w:val="none" w:sz="0" w:space="0" w:color="auto"/>
        <w:bottom w:val="none" w:sz="0" w:space="0" w:color="auto"/>
        <w:right w:val="none" w:sz="0" w:space="0" w:color="auto"/>
      </w:divBdr>
      <w:divsChild>
        <w:div w:id="1567766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567244">
              <w:marLeft w:val="0"/>
              <w:marRight w:val="0"/>
              <w:marTop w:val="0"/>
              <w:marBottom w:val="0"/>
              <w:divBdr>
                <w:top w:val="none" w:sz="0" w:space="0" w:color="auto"/>
                <w:left w:val="none" w:sz="0" w:space="0" w:color="auto"/>
                <w:bottom w:val="none" w:sz="0" w:space="0" w:color="auto"/>
                <w:right w:val="none" w:sz="0" w:space="0" w:color="auto"/>
              </w:divBdr>
              <w:divsChild>
                <w:div w:id="839388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72459">
                      <w:marLeft w:val="0"/>
                      <w:marRight w:val="0"/>
                      <w:marTop w:val="0"/>
                      <w:marBottom w:val="0"/>
                      <w:divBdr>
                        <w:top w:val="none" w:sz="0" w:space="0" w:color="auto"/>
                        <w:left w:val="none" w:sz="0" w:space="0" w:color="auto"/>
                        <w:bottom w:val="none" w:sz="0" w:space="0" w:color="auto"/>
                        <w:right w:val="none" w:sz="0" w:space="0" w:color="auto"/>
                      </w:divBdr>
                      <w:divsChild>
                        <w:div w:id="1268122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512390">
                              <w:marLeft w:val="0"/>
                              <w:marRight w:val="0"/>
                              <w:marTop w:val="0"/>
                              <w:marBottom w:val="0"/>
                              <w:divBdr>
                                <w:top w:val="none" w:sz="0" w:space="0" w:color="auto"/>
                                <w:left w:val="none" w:sz="0" w:space="0" w:color="auto"/>
                                <w:bottom w:val="none" w:sz="0" w:space="0" w:color="auto"/>
                                <w:right w:val="none" w:sz="0" w:space="0" w:color="auto"/>
                              </w:divBdr>
                              <w:divsChild>
                                <w:div w:id="120538025">
                                  <w:marLeft w:val="0"/>
                                  <w:marRight w:val="0"/>
                                  <w:marTop w:val="0"/>
                                  <w:marBottom w:val="0"/>
                                  <w:divBdr>
                                    <w:top w:val="none" w:sz="0" w:space="0" w:color="auto"/>
                                    <w:left w:val="none" w:sz="0" w:space="0" w:color="auto"/>
                                    <w:bottom w:val="none" w:sz="0" w:space="0" w:color="auto"/>
                                    <w:right w:val="none" w:sz="0" w:space="0" w:color="auto"/>
                                  </w:divBdr>
                                  <w:divsChild>
                                    <w:div w:id="1248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212181">
                                          <w:marLeft w:val="0"/>
                                          <w:marRight w:val="0"/>
                                          <w:marTop w:val="0"/>
                                          <w:marBottom w:val="0"/>
                                          <w:divBdr>
                                            <w:top w:val="none" w:sz="0" w:space="0" w:color="auto"/>
                                            <w:left w:val="none" w:sz="0" w:space="0" w:color="auto"/>
                                            <w:bottom w:val="none" w:sz="0" w:space="0" w:color="auto"/>
                                            <w:right w:val="none" w:sz="0" w:space="0" w:color="auto"/>
                                          </w:divBdr>
                                          <w:divsChild>
                                            <w:div w:id="65613696">
                                              <w:marLeft w:val="0"/>
                                              <w:marRight w:val="0"/>
                                              <w:marTop w:val="0"/>
                                              <w:marBottom w:val="0"/>
                                              <w:divBdr>
                                                <w:top w:val="none" w:sz="0" w:space="0" w:color="auto"/>
                                                <w:left w:val="none" w:sz="0" w:space="0" w:color="auto"/>
                                                <w:bottom w:val="none" w:sz="0" w:space="0" w:color="auto"/>
                                                <w:right w:val="none" w:sz="0" w:space="0" w:color="auto"/>
                                              </w:divBdr>
                                              <w:divsChild>
                                                <w:div w:id="1093280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415155">
                                                      <w:marLeft w:val="0"/>
                                                      <w:marRight w:val="0"/>
                                                      <w:marTop w:val="0"/>
                                                      <w:marBottom w:val="0"/>
                                                      <w:divBdr>
                                                        <w:top w:val="none" w:sz="0" w:space="0" w:color="auto"/>
                                                        <w:left w:val="none" w:sz="0" w:space="0" w:color="auto"/>
                                                        <w:bottom w:val="none" w:sz="0" w:space="0" w:color="auto"/>
                                                        <w:right w:val="none" w:sz="0" w:space="0" w:color="auto"/>
                                                      </w:divBdr>
                                                      <w:divsChild>
                                                        <w:div w:id="810243861">
                                                          <w:marLeft w:val="0"/>
                                                          <w:marRight w:val="0"/>
                                                          <w:marTop w:val="0"/>
                                                          <w:marBottom w:val="0"/>
                                                          <w:divBdr>
                                                            <w:top w:val="none" w:sz="0" w:space="0" w:color="auto"/>
                                                            <w:left w:val="none" w:sz="0" w:space="0" w:color="auto"/>
                                                            <w:bottom w:val="none" w:sz="0" w:space="0" w:color="auto"/>
                                                            <w:right w:val="none" w:sz="0" w:space="0" w:color="auto"/>
                                                          </w:divBdr>
                                                          <w:divsChild>
                                                            <w:div w:id="144399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343722">
                                                                  <w:marLeft w:val="0"/>
                                                                  <w:marRight w:val="0"/>
                                                                  <w:marTop w:val="0"/>
                                                                  <w:marBottom w:val="0"/>
                                                                  <w:divBdr>
                                                                    <w:top w:val="none" w:sz="0" w:space="0" w:color="auto"/>
                                                                    <w:left w:val="none" w:sz="0" w:space="0" w:color="auto"/>
                                                                    <w:bottom w:val="none" w:sz="0" w:space="0" w:color="auto"/>
                                                                    <w:right w:val="none" w:sz="0" w:space="0" w:color="auto"/>
                                                                  </w:divBdr>
                                                                  <w:divsChild>
                                                                    <w:div w:id="34013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461813">
                                                                          <w:marLeft w:val="0"/>
                                                                          <w:marRight w:val="0"/>
                                                                          <w:marTop w:val="0"/>
                                                                          <w:marBottom w:val="0"/>
                                                                          <w:divBdr>
                                                                            <w:top w:val="none" w:sz="0" w:space="0" w:color="auto"/>
                                                                            <w:left w:val="none" w:sz="0" w:space="0" w:color="auto"/>
                                                                            <w:bottom w:val="none" w:sz="0" w:space="0" w:color="auto"/>
                                                                            <w:right w:val="none" w:sz="0" w:space="0" w:color="auto"/>
                                                                          </w:divBdr>
                                                                          <w:divsChild>
                                                                            <w:div w:id="1928684355">
                                                                              <w:marLeft w:val="0"/>
                                                                              <w:marRight w:val="0"/>
                                                                              <w:marTop w:val="0"/>
                                                                              <w:marBottom w:val="0"/>
                                                                              <w:divBdr>
                                                                                <w:top w:val="none" w:sz="0" w:space="0" w:color="auto"/>
                                                                                <w:left w:val="none" w:sz="0" w:space="0" w:color="auto"/>
                                                                                <w:bottom w:val="none" w:sz="0" w:space="0" w:color="auto"/>
                                                                                <w:right w:val="none" w:sz="0" w:space="0" w:color="auto"/>
                                                                              </w:divBdr>
                                                                              <w:divsChild>
                                                                                <w:div w:id="920675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709973">
                                                                                      <w:marLeft w:val="0"/>
                                                                                      <w:marRight w:val="0"/>
                                                                                      <w:marTop w:val="0"/>
                                                                                      <w:marBottom w:val="0"/>
                                                                                      <w:divBdr>
                                                                                        <w:top w:val="none" w:sz="0" w:space="0" w:color="auto"/>
                                                                                        <w:left w:val="none" w:sz="0" w:space="0" w:color="auto"/>
                                                                                        <w:bottom w:val="none" w:sz="0" w:space="0" w:color="auto"/>
                                                                                        <w:right w:val="none" w:sz="0" w:space="0" w:color="auto"/>
                                                                                      </w:divBdr>
                                                                                      <w:divsChild>
                                                                                        <w:div w:id="7935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724852">
      <w:bodyDiv w:val="1"/>
      <w:marLeft w:val="0"/>
      <w:marRight w:val="0"/>
      <w:marTop w:val="0"/>
      <w:marBottom w:val="0"/>
      <w:divBdr>
        <w:top w:val="none" w:sz="0" w:space="0" w:color="auto"/>
        <w:left w:val="none" w:sz="0" w:space="0" w:color="auto"/>
        <w:bottom w:val="none" w:sz="0" w:space="0" w:color="auto"/>
        <w:right w:val="none" w:sz="0" w:space="0" w:color="auto"/>
      </w:divBdr>
    </w:div>
    <w:div w:id="733236319">
      <w:bodyDiv w:val="1"/>
      <w:marLeft w:val="0"/>
      <w:marRight w:val="0"/>
      <w:marTop w:val="0"/>
      <w:marBottom w:val="0"/>
      <w:divBdr>
        <w:top w:val="none" w:sz="0" w:space="0" w:color="auto"/>
        <w:left w:val="none" w:sz="0" w:space="0" w:color="auto"/>
        <w:bottom w:val="none" w:sz="0" w:space="0" w:color="auto"/>
        <w:right w:val="none" w:sz="0" w:space="0" w:color="auto"/>
      </w:divBdr>
    </w:div>
    <w:div w:id="742603878">
      <w:bodyDiv w:val="1"/>
      <w:marLeft w:val="0"/>
      <w:marRight w:val="0"/>
      <w:marTop w:val="0"/>
      <w:marBottom w:val="0"/>
      <w:divBdr>
        <w:top w:val="none" w:sz="0" w:space="0" w:color="auto"/>
        <w:left w:val="none" w:sz="0" w:space="0" w:color="auto"/>
        <w:bottom w:val="none" w:sz="0" w:space="0" w:color="auto"/>
        <w:right w:val="none" w:sz="0" w:space="0" w:color="auto"/>
      </w:divBdr>
      <w:divsChild>
        <w:div w:id="50266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055596">
              <w:marLeft w:val="0"/>
              <w:marRight w:val="0"/>
              <w:marTop w:val="0"/>
              <w:marBottom w:val="0"/>
              <w:divBdr>
                <w:top w:val="none" w:sz="0" w:space="0" w:color="auto"/>
                <w:left w:val="none" w:sz="0" w:space="0" w:color="auto"/>
                <w:bottom w:val="none" w:sz="0" w:space="0" w:color="auto"/>
                <w:right w:val="none" w:sz="0" w:space="0" w:color="auto"/>
              </w:divBdr>
              <w:divsChild>
                <w:div w:id="90803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528374">
                      <w:marLeft w:val="0"/>
                      <w:marRight w:val="0"/>
                      <w:marTop w:val="0"/>
                      <w:marBottom w:val="0"/>
                      <w:divBdr>
                        <w:top w:val="none" w:sz="0" w:space="0" w:color="auto"/>
                        <w:left w:val="none" w:sz="0" w:space="0" w:color="auto"/>
                        <w:bottom w:val="none" w:sz="0" w:space="0" w:color="auto"/>
                        <w:right w:val="none" w:sz="0" w:space="0" w:color="auto"/>
                      </w:divBdr>
                      <w:divsChild>
                        <w:div w:id="105345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885458">
                              <w:marLeft w:val="0"/>
                              <w:marRight w:val="0"/>
                              <w:marTop w:val="0"/>
                              <w:marBottom w:val="0"/>
                              <w:divBdr>
                                <w:top w:val="none" w:sz="0" w:space="0" w:color="auto"/>
                                <w:left w:val="none" w:sz="0" w:space="0" w:color="auto"/>
                                <w:bottom w:val="none" w:sz="0" w:space="0" w:color="auto"/>
                                <w:right w:val="none" w:sz="0" w:space="0" w:color="auto"/>
                              </w:divBdr>
                              <w:divsChild>
                                <w:div w:id="1419714326">
                                  <w:marLeft w:val="0"/>
                                  <w:marRight w:val="0"/>
                                  <w:marTop w:val="0"/>
                                  <w:marBottom w:val="0"/>
                                  <w:divBdr>
                                    <w:top w:val="none" w:sz="0" w:space="0" w:color="auto"/>
                                    <w:left w:val="none" w:sz="0" w:space="0" w:color="auto"/>
                                    <w:bottom w:val="none" w:sz="0" w:space="0" w:color="auto"/>
                                    <w:right w:val="none" w:sz="0" w:space="0" w:color="auto"/>
                                  </w:divBdr>
                                  <w:divsChild>
                                    <w:div w:id="56980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278739">
                                          <w:marLeft w:val="0"/>
                                          <w:marRight w:val="0"/>
                                          <w:marTop w:val="0"/>
                                          <w:marBottom w:val="0"/>
                                          <w:divBdr>
                                            <w:top w:val="none" w:sz="0" w:space="0" w:color="auto"/>
                                            <w:left w:val="none" w:sz="0" w:space="0" w:color="auto"/>
                                            <w:bottom w:val="none" w:sz="0" w:space="0" w:color="auto"/>
                                            <w:right w:val="none" w:sz="0" w:space="0" w:color="auto"/>
                                          </w:divBdr>
                                          <w:divsChild>
                                            <w:div w:id="1706520875">
                                              <w:marLeft w:val="0"/>
                                              <w:marRight w:val="0"/>
                                              <w:marTop w:val="0"/>
                                              <w:marBottom w:val="0"/>
                                              <w:divBdr>
                                                <w:top w:val="none" w:sz="0" w:space="0" w:color="auto"/>
                                                <w:left w:val="none" w:sz="0" w:space="0" w:color="auto"/>
                                                <w:bottom w:val="none" w:sz="0" w:space="0" w:color="auto"/>
                                                <w:right w:val="none" w:sz="0" w:space="0" w:color="auto"/>
                                              </w:divBdr>
                                              <w:divsChild>
                                                <w:div w:id="1313631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498993">
                                                      <w:marLeft w:val="0"/>
                                                      <w:marRight w:val="0"/>
                                                      <w:marTop w:val="0"/>
                                                      <w:marBottom w:val="0"/>
                                                      <w:divBdr>
                                                        <w:top w:val="none" w:sz="0" w:space="0" w:color="auto"/>
                                                        <w:left w:val="none" w:sz="0" w:space="0" w:color="auto"/>
                                                        <w:bottom w:val="none" w:sz="0" w:space="0" w:color="auto"/>
                                                        <w:right w:val="none" w:sz="0" w:space="0" w:color="auto"/>
                                                      </w:divBdr>
                                                      <w:divsChild>
                                                        <w:div w:id="917061915">
                                                          <w:marLeft w:val="0"/>
                                                          <w:marRight w:val="0"/>
                                                          <w:marTop w:val="0"/>
                                                          <w:marBottom w:val="0"/>
                                                          <w:divBdr>
                                                            <w:top w:val="none" w:sz="0" w:space="0" w:color="auto"/>
                                                            <w:left w:val="none" w:sz="0" w:space="0" w:color="auto"/>
                                                            <w:bottom w:val="none" w:sz="0" w:space="0" w:color="auto"/>
                                                            <w:right w:val="none" w:sz="0" w:space="0" w:color="auto"/>
                                                          </w:divBdr>
                                                          <w:divsChild>
                                                            <w:div w:id="1849712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511098">
                                                                  <w:marLeft w:val="0"/>
                                                                  <w:marRight w:val="0"/>
                                                                  <w:marTop w:val="0"/>
                                                                  <w:marBottom w:val="0"/>
                                                                  <w:divBdr>
                                                                    <w:top w:val="none" w:sz="0" w:space="0" w:color="auto"/>
                                                                    <w:left w:val="none" w:sz="0" w:space="0" w:color="auto"/>
                                                                    <w:bottom w:val="none" w:sz="0" w:space="0" w:color="auto"/>
                                                                    <w:right w:val="none" w:sz="0" w:space="0" w:color="auto"/>
                                                                  </w:divBdr>
                                                                  <w:divsChild>
                                                                    <w:div w:id="9475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6862076">
      <w:bodyDiv w:val="1"/>
      <w:marLeft w:val="0"/>
      <w:marRight w:val="0"/>
      <w:marTop w:val="0"/>
      <w:marBottom w:val="0"/>
      <w:divBdr>
        <w:top w:val="none" w:sz="0" w:space="0" w:color="auto"/>
        <w:left w:val="none" w:sz="0" w:space="0" w:color="auto"/>
        <w:bottom w:val="none" w:sz="0" w:space="0" w:color="auto"/>
        <w:right w:val="none" w:sz="0" w:space="0" w:color="auto"/>
      </w:divBdr>
    </w:div>
    <w:div w:id="952395444">
      <w:bodyDiv w:val="1"/>
      <w:marLeft w:val="0"/>
      <w:marRight w:val="0"/>
      <w:marTop w:val="0"/>
      <w:marBottom w:val="0"/>
      <w:divBdr>
        <w:top w:val="none" w:sz="0" w:space="0" w:color="auto"/>
        <w:left w:val="none" w:sz="0" w:space="0" w:color="auto"/>
        <w:bottom w:val="none" w:sz="0" w:space="0" w:color="auto"/>
        <w:right w:val="none" w:sz="0" w:space="0" w:color="auto"/>
      </w:divBdr>
    </w:div>
    <w:div w:id="1024215242">
      <w:bodyDiv w:val="1"/>
      <w:marLeft w:val="0"/>
      <w:marRight w:val="0"/>
      <w:marTop w:val="0"/>
      <w:marBottom w:val="0"/>
      <w:divBdr>
        <w:top w:val="none" w:sz="0" w:space="0" w:color="auto"/>
        <w:left w:val="none" w:sz="0" w:space="0" w:color="auto"/>
        <w:bottom w:val="none" w:sz="0" w:space="0" w:color="auto"/>
        <w:right w:val="none" w:sz="0" w:space="0" w:color="auto"/>
      </w:divBdr>
    </w:div>
    <w:div w:id="1286741045">
      <w:bodyDiv w:val="1"/>
      <w:marLeft w:val="0"/>
      <w:marRight w:val="0"/>
      <w:marTop w:val="0"/>
      <w:marBottom w:val="0"/>
      <w:divBdr>
        <w:top w:val="none" w:sz="0" w:space="0" w:color="auto"/>
        <w:left w:val="none" w:sz="0" w:space="0" w:color="auto"/>
        <w:bottom w:val="none" w:sz="0" w:space="0" w:color="auto"/>
        <w:right w:val="none" w:sz="0" w:space="0" w:color="auto"/>
      </w:divBdr>
    </w:div>
    <w:div w:id="1456101522">
      <w:bodyDiv w:val="1"/>
      <w:marLeft w:val="0"/>
      <w:marRight w:val="0"/>
      <w:marTop w:val="0"/>
      <w:marBottom w:val="0"/>
      <w:divBdr>
        <w:top w:val="none" w:sz="0" w:space="0" w:color="auto"/>
        <w:left w:val="none" w:sz="0" w:space="0" w:color="auto"/>
        <w:bottom w:val="none" w:sz="0" w:space="0" w:color="auto"/>
        <w:right w:val="none" w:sz="0" w:space="0" w:color="auto"/>
      </w:divBdr>
    </w:div>
    <w:div w:id="1461528814">
      <w:bodyDiv w:val="1"/>
      <w:marLeft w:val="0"/>
      <w:marRight w:val="0"/>
      <w:marTop w:val="0"/>
      <w:marBottom w:val="0"/>
      <w:divBdr>
        <w:top w:val="none" w:sz="0" w:space="0" w:color="auto"/>
        <w:left w:val="none" w:sz="0" w:space="0" w:color="auto"/>
        <w:bottom w:val="none" w:sz="0" w:space="0" w:color="auto"/>
        <w:right w:val="none" w:sz="0" w:space="0" w:color="auto"/>
      </w:divBdr>
    </w:div>
    <w:div w:id="1500734004">
      <w:bodyDiv w:val="1"/>
      <w:marLeft w:val="0"/>
      <w:marRight w:val="0"/>
      <w:marTop w:val="0"/>
      <w:marBottom w:val="0"/>
      <w:divBdr>
        <w:top w:val="none" w:sz="0" w:space="0" w:color="auto"/>
        <w:left w:val="none" w:sz="0" w:space="0" w:color="auto"/>
        <w:bottom w:val="none" w:sz="0" w:space="0" w:color="auto"/>
        <w:right w:val="none" w:sz="0" w:space="0" w:color="auto"/>
      </w:divBdr>
    </w:div>
    <w:div w:id="1772965609">
      <w:bodyDiv w:val="1"/>
      <w:marLeft w:val="0"/>
      <w:marRight w:val="0"/>
      <w:marTop w:val="0"/>
      <w:marBottom w:val="0"/>
      <w:divBdr>
        <w:top w:val="none" w:sz="0" w:space="0" w:color="auto"/>
        <w:left w:val="none" w:sz="0" w:space="0" w:color="auto"/>
        <w:bottom w:val="none" w:sz="0" w:space="0" w:color="auto"/>
        <w:right w:val="none" w:sz="0" w:space="0" w:color="auto"/>
      </w:divBdr>
    </w:div>
    <w:div w:id="1778795366">
      <w:bodyDiv w:val="1"/>
      <w:marLeft w:val="0"/>
      <w:marRight w:val="0"/>
      <w:marTop w:val="0"/>
      <w:marBottom w:val="0"/>
      <w:divBdr>
        <w:top w:val="none" w:sz="0" w:space="0" w:color="auto"/>
        <w:left w:val="none" w:sz="0" w:space="0" w:color="auto"/>
        <w:bottom w:val="none" w:sz="0" w:space="0" w:color="auto"/>
        <w:right w:val="none" w:sz="0" w:space="0" w:color="auto"/>
      </w:divBdr>
      <w:divsChild>
        <w:div w:id="164465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912859">
              <w:marLeft w:val="0"/>
              <w:marRight w:val="0"/>
              <w:marTop w:val="0"/>
              <w:marBottom w:val="0"/>
              <w:divBdr>
                <w:top w:val="none" w:sz="0" w:space="0" w:color="auto"/>
                <w:left w:val="none" w:sz="0" w:space="0" w:color="auto"/>
                <w:bottom w:val="none" w:sz="0" w:space="0" w:color="auto"/>
                <w:right w:val="none" w:sz="0" w:space="0" w:color="auto"/>
              </w:divBdr>
              <w:divsChild>
                <w:div w:id="1699818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199373">
                      <w:marLeft w:val="0"/>
                      <w:marRight w:val="0"/>
                      <w:marTop w:val="0"/>
                      <w:marBottom w:val="0"/>
                      <w:divBdr>
                        <w:top w:val="none" w:sz="0" w:space="0" w:color="auto"/>
                        <w:left w:val="none" w:sz="0" w:space="0" w:color="auto"/>
                        <w:bottom w:val="none" w:sz="0" w:space="0" w:color="auto"/>
                        <w:right w:val="none" w:sz="0" w:space="0" w:color="auto"/>
                      </w:divBdr>
                      <w:divsChild>
                        <w:div w:id="1213687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495958">
                              <w:marLeft w:val="0"/>
                              <w:marRight w:val="0"/>
                              <w:marTop w:val="0"/>
                              <w:marBottom w:val="0"/>
                              <w:divBdr>
                                <w:top w:val="none" w:sz="0" w:space="0" w:color="auto"/>
                                <w:left w:val="none" w:sz="0" w:space="0" w:color="auto"/>
                                <w:bottom w:val="none" w:sz="0" w:space="0" w:color="auto"/>
                                <w:right w:val="none" w:sz="0" w:space="0" w:color="auto"/>
                              </w:divBdr>
                              <w:divsChild>
                                <w:div w:id="959917612">
                                  <w:marLeft w:val="0"/>
                                  <w:marRight w:val="0"/>
                                  <w:marTop w:val="0"/>
                                  <w:marBottom w:val="0"/>
                                  <w:divBdr>
                                    <w:top w:val="none" w:sz="0" w:space="0" w:color="auto"/>
                                    <w:left w:val="none" w:sz="0" w:space="0" w:color="auto"/>
                                    <w:bottom w:val="none" w:sz="0" w:space="0" w:color="auto"/>
                                    <w:right w:val="none" w:sz="0" w:space="0" w:color="auto"/>
                                  </w:divBdr>
                                  <w:divsChild>
                                    <w:div w:id="45004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658381">
                                          <w:marLeft w:val="0"/>
                                          <w:marRight w:val="0"/>
                                          <w:marTop w:val="0"/>
                                          <w:marBottom w:val="0"/>
                                          <w:divBdr>
                                            <w:top w:val="none" w:sz="0" w:space="0" w:color="auto"/>
                                            <w:left w:val="none" w:sz="0" w:space="0" w:color="auto"/>
                                            <w:bottom w:val="none" w:sz="0" w:space="0" w:color="auto"/>
                                            <w:right w:val="none" w:sz="0" w:space="0" w:color="auto"/>
                                          </w:divBdr>
                                          <w:divsChild>
                                            <w:div w:id="14155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9973658">
      <w:bodyDiv w:val="1"/>
      <w:marLeft w:val="0"/>
      <w:marRight w:val="0"/>
      <w:marTop w:val="0"/>
      <w:marBottom w:val="0"/>
      <w:divBdr>
        <w:top w:val="none" w:sz="0" w:space="0" w:color="auto"/>
        <w:left w:val="none" w:sz="0" w:space="0" w:color="auto"/>
        <w:bottom w:val="none" w:sz="0" w:space="0" w:color="auto"/>
        <w:right w:val="none" w:sz="0" w:space="0" w:color="auto"/>
      </w:divBdr>
    </w:div>
    <w:div w:id="204062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publications/communication-preparing-withdrawal-united-kingdom-european-union-30-march-2019-contingency-action-plan-13-11-2018_pt" TargetMode="External"/><Relationship Id="rId7" Type="http://schemas.openxmlformats.org/officeDocument/2006/relationships/hyperlink" Target="https://ec.europa.eu/info/brexit/brexit-preparedness/preparedness-notices_en" TargetMode="External"/><Relationship Id="rId2" Type="http://schemas.openxmlformats.org/officeDocument/2006/relationships/hyperlink" Target="https://ec.europa.eu/info/publications/preparing-withdrawal-united-kingdom-european-union-30-march-2019_pt" TargetMode="External"/><Relationship Id="rId1" Type="http://schemas.openxmlformats.org/officeDocument/2006/relationships/hyperlink" Target="https://www.consilium.europa.eu/media/37508/13-euco-art-50-conclusions-en.pdf" TargetMode="External"/><Relationship Id="rId6" Type="http://schemas.openxmlformats.org/officeDocument/2006/relationships/hyperlink" Target="https://www.consilium.europa.eu/media/37103/25-special-euco-final-conclusions-en.pdf" TargetMode="External"/><Relationship Id="rId5" Type="http://schemas.openxmlformats.org/officeDocument/2006/relationships/hyperlink" Target="https://ec.europa.eu/commission/sites/beta-political/files/draft_withdrawal_agreement_0.pdf" TargetMode="External"/><Relationship Id="rId4" Type="http://schemas.openxmlformats.org/officeDocument/2006/relationships/hyperlink" Target="https://ec.europa.eu/commission/sites/beta-political/files/joint_report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F4756-F373-4525-B8C5-B7802769AC1A}">
  <ds:schemaRefs>
    <ds:schemaRef ds:uri="office.server.policy"/>
  </ds:schemaRefs>
</ds:datastoreItem>
</file>

<file path=customXml/itemProps2.xml><?xml version="1.0" encoding="utf-8"?>
<ds:datastoreItem xmlns:ds="http://schemas.openxmlformats.org/officeDocument/2006/customXml" ds:itemID="{43C32B4E-5ABC-4CC4-9047-E1986C371722}">
  <ds:schemaRefs>
    <ds:schemaRef ds:uri="http://schemas.microsoft.com/sharepoint/v3/contenttype/forms"/>
  </ds:schemaRefs>
</ds:datastoreItem>
</file>

<file path=customXml/itemProps3.xml><?xml version="1.0" encoding="utf-8"?>
<ds:datastoreItem xmlns:ds="http://schemas.openxmlformats.org/officeDocument/2006/customXml" ds:itemID="{858F9C86-11F2-4776-80E9-AEDB4511FF2A}">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5173920-bf43-43cc-9123-1897e847dfc2"/>
    <ds:schemaRef ds:uri="http://purl.org/dc/elements/1.1/"/>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59EABB90-9A49-4981-9081-644CE982C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395A6D-CF59-4820-B45F-3498A0EA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4337</Words>
  <Characters>22254</Characters>
  <Application>Microsoft Office Word</Application>
  <DocSecurity>0</DocSecurity>
  <Lines>342</Lines>
  <Paragraphs>92</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Manager/>
  <Company/>
  <LinksUpToDate>false</LinksUpToDate>
  <CharactersWithSpaces>26499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HEILEMANN Stefanie (SG)</cp:lastModifiedBy>
  <cp:revision>20</cp:revision>
  <cp:lastPrinted>2018-12-17T18:24:00Z</cp:lastPrinted>
  <dcterms:created xsi:type="dcterms:W3CDTF">2018-12-20T18:51:00Z</dcterms:created>
  <dcterms:modified xsi:type="dcterms:W3CDTF">2018-12-21T11:26:00Z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ContentTypeId">
    <vt:lpwstr>0x010100258AA79CEB83498886A3A0868112325000D33D44CF0C8FEB45875F235DEEF2E1B9</vt:lpwstr>
  </property>
  <property fmtid="{D5CDD505-2E9C-101B-9397-08002B2CF9AE}" pid="6" name="Last edited using">
    <vt:lpwstr>LW 6.0.1, Build 20180503</vt:lpwstr>
  </property>
  <property fmtid="{D5CDD505-2E9C-101B-9397-08002B2CF9AE}" pid="7" name="Created using">
    <vt:lpwstr>LW 6.0.1, Build 20180503</vt:lpwstr>
  </property>
  <property fmtid="{D5CDD505-2E9C-101B-9397-08002B2CF9AE}" pid="8" name="DocStatus">
    <vt:lpwstr>Green</vt:lpwstr>
  </property>
</Properties>
</file>