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32DCB98-76EE-464D-BF5A-0F2AB21934A9" style="width:450.7pt;height:348.95pt">
            <v:imagedata r:id="rId13" o:title=""/>
          </v:shape>
        </w:pict>
      </w:r>
    </w:p>
    <w:bookmarkEnd w:id="0"/>
    <w:p>
      <w:pPr>
        <w:jc w:val="both"/>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jc w:val="right"/>
        <w:rPr>
          <w:rFonts w:ascii="Times New Roman" w:eastAsia="Times New Roman" w:hAnsi="Times New Roman"/>
          <w:i/>
          <w:noProof/>
          <w:sz w:val="24"/>
          <w:szCs w:val="24"/>
        </w:rPr>
      </w:pPr>
      <w:bookmarkStart w:id="1" w:name="_GoBack"/>
      <w:bookmarkEnd w:id="1"/>
    </w:p>
    <w:p>
      <w:pPr>
        <w:jc w:val="right"/>
        <w:rPr>
          <w:rFonts w:ascii="Times New Roman" w:eastAsia="Times New Roman" w:hAnsi="Times New Roman"/>
          <w:i/>
          <w:noProof/>
          <w:sz w:val="24"/>
          <w:szCs w:val="24"/>
          <w:highlight w:val="yellow"/>
        </w:rPr>
      </w:pPr>
      <w:r>
        <w:rPr>
          <w:rFonts w:ascii="Times New Roman" w:hAnsi="Times New Roman"/>
          <w:i/>
          <w:noProof/>
          <w:sz w:val="24"/>
        </w:rPr>
        <w:t>Evropski svet poziva k intenzivnejšim prizadevanjem na vseh ravneh in ob upoštevanju vseh možnih izidov, da bomo pripravljeni na posledice izstopa Združenega kraljestva.</w:t>
      </w:r>
    </w:p>
    <w:p>
      <w:pPr>
        <w:jc w:val="right"/>
        <w:rPr>
          <w:rFonts w:ascii="Times New Roman" w:eastAsia="Times New Roman" w:hAnsi="Times New Roman"/>
          <w:noProof/>
          <w:sz w:val="16"/>
          <w:szCs w:val="16"/>
        </w:rPr>
      </w:pPr>
      <w:r>
        <w:rPr>
          <w:rFonts w:ascii="Times New Roman" w:hAnsi="Times New Roman"/>
          <w:noProof/>
          <w:sz w:val="16"/>
        </w:rPr>
        <w:t>Evropski svet (člen 50), 13. december 2018</w:t>
      </w:r>
      <w:r>
        <w:rPr>
          <w:rStyle w:val="FootnoteReference"/>
          <w:rFonts w:ascii="Times New Roman" w:hAnsi="Times New Roman"/>
          <w:noProof/>
          <w:sz w:val="18"/>
        </w:rPr>
        <w:footnoteReference w:id="2"/>
      </w:r>
    </w:p>
    <w:p>
      <w:pPr>
        <w:pStyle w:val="ListParagraph"/>
        <w:numPr>
          <w:ilvl w:val="0"/>
          <w:numId w:val="41"/>
        </w:numPr>
        <w:spacing w:before="600" w:after="200"/>
        <w:ind w:left="714" w:hanging="357"/>
        <w:contextualSpacing/>
        <w:jc w:val="both"/>
        <w:rPr>
          <w:rFonts w:ascii="Times New Roman" w:eastAsia="Times New Roman" w:hAnsi="Times New Roman"/>
          <w:b/>
          <w:noProof/>
          <w:sz w:val="24"/>
          <w:szCs w:val="24"/>
        </w:rPr>
      </w:pPr>
      <w:r>
        <w:rPr>
          <w:rFonts w:ascii="Times New Roman" w:hAnsi="Times New Roman"/>
          <w:b/>
          <w:noProof/>
          <w:sz w:val="24"/>
        </w:rPr>
        <w:t>Uvod</w:t>
      </w:r>
    </w:p>
    <w:p>
      <w:pPr>
        <w:spacing w:after="200"/>
        <w:jc w:val="both"/>
        <w:rPr>
          <w:rFonts w:ascii="Times New Roman" w:eastAsia="Times New Roman" w:hAnsi="Times New Roman"/>
          <w:noProof/>
          <w:sz w:val="24"/>
          <w:szCs w:val="24"/>
        </w:rPr>
      </w:pPr>
      <w:r>
        <w:rPr>
          <w:rFonts w:ascii="Times New Roman" w:hAnsi="Times New Roman"/>
          <w:noProof/>
          <w:sz w:val="24"/>
        </w:rPr>
        <w:t>Združeno kraljestvo se je odločilo izstopiti iz Evropske unije, pri čemer se je sklicevalo na postopek iz člena 50 Pogodbe o Evropski uniji. Razen če se odločitev prekliče</w:t>
      </w:r>
      <w:r>
        <w:rPr>
          <w:rStyle w:val="FootnoteReference"/>
          <w:rFonts w:ascii="Times New Roman" w:hAnsi="Times New Roman"/>
          <w:noProof/>
        </w:rPr>
        <w:footnoteReference w:id="3"/>
      </w:r>
      <w:r>
        <w:rPr>
          <w:rFonts w:ascii="Times New Roman" w:hAnsi="Times New Roman"/>
          <w:noProof/>
          <w:sz w:val="24"/>
        </w:rPr>
        <w:t xml:space="preserve"> ali če se obdobje soglasno podaljša, bo to začelo veljati že čez dobrih 100 dni. Komisija to odločitev obžaluje, vendar jo spoštuje. Kot je poudarjeno v prvem sporočilu Komisije o pripravljenosti na brexit z dne 19. julija 2018</w:t>
      </w:r>
      <w:r>
        <w:rPr>
          <w:rStyle w:val="FootnoteReference"/>
          <w:rFonts w:ascii="Times New Roman" w:hAnsi="Times New Roman"/>
          <w:noProof/>
        </w:rPr>
        <w:footnoteReference w:id="4"/>
      </w:r>
      <w:r>
        <w:rPr>
          <w:rFonts w:ascii="Times New Roman" w:hAnsi="Times New Roman"/>
          <w:noProof/>
          <w:sz w:val="24"/>
        </w:rPr>
        <w:t>, bo odločitev Združenega kraljestva ne glede na predvideni scenarij povzročila znatne motnje.</w:t>
      </w:r>
      <w:r>
        <w:rPr>
          <w:noProof/>
        </w:rPr>
        <w:t xml:space="preserve"> </w:t>
      </w:r>
      <w:r>
        <w:rPr>
          <w:rFonts w:ascii="Times New Roman" w:hAnsi="Times New Roman"/>
          <w:noProof/>
          <w:sz w:val="24"/>
        </w:rPr>
        <w:t xml:space="preserve">Zato Komisija stalno poziva evropske državljane, podjetja in države članice, naj se pripravijo na vse možne scenarije, ocenijo zadevna tveganja in načrtujejo svoj odziv, da se ta tveganja ublažijo. </w:t>
      </w:r>
    </w:p>
    <w:p>
      <w:pPr>
        <w:spacing w:after="200"/>
        <w:jc w:val="both"/>
        <w:rPr>
          <w:rFonts w:ascii="Times New Roman" w:eastAsia="Times New Roman" w:hAnsi="Times New Roman"/>
          <w:noProof/>
          <w:sz w:val="24"/>
          <w:szCs w:val="24"/>
        </w:rPr>
      </w:pPr>
      <w:r>
        <w:rPr>
          <w:rFonts w:ascii="Times New Roman" w:hAnsi="Times New Roman"/>
          <w:noProof/>
          <w:sz w:val="24"/>
        </w:rPr>
        <w:t>Komisija je 13. novembra 2018 v svojem drugem sporočilu o pripravljenosti na brexit sprejela načrt ukrepov za nepredvidljive razmere</w:t>
      </w:r>
      <w:r>
        <w:rPr>
          <w:rStyle w:val="FootnoteReference"/>
          <w:rFonts w:ascii="Times New Roman" w:hAnsi="Times New Roman"/>
          <w:noProof/>
        </w:rPr>
        <w:footnoteReference w:id="5"/>
      </w:r>
      <w:r>
        <w:rPr>
          <w:rFonts w:ascii="Times New Roman" w:hAnsi="Times New Roman"/>
          <w:noProof/>
          <w:sz w:val="24"/>
        </w:rPr>
        <w:t>. Ukrepi za nepredvidljive razmere, napovedani v akcijskem načrtu, so enostranski ukrepi za omejitev škode in lahko ublažijo le najhujše posledice izstopa brez dogovora. Pogajalci Komisije in Združenega kraljestva so se 14. novembra 2018 dogovorili o pogojih Sporazuma o izstopu</w:t>
      </w:r>
      <w:r>
        <w:rPr>
          <w:rStyle w:val="FootnoteReference"/>
          <w:rFonts w:ascii="Times New Roman" w:hAnsi="Times New Roman"/>
          <w:noProof/>
        </w:rPr>
        <w:footnoteReference w:id="6"/>
      </w:r>
      <w:r>
        <w:rPr>
          <w:rFonts w:ascii="Times New Roman" w:hAnsi="Times New Roman"/>
          <w:noProof/>
          <w:sz w:val="24"/>
        </w:rPr>
        <w:t>.</w:t>
      </w:r>
      <w:r>
        <w:rPr>
          <w:rFonts w:ascii="Verdana" w:hAnsi="Verdana"/>
          <w:noProof/>
          <w:color w:val="000000"/>
          <w:sz w:val="20"/>
        </w:rPr>
        <w:t xml:space="preserve"> </w:t>
      </w:r>
      <w:r>
        <w:rPr>
          <w:rFonts w:ascii="Times New Roman" w:hAnsi="Times New Roman"/>
          <w:noProof/>
          <w:sz w:val="24"/>
        </w:rPr>
        <w:t>Komisija je 22. novembra 2018 odobrila dokončan Sporazum o izstopu</w:t>
      </w:r>
      <w:r>
        <w:rPr>
          <w:rStyle w:val="FootnoteReference"/>
          <w:rFonts w:ascii="Times New Roman" w:hAnsi="Times New Roman"/>
          <w:noProof/>
        </w:rPr>
        <w:footnoteReference w:id="7"/>
      </w:r>
      <w:r>
        <w:rPr>
          <w:rFonts w:ascii="Times New Roman" w:hAnsi="Times New Roman"/>
          <w:noProof/>
          <w:sz w:val="24"/>
        </w:rPr>
        <w:t>. Evropski svet (člen 50 ) je 25. novembra 2018 potrdil Sporazum o izstopu ter Komisijo, Evropski parlament in Svet pozval, naj z ustreznimi ukrepi zagotovijo, da bo lahko Sporazum začel veljati 30. marca 2019, da se zagotovi urejen izstop</w:t>
      </w:r>
      <w:r>
        <w:rPr>
          <w:rStyle w:val="FootnoteReference"/>
          <w:rFonts w:ascii="Times New Roman" w:hAnsi="Times New Roman"/>
          <w:noProof/>
        </w:rPr>
        <w:footnoteReference w:id="8"/>
      </w:r>
      <w:r>
        <w:rPr>
          <w:rFonts w:ascii="Times New Roman" w:hAnsi="Times New Roman"/>
          <w:noProof/>
          <w:sz w:val="24"/>
        </w:rPr>
        <w:t>.</w:t>
      </w:r>
    </w:p>
    <w:p>
      <w:pPr>
        <w:spacing w:after="200"/>
        <w:jc w:val="both"/>
        <w:rPr>
          <w:rFonts w:ascii="Times New Roman" w:eastAsia="Times New Roman" w:hAnsi="Times New Roman"/>
          <w:noProof/>
          <w:sz w:val="24"/>
          <w:szCs w:val="24"/>
        </w:rPr>
      </w:pPr>
      <w:r>
        <w:rPr>
          <w:rFonts w:ascii="Times New Roman" w:hAnsi="Times New Roman"/>
          <w:noProof/>
          <w:sz w:val="24"/>
        </w:rPr>
        <w:t xml:space="preserve">Komisija je 5. decembra 2018 sprejela predloga sklepov Sveta o podpisu in sklenitvi Sporazuma o izstopu, da bi omogočila sklenitev in ratifikacijo na strani EU v prihodnjih tednih. Evropski svet (člen 50) je 13. decembra 2018 potrdil, da je potrdil Sporazum o izstopu in svoj namen, da se nadaljuje z njegovo ratifikacijo. Združeno kraljestvo bo moralo Sporazum o izstopu ratificirati v skladu s svojimi ustavnimi pravili. Ratifikacija Sporazuma o izstopu s strani obeh pogodbenic je še naprej cilj in prednostna naloga Komisije. </w:t>
      </w:r>
    </w:p>
    <w:p>
      <w:pPr>
        <w:jc w:val="both"/>
        <w:rPr>
          <w:rFonts w:ascii="Verdana" w:eastAsia="Times New Roman" w:hAnsi="Verdana"/>
          <w:noProof/>
          <w:color w:val="000000"/>
          <w:shd w:val="clear" w:color="auto" w:fill="FFFFFF"/>
        </w:rPr>
      </w:pPr>
      <w:r>
        <w:rPr>
          <w:rFonts w:ascii="Times New Roman" w:hAnsi="Times New Roman"/>
          <w:noProof/>
          <w:sz w:val="24"/>
        </w:rPr>
        <w:t>Evropski svet (člen 50) je 13. decembra 2018 pozval tudi k intenzivnejšim prizadevanjem na vseh ravneh in ob upoštevanju vseh možnih izidov, da bomo pripravljeni na posledice izstopa Združenega kraljestva. V tem sporočilu so pojasnjeni ukrepi, ki jih je 19. decembra 2018 sprejela Komisija v odgovor na ta poziv, skupaj z drugimi pomembnimi ukrepi pri izvajanju načrta ukrepov za nepredvidljive razmere.</w:t>
      </w:r>
    </w:p>
    <w:p>
      <w:pPr>
        <w:pStyle w:val="ListParagraph"/>
        <w:keepNext/>
        <w:numPr>
          <w:ilvl w:val="0"/>
          <w:numId w:val="41"/>
        </w:numPr>
        <w:spacing w:before="480" w:after="240"/>
        <w:ind w:left="714" w:hanging="357"/>
        <w:jc w:val="both"/>
        <w:rPr>
          <w:rFonts w:ascii="Times New Roman" w:eastAsia="Times New Roman" w:hAnsi="Times New Roman"/>
          <w:b/>
          <w:noProof/>
          <w:sz w:val="24"/>
          <w:szCs w:val="24"/>
        </w:rPr>
      </w:pPr>
      <w:r>
        <w:rPr>
          <w:rFonts w:ascii="Times New Roman" w:hAnsi="Times New Roman"/>
          <w:b/>
          <w:noProof/>
          <w:sz w:val="24"/>
        </w:rPr>
        <w:t>Načrt ukrepov Komisije za nepredvidljive razmere</w:t>
      </w:r>
    </w:p>
    <w:p>
      <w:pPr>
        <w:spacing w:after="200"/>
        <w:jc w:val="both"/>
        <w:rPr>
          <w:rFonts w:ascii="Times New Roman" w:eastAsia="Times New Roman" w:hAnsi="Times New Roman"/>
          <w:noProof/>
          <w:sz w:val="24"/>
          <w:szCs w:val="24"/>
        </w:rPr>
      </w:pPr>
      <w:r>
        <w:rPr>
          <w:rFonts w:ascii="Times New Roman" w:hAnsi="Times New Roman"/>
          <w:noProof/>
          <w:sz w:val="24"/>
        </w:rPr>
        <w:t>Komisija glede na stalno negotovost v zvezi s postopkom ratifikacije s strani Združenega kraljestva in v skladu s sklepi Evropskega sveta (člen 50) z dne 13. decembra prednostno nadaljuje izvajanje svojega načrta ukrepov za nepredvidljive razmere. Danes je sprejela vse zakonodajne predloge in delegirane akte, ki jih je napovedala v navedenem akcijskem načrtu</w:t>
      </w:r>
      <w:r>
        <w:rPr>
          <w:rStyle w:val="FootnoteReference"/>
          <w:rFonts w:ascii="Times New Roman" w:hAnsi="Times New Roman"/>
          <w:noProof/>
        </w:rPr>
        <w:footnoteReference w:id="9"/>
      </w:r>
      <w:r>
        <w:rPr>
          <w:rFonts w:ascii="Times New Roman" w:hAnsi="Times New Roman"/>
          <w:noProof/>
          <w:sz w:val="24"/>
        </w:rPr>
        <w:t>. Preostali osnutki izvedbenih aktov, ki jih je napovedala, bodo pripravljeni najpozneje do 15. februarja 2019, da bo mogoče pravočasno glasovanje v pristojnih odborih.</w:t>
      </w:r>
    </w:p>
    <w:p>
      <w:pPr>
        <w:spacing w:before="360" w:after="200"/>
        <w:contextualSpacing/>
        <w:jc w:val="both"/>
        <w:rPr>
          <w:rFonts w:ascii="Times New Roman" w:eastAsia="Times New Roman" w:hAnsi="Times New Roman"/>
          <w:noProof/>
          <w:sz w:val="24"/>
          <w:szCs w:val="24"/>
        </w:rPr>
      </w:pPr>
      <w:r>
        <w:rPr>
          <w:rFonts w:ascii="Times New Roman" w:hAnsi="Times New Roman"/>
          <w:noProof/>
          <w:sz w:val="24"/>
        </w:rPr>
        <w:t>Komisija je vzporedno s tem še naprej tesno sodelovala z državami članicami pri usklajevanju načrtovanja na ravni EU in nacionalni ravni. Sveženj ukrepov, ki ga je sprejela Komisija in je opisan v tem sporočilu, upošteva razprave z državami članicami</w:t>
      </w:r>
      <w:r>
        <w:rPr>
          <w:rStyle w:val="FootnoteReference"/>
          <w:rFonts w:ascii="Times New Roman" w:hAnsi="Times New Roman"/>
          <w:noProof/>
        </w:rPr>
        <w:footnoteReference w:id="10"/>
      </w:r>
      <w:r>
        <w:rPr>
          <w:rFonts w:ascii="Times New Roman" w:hAnsi="Times New Roman"/>
          <w:noProof/>
          <w:sz w:val="24"/>
        </w:rPr>
        <w:t>. To ukrepanje dopolnjuje že sprejete ukrepe za pripravljenost, kot so navedeni v drugem sporočilu o pripravljenosti.</w:t>
      </w:r>
    </w:p>
    <w:p>
      <w:pPr>
        <w:spacing w:before="360" w:after="200"/>
        <w:contextualSpacing/>
        <w:jc w:val="both"/>
        <w:rPr>
          <w:rFonts w:ascii="Times New Roman" w:eastAsia="Times New Roman" w:hAnsi="Times New Roman"/>
          <w:noProof/>
          <w:sz w:val="24"/>
          <w:szCs w:val="24"/>
        </w:rPr>
      </w:pPr>
    </w:p>
    <w:p>
      <w:pPr>
        <w:spacing w:before="360" w:after="200"/>
        <w:contextualSpacing/>
        <w:jc w:val="both"/>
        <w:rPr>
          <w:rFonts w:ascii="Times New Roman" w:eastAsia="Times New Roman" w:hAnsi="Times New Roman"/>
          <w:noProof/>
          <w:sz w:val="24"/>
          <w:szCs w:val="24"/>
        </w:rPr>
      </w:pPr>
      <w:r>
        <w:rPr>
          <w:rFonts w:ascii="Times New Roman" w:hAnsi="Times New Roman"/>
          <w:noProof/>
          <w:sz w:val="24"/>
        </w:rPr>
        <w:t xml:space="preserve">Komisija Evropski parlament in Svet poziva k čim hitrejšemu sprejetju teh predlogov. Države članice bi morale pospešiti svoja prizadevanja za pripravljenost na vse scenarije ob izstopu Združenega kraljestva. </w:t>
      </w:r>
    </w:p>
    <w:p>
      <w:pPr>
        <w:spacing w:before="360" w:after="200"/>
        <w:contextualSpacing/>
        <w:jc w:val="both"/>
        <w:rPr>
          <w:rFonts w:ascii="Times New Roman" w:eastAsia="Times New Roman" w:hAnsi="Times New Roman"/>
          <w:noProof/>
          <w:sz w:val="24"/>
          <w:szCs w:val="24"/>
        </w:rPr>
      </w:pPr>
    </w:p>
    <w:p>
      <w:pPr>
        <w:spacing w:before="360" w:after="200"/>
        <w:contextualSpacing/>
        <w:jc w:val="both"/>
        <w:rPr>
          <w:rFonts w:ascii="Times New Roman" w:eastAsia="Times New Roman" w:hAnsi="Times New Roman"/>
          <w:noProof/>
          <w:sz w:val="24"/>
          <w:szCs w:val="24"/>
        </w:rPr>
      </w:pPr>
      <w:r>
        <w:rPr>
          <w:rFonts w:ascii="Times New Roman" w:hAnsi="Times New Roman"/>
          <w:noProof/>
          <w:sz w:val="24"/>
        </w:rPr>
        <w:t xml:space="preserve">Komisija tudi poziva države članice, naj se vzdržijo sklepanja dvostranskih sporazumov, dogovorov in razprav z Združenim kraljestvom. Ti bi ogrozili postopek ratifikacije, v večini primerov ne bi bili združljivi s pravom Unije in bi lahko povzročili neenake konkurenčne pogoje med državami članicami. Prav tako bi zapletli prihodnja pogajanja Unije o novem partnerstvu z Združenim kraljestvom. Tako kot pri Sporazumu o izstopu je bistvenega pomena, da se z enotnim pristopom nadaljuje tudi delo v zvezi s pripravljenostjo in nepredvidljivimi razmerami. </w:t>
      </w:r>
    </w:p>
    <w:p>
      <w:pPr>
        <w:pStyle w:val="NormalWeb"/>
        <w:keepNext/>
        <w:numPr>
          <w:ilvl w:val="0"/>
          <w:numId w:val="41"/>
        </w:numPr>
        <w:spacing w:before="480" w:after="240"/>
        <w:ind w:left="714" w:hanging="357"/>
        <w:jc w:val="both"/>
        <w:rPr>
          <w:b/>
          <w:noProof/>
        </w:rPr>
      </w:pPr>
      <w:r>
        <w:rPr>
          <w:b/>
          <w:noProof/>
        </w:rPr>
        <w:t>Ukrepanje</w:t>
      </w:r>
    </w:p>
    <w:p>
      <w:pPr>
        <w:spacing w:after="200"/>
        <w:contextualSpacing/>
        <w:jc w:val="both"/>
        <w:rPr>
          <w:rFonts w:ascii="Times New Roman" w:eastAsia="Times New Roman" w:hAnsi="Times New Roman"/>
          <w:noProof/>
          <w:sz w:val="24"/>
          <w:szCs w:val="24"/>
        </w:rPr>
      </w:pPr>
      <w:r>
        <w:rPr>
          <w:rFonts w:ascii="Times New Roman" w:hAnsi="Times New Roman"/>
          <w:noProof/>
          <w:sz w:val="24"/>
        </w:rPr>
        <w:t>Kot je določeno v drugem sporočilu o pripravljenosti na brexit, bi morali biti ukrepi za nepredvidljive razmere</w:t>
      </w:r>
      <w:r>
        <w:rPr>
          <w:rStyle w:val="FootnoteReference"/>
          <w:rFonts w:ascii="Times New Roman" w:hAnsi="Times New Roman"/>
          <w:noProof/>
        </w:rPr>
        <w:footnoteReference w:id="11"/>
      </w:r>
      <w:r>
        <w:rPr>
          <w:rFonts w:ascii="Times New Roman" w:hAnsi="Times New Roman"/>
          <w:noProof/>
          <w:sz w:val="24"/>
        </w:rPr>
        <w:t xml:space="preserve"> na vseh ravneh sprejeti v skladu z naslednjimi načeli:</w:t>
      </w:r>
    </w:p>
    <w:p>
      <w:pPr>
        <w:pStyle w:val="ListParagraph"/>
        <w:numPr>
          <w:ilvl w:val="0"/>
          <w:numId w:val="39"/>
        </w:numPr>
        <w:spacing w:before="360" w:after="200"/>
        <w:contextualSpacing/>
        <w:jc w:val="both"/>
        <w:rPr>
          <w:rFonts w:ascii="Times New Roman" w:eastAsia="Times New Roman" w:hAnsi="Times New Roman"/>
          <w:noProof/>
          <w:sz w:val="24"/>
          <w:szCs w:val="24"/>
        </w:rPr>
      </w:pPr>
      <w:r>
        <w:rPr>
          <w:rFonts w:ascii="Times New Roman" w:hAnsi="Times New Roman"/>
          <w:noProof/>
          <w:sz w:val="24"/>
        </w:rPr>
        <w:t>ukrepi za nepredvidljive razmere ne bi smeli podvajati koristi članstva v Uniji ali pogojev prehodnega obdobja, kot je določeno v osnutku Sporazuma o izstopu;</w:t>
      </w:r>
    </w:p>
    <w:p>
      <w:pPr>
        <w:pStyle w:val="ListParagraph"/>
        <w:numPr>
          <w:ilvl w:val="0"/>
          <w:numId w:val="39"/>
        </w:numPr>
        <w:spacing w:before="360" w:after="200"/>
        <w:contextualSpacing/>
        <w:jc w:val="both"/>
        <w:rPr>
          <w:rFonts w:ascii="Times New Roman" w:eastAsia="Times New Roman" w:hAnsi="Times New Roman"/>
          <w:noProof/>
          <w:sz w:val="24"/>
          <w:szCs w:val="24"/>
        </w:rPr>
      </w:pPr>
      <w:r>
        <w:rPr>
          <w:rFonts w:ascii="Times New Roman" w:hAnsi="Times New Roman"/>
          <w:noProof/>
          <w:sz w:val="24"/>
        </w:rPr>
        <w:t>morali bi biti začasni. Komisija je za danes sprejete ukrepe po potrebi predlagala časovne omejitve, ki so odvisne od specifičnih razmer v zadevnem sektorju;</w:t>
      </w:r>
    </w:p>
    <w:p>
      <w:pPr>
        <w:pStyle w:val="ListParagraph"/>
        <w:numPr>
          <w:ilvl w:val="0"/>
          <w:numId w:val="39"/>
        </w:numPr>
        <w:spacing w:before="360" w:after="200"/>
        <w:contextualSpacing/>
        <w:jc w:val="both"/>
        <w:rPr>
          <w:rFonts w:ascii="Times New Roman" w:eastAsia="Times New Roman" w:hAnsi="Times New Roman"/>
          <w:noProof/>
          <w:sz w:val="24"/>
          <w:szCs w:val="24"/>
        </w:rPr>
      </w:pPr>
      <w:r>
        <w:rPr>
          <w:rFonts w:ascii="Times New Roman" w:hAnsi="Times New Roman"/>
          <w:noProof/>
          <w:sz w:val="24"/>
        </w:rPr>
        <w:t xml:space="preserve">Evropska unija bi jih morala sprejeti enostransko zaradi svojih interesov in morali bi biti takšni, da jih lahko kadarkoli prekliče; </w:t>
      </w:r>
    </w:p>
    <w:p>
      <w:pPr>
        <w:pStyle w:val="ListParagraph"/>
        <w:numPr>
          <w:ilvl w:val="0"/>
          <w:numId w:val="39"/>
        </w:numPr>
        <w:spacing w:before="360" w:after="200"/>
        <w:contextualSpacing/>
        <w:jc w:val="both"/>
        <w:rPr>
          <w:rFonts w:ascii="Times New Roman" w:eastAsia="Times New Roman" w:hAnsi="Times New Roman"/>
          <w:noProof/>
          <w:sz w:val="24"/>
          <w:szCs w:val="24"/>
        </w:rPr>
      </w:pPr>
      <w:r>
        <w:rPr>
          <w:rFonts w:ascii="Times New Roman" w:hAnsi="Times New Roman"/>
          <w:noProof/>
          <w:sz w:val="24"/>
        </w:rPr>
        <w:t>spoštovati bi morali delitev pristojnosti, določeno v Pogodbah;</w:t>
      </w:r>
    </w:p>
    <w:p>
      <w:pPr>
        <w:pStyle w:val="ListParagraph"/>
        <w:numPr>
          <w:ilvl w:val="0"/>
          <w:numId w:val="39"/>
        </w:numPr>
        <w:spacing w:before="360" w:after="200"/>
        <w:contextualSpacing/>
        <w:jc w:val="both"/>
        <w:rPr>
          <w:rFonts w:ascii="Times New Roman" w:eastAsia="Times New Roman" w:hAnsi="Times New Roman"/>
          <w:noProof/>
          <w:sz w:val="24"/>
          <w:szCs w:val="24"/>
        </w:rPr>
      </w:pPr>
      <w:r>
        <w:rPr>
          <w:rFonts w:ascii="Times New Roman" w:hAnsi="Times New Roman"/>
          <w:noProof/>
          <w:sz w:val="24"/>
        </w:rPr>
        <w:t>nacionalni ukrepi za nepredvidljive razmere bi morali biti združljivi s pravom EU;</w:t>
      </w:r>
    </w:p>
    <w:p>
      <w:pPr>
        <w:pStyle w:val="ListParagraph"/>
        <w:numPr>
          <w:ilvl w:val="0"/>
          <w:numId w:val="39"/>
        </w:numPr>
        <w:spacing w:before="360" w:after="200"/>
        <w:contextualSpacing/>
        <w:jc w:val="both"/>
        <w:rPr>
          <w:rFonts w:ascii="Times New Roman" w:eastAsia="Times New Roman" w:hAnsi="Times New Roman"/>
          <w:noProof/>
          <w:sz w:val="24"/>
          <w:szCs w:val="24"/>
        </w:rPr>
      </w:pPr>
      <w:r>
        <w:rPr>
          <w:rFonts w:ascii="Times New Roman" w:hAnsi="Times New Roman"/>
          <w:noProof/>
          <w:sz w:val="24"/>
        </w:rPr>
        <w:t>ne bi smeli odpravljati zamud, ki bi jih bilo mogoče preprečiti z ukrepi za pripravljenost in pravočasnimi ukrepi zadevnih deležnikov.</w:t>
      </w:r>
    </w:p>
    <w:p>
      <w:pPr>
        <w:spacing w:before="360" w:after="200"/>
        <w:contextualSpacing/>
        <w:jc w:val="both"/>
        <w:rPr>
          <w:rFonts w:ascii="Times New Roman" w:eastAsia="Times New Roman" w:hAnsi="Times New Roman"/>
          <w:noProof/>
          <w:sz w:val="24"/>
          <w:szCs w:val="24"/>
        </w:rPr>
      </w:pPr>
      <w:r>
        <w:rPr>
          <w:rFonts w:ascii="Times New Roman" w:hAnsi="Times New Roman"/>
          <w:noProof/>
          <w:sz w:val="24"/>
        </w:rPr>
        <w:t xml:space="preserve">Na podlagi člena 355(3) PDEU in v obsegu, ki ga določa Akt o pristopu Združenega kraljestva k Evropskim skupnostim iz leta 1972, se pravo Unije uporablja za Gibraltar kot evropsko ozemlje, za katerega zunanje odnose je odgovorna država članica. Člen 355(3) PDEU se za Gibraltar ne bo več uporabljal, ko Združeno kraljestvo ne bo več država članica. Zato se ukrepi za nepredvidljive razmere za Gibraltar ne bodo uporabljali. </w:t>
      </w:r>
    </w:p>
    <w:p>
      <w:pPr>
        <w:pStyle w:val="ListParagraph"/>
        <w:keepNext/>
        <w:numPr>
          <w:ilvl w:val="0"/>
          <w:numId w:val="41"/>
        </w:numPr>
        <w:spacing w:before="480" w:after="240"/>
        <w:ind w:left="714" w:hanging="357"/>
        <w:jc w:val="both"/>
        <w:rPr>
          <w:rFonts w:ascii="Times New Roman" w:hAnsi="Times New Roman"/>
          <w:b/>
          <w:noProof/>
          <w:sz w:val="24"/>
        </w:rPr>
      </w:pPr>
      <w:r>
        <w:rPr>
          <w:rFonts w:ascii="Times New Roman" w:hAnsi="Times New Roman"/>
          <w:b/>
          <w:noProof/>
          <w:sz w:val="24"/>
        </w:rPr>
        <w:t>Državljani</w:t>
      </w:r>
    </w:p>
    <w:p>
      <w:pPr>
        <w:spacing w:before="240" w:after="120"/>
        <w:jc w:val="both"/>
        <w:rPr>
          <w:rFonts w:ascii="Times New Roman" w:eastAsia="Times New Roman" w:hAnsi="Times New Roman"/>
          <w:noProof/>
          <w:sz w:val="24"/>
          <w:szCs w:val="24"/>
        </w:rPr>
      </w:pPr>
      <w:r>
        <w:rPr>
          <w:rFonts w:ascii="Times New Roman" w:hAnsi="Times New Roman"/>
          <w:noProof/>
          <w:sz w:val="24"/>
        </w:rPr>
        <w:t>Če Sporazum o izstopu ne bo ratificiran, državljani EU, ki prebivajo v Združenem kraljestvu, ne bodo več zaščiteni s pravili EU o prostem gibanju. Za državljane Združenega kraljestva v Evropski uniji bodo od datuma izstopa veljala splošna pravila, ki veljajo za državljane tretjih držav v EU. To bi vplivalo na njihovo pravico do prebivanja in dela tam, kjer trenutno živijo, ter na njihovo pravico do socialne varnosti.</w:t>
      </w:r>
    </w:p>
    <w:p>
      <w:pPr>
        <w:spacing w:before="240" w:after="120"/>
        <w:jc w:val="both"/>
        <w:rPr>
          <w:rFonts w:ascii="Times New Roman" w:eastAsia="Times New Roman" w:hAnsi="Times New Roman"/>
          <w:noProof/>
          <w:sz w:val="24"/>
          <w:szCs w:val="24"/>
        </w:rPr>
      </w:pPr>
      <w:r>
        <w:rPr>
          <w:rFonts w:ascii="Times New Roman" w:hAnsi="Times New Roman"/>
          <w:noProof/>
          <w:sz w:val="24"/>
        </w:rPr>
        <w:t>Komisija je dosledno pojasnjevala, da je zaščita državljanov EU v Združenem kraljestvu in državljanov Združenega kraljestva v Evropski uniji prednostna naloga. Države članice poziva, naj sprejmejo velikodušen pristop glede državljanov Združenega kraljestva, ki že prebivajo na njihovem ozemlju</w:t>
      </w:r>
      <w:r>
        <w:rPr>
          <w:rStyle w:val="FootnoteReference"/>
          <w:rFonts w:ascii="Times New Roman" w:hAnsi="Times New Roman"/>
          <w:noProof/>
        </w:rPr>
        <w:footnoteReference w:id="12"/>
      </w:r>
      <w:r>
        <w:rPr>
          <w:rFonts w:ascii="Times New Roman" w:hAnsi="Times New Roman"/>
          <w:noProof/>
          <w:sz w:val="24"/>
        </w:rPr>
        <w:t>. Komisija je v svojem sporočilu z dne 13. novembra pozdravila zagotovila predsednice vlade Therese May</w:t>
      </w:r>
      <w:r>
        <w:rPr>
          <w:rStyle w:val="FootnoteReference"/>
          <w:rFonts w:ascii="Times New Roman" w:hAnsi="Times New Roman"/>
          <w:noProof/>
        </w:rPr>
        <w:footnoteReference w:id="13"/>
      </w:r>
      <w:r>
        <w:rPr>
          <w:rFonts w:ascii="Times New Roman" w:hAnsi="Times New Roman"/>
          <w:noProof/>
          <w:sz w:val="24"/>
        </w:rPr>
        <w:t>, da bodo pravice državljanov EU v Združenem kraljestvu tudi v primeru scenarija brez dogovora podobno zaščitene. Komisija pričakuje, da bodo ta zagotovila kmalu formalizirana, tako da se bodo lahko državljani nanje zanesli.</w:t>
      </w:r>
    </w:p>
    <w:p>
      <w:pPr>
        <w:keepNext/>
        <w:spacing w:before="360" w:after="240"/>
        <w:jc w:val="both"/>
        <w:rPr>
          <w:rFonts w:ascii="Times New Roman" w:eastAsia="Times New Roman" w:hAnsi="Times New Roman"/>
          <w:i/>
          <w:noProof/>
          <w:sz w:val="24"/>
          <w:szCs w:val="24"/>
        </w:rPr>
      </w:pPr>
      <w:r>
        <w:rPr>
          <w:rFonts w:ascii="Times New Roman" w:hAnsi="Times New Roman"/>
          <w:i/>
          <w:noProof/>
          <w:sz w:val="24"/>
        </w:rPr>
        <w:t>Pravica do prebivanja</w:t>
      </w:r>
    </w:p>
    <w:p>
      <w:pPr>
        <w:spacing w:before="240" w:after="120"/>
        <w:jc w:val="both"/>
        <w:rPr>
          <w:rFonts w:ascii="Times New Roman" w:eastAsia="Times New Roman" w:hAnsi="Times New Roman"/>
          <w:noProof/>
          <w:sz w:val="24"/>
          <w:szCs w:val="24"/>
        </w:rPr>
      </w:pPr>
      <w:r>
        <w:rPr>
          <w:rFonts w:ascii="Times New Roman" w:hAnsi="Times New Roman"/>
          <w:noProof/>
          <w:sz w:val="24"/>
        </w:rPr>
        <w:t>Za državljane Združenega kraljestva, ki prebivajo v Evropski uniji, se bodo, kar zadeva njihovo pravico do vstopa, prebivanja in dela v državah članicah EU, uporabljala pravila EU in nacionalna pravila, ki se uporabljajo za državljane tretjih držav. Komisija je za kratkoročno bivanje (do 90 dni v obdobju 180 dni) sprejela predlog uredbe</w:t>
      </w:r>
      <w:r>
        <w:rPr>
          <w:rStyle w:val="FootnoteReference"/>
          <w:rFonts w:ascii="Times New Roman" w:hAnsi="Times New Roman"/>
          <w:noProof/>
        </w:rPr>
        <w:footnoteReference w:id="14"/>
      </w:r>
      <w:r>
        <w:rPr>
          <w:rFonts w:ascii="Times New Roman" w:hAnsi="Times New Roman"/>
          <w:noProof/>
          <w:sz w:val="24"/>
        </w:rPr>
        <w:t xml:space="preserve">, ki državljane Združenega kraljestva izvzema iz vizumske obveznosti, če so vsi državljani Unije izvzeti iz vizumske obveznosti Združenega kraljestva. Državljani tretjih držav, ki želijo prebivati v državi članici EU več kot 90 dni zaradi katerega koli namena, morajo pridobiti dovoljenje za prebivanje ali vizum za dolgoročno prebivanje, ki ga izdajo nacionalni organi, pristojni za migracije. Državljani tretjih držav, ki so pet let zakoniti rezidenti v eni državi članici, morajo v skladu s pravili Unije pod določenimi pogoji v tej državi članici dobiti status rezidenta za daljši čas. Komisija je v svojem drugem sporočilu o pripravljenosti na brexit pojasnila, da meni, da je treba za te namene upoštevati obdobja zakonitega prebivanja državljanov Združenega kraljestva v državi članici. </w:t>
      </w:r>
    </w:p>
    <w:p>
      <w:pPr>
        <w:spacing w:before="240" w:after="120"/>
        <w:jc w:val="both"/>
        <w:rPr>
          <w:rFonts w:ascii="Times New Roman" w:eastAsia="Times New Roman" w:hAnsi="Times New Roman"/>
          <w:noProof/>
          <w:sz w:val="24"/>
          <w:szCs w:val="24"/>
        </w:rPr>
      </w:pPr>
      <w:r>
        <w:rPr>
          <w:rFonts w:ascii="Times New Roman" w:hAnsi="Times New Roman"/>
          <w:noProof/>
          <w:sz w:val="24"/>
        </w:rPr>
        <w:t xml:space="preserve">Komisija glede na to države članice poziva, naj: </w:t>
      </w:r>
    </w:p>
    <w:p>
      <w:pPr>
        <w:pStyle w:val="ListParagraph"/>
        <w:numPr>
          <w:ilvl w:val="0"/>
          <w:numId w:val="34"/>
        </w:numPr>
        <w:spacing w:before="240" w:after="120"/>
        <w:contextualSpacing/>
        <w:jc w:val="both"/>
        <w:rPr>
          <w:rFonts w:ascii="Times New Roman" w:eastAsia="Times New Roman" w:hAnsi="Times New Roman"/>
          <w:noProof/>
          <w:sz w:val="24"/>
          <w:szCs w:val="24"/>
        </w:rPr>
      </w:pPr>
      <w:r>
        <w:rPr>
          <w:rFonts w:ascii="Times New Roman" w:hAnsi="Times New Roman"/>
          <w:noProof/>
          <w:sz w:val="24"/>
        </w:rPr>
        <w:t>v skladu s pravom Unije sprejmejo ukrepe, da se bodo vsi državljani Združenega kraljestva, ki 29. marca 2019 zakonito prebivajo v državi članici, še naprej šteli za zakonite rezidente te države članice brez prekinitve;</w:t>
      </w:r>
    </w:p>
    <w:p>
      <w:pPr>
        <w:pStyle w:val="ListParagraph"/>
        <w:numPr>
          <w:ilvl w:val="0"/>
          <w:numId w:val="34"/>
        </w:numPr>
        <w:spacing w:before="240" w:after="120"/>
        <w:contextualSpacing/>
        <w:jc w:val="both"/>
        <w:rPr>
          <w:rFonts w:ascii="Times New Roman" w:eastAsia="Times New Roman" w:hAnsi="Times New Roman"/>
          <w:noProof/>
          <w:sz w:val="24"/>
          <w:szCs w:val="24"/>
        </w:rPr>
      </w:pPr>
      <w:r>
        <w:rPr>
          <w:rFonts w:ascii="Times New Roman" w:hAnsi="Times New Roman"/>
          <w:noProof/>
          <w:sz w:val="24"/>
        </w:rPr>
        <w:t>bodo pripravljene izdajati zadevnim državljanom Združenega kraljestva dovoljenja za prebivanje kot dokazilo o zakonitem bivanju in pravici do dela. Države članice, zlasti tiste, ki gostijo največ državljanov Združenega kraljestva, so pozvane, naj v skladu s pravom Unije sprejmejo pragmatičen pristop in izdajo začasne dokumente za prebivanje, dokler ne bo mogoče izdati dokončnih dovoljenj za prebivanje</w:t>
      </w:r>
      <w:r>
        <w:rPr>
          <w:rStyle w:val="FootnoteReference"/>
          <w:rFonts w:ascii="Times New Roman" w:hAnsi="Times New Roman"/>
          <w:noProof/>
          <w:sz w:val="24"/>
        </w:rPr>
        <w:footnoteReference w:id="15"/>
      </w:r>
      <w:r>
        <w:rPr>
          <w:rFonts w:ascii="Times New Roman" w:hAnsi="Times New Roman"/>
          <w:noProof/>
          <w:sz w:val="24"/>
        </w:rPr>
        <w:t>. Za upoštevanje posebnih razmer v vsaki državi članici se lahko uporabi več tehničnih možnosti, kot so nacionalni zakonodajni ukrepi, izdaja začasnih dokumentov ali priznavanje predhodno obstoječih dokumentov, ter</w:t>
      </w:r>
    </w:p>
    <w:p>
      <w:pPr>
        <w:pStyle w:val="ListParagraph"/>
        <w:numPr>
          <w:ilvl w:val="0"/>
          <w:numId w:val="34"/>
        </w:numPr>
        <w:spacing w:before="240" w:after="120"/>
        <w:ind w:left="714" w:hanging="357"/>
        <w:contextualSpacing/>
        <w:jc w:val="both"/>
        <w:rPr>
          <w:rFonts w:ascii="Times New Roman" w:eastAsia="Times New Roman" w:hAnsi="Times New Roman"/>
          <w:noProof/>
          <w:sz w:val="24"/>
          <w:szCs w:val="24"/>
        </w:rPr>
      </w:pPr>
      <w:r>
        <w:rPr>
          <w:rFonts w:ascii="Times New Roman" w:hAnsi="Times New Roman"/>
          <w:noProof/>
          <w:sz w:val="24"/>
        </w:rPr>
        <w:t>sprejmejo vse potrebne zakonodajne in upravne ukrepe za izdajanje začasnih dokumentov za prebivanje do datuma izstopa ter do konca leta 2019 obdelajo vloge za izdajo dokončnega dovoljenja za prebivanje na podlagi enotne oblike</w:t>
      </w:r>
      <w:r>
        <w:rPr>
          <w:rStyle w:val="FootnoteReference"/>
          <w:rFonts w:ascii="Times New Roman" w:hAnsi="Times New Roman"/>
          <w:noProof/>
        </w:rPr>
        <w:footnoteReference w:id="16"/>
      </w:r>
      <w:r>
        <w:rPr>
          <w:rFonts w:ascii="Times New Roman" w:hAnsi="Times New Roman"/>
          <w:noProof/>
          <w:sz w:val="24"/>
        </w:rPr>
        <w:t>.</w:t>
      </w:r>
    </w:p>
    <w:p>
      <w:pPr>
        <w:spacing w:before="240" w:after="120"/>
        <w:jc w:val="both"/>
        <w:rPr>
          <w:rFonts w:ascii="Times New Roman" w:eastAsia="Times New Roman" w:hAnsi="Times New Roman"/>
          <w:noProof/>
          <w:sz w:val="24"/>
          <w:szCs w:val="24"/>
        </w:rPr>
      </w:pPr>
      <w:r>
        <w:rPr>
          <w:rFonts w:ascii="Times New Roman" w:hAnsi="Times New Roman"/>
          <w:noProof/>
          <w:sz w:val="24"/>
        </w:rPr>
        <w:t>Komisija bo o nadaljnjih praktičnih vidikih razpravljala z državami članicami (EU-27) 20. decembra 2018, da bi zagotovila usklajen pristop.</w:t>
      </w:r>
    </w:p>
    <w:p>
      <w:pPr>
        <w:spacing w:before="240" w:after="120"/>
        <w:jc w:val="both"/>
        <w:rPr>
          <w:rFonts w:ascii="Times New Roman" w:eastAsia="Times New Roman" w:hAnsi="Times New Roman"/>
          <w:noProof/>
          <w:sz w:val="24"/>
          <w:szCs w:val="24"/>
        </w:rPr>
      </w:pPr>
      <w:r>
        <w:rPr>
          <w:rFonts w:ascii="Times New Roman" w:hAnsi="Times New Roman"/>
          <w:noProof/>
          <w:sz w:val="24"/>
        </w:rPr>
        <w:t xml:space="preserve">Za </w:t>
      </w:r>
      <w:r>
        <w:rPr>
          <w:rFonts w:ascii="Times New Roman" w:hAnsi="Times New Roman"/>
          <w:b/>
          <w:noProof/>
          <w:sz w:val="24"/>
        </w:rPr>
        <w:t>državljane EU, ki prebivajo v Združenem kraljestvu</w:t>
      </w:r>
      <w:r>
        <w:rPr>
          <w:rFonts w:ascii="Times New Roman" w:hAnsi="Times New Roman"/>
          <w:noProof/>
          <w:sz w:val="24"/>
        </w:rPr>
        <w:t xml:space="preserve">, bo poleg prizadevanj diplomatskih predstavništev držav članic v Združenem kraljestvu tudi predstavništvo Komisije v Združenem kraljestvu še naprej pozorno spremljalo stališče Združenega kraljestva glede stalnega prebivanja državljanov Unije v Združenem kraljestvu. V zvezi s tem bo zainteresiranim državljanom zagotavljalo informacije in strokovno znanje. </w:t>
      </w:r>
    </w:p>
    <w:p>
      <w:pPr>
        <w:keepNext/>
        <w:spacing w:before="360" w:after="240"/>
        <w:jc w:val="both"/>
        <w:rPr>
          <w:rFonts w:ascii="Times New Roman" w:eastAsia="Times New Roman" w:hAnsi="Times New Roman"/>
          <w:i/>
          <w:noProof/>
          <w:sz w:val="24"/>
          <w:szCs w:val="24"/>
        </w:rPr>
      </w:pPr>
      <w:r>
        <w:rPr>
          <w:rFonts w:ascii="Times New Roman" w:hAnsi="Times New Roman"/>
          <w:i/>
          <w:noProof/>
          <w:sz w:val="24"/>
        </w:rPr>
        <w:t>Koordinacija sistemov socialne varnosti</w:t>
      </w:r>
    </w:p>
    <w:p>
      <w:pPr>
        <w:spacing w:before="240" w:after="120"/>
        <w:jc w:val="both"/>
        <w:rPr>
          <w:rFonts w:ascii="Times New Roman" w:eastAsia="Times New Roman" w:hAnsi="Times New Roman"/>
          <w:noProof/>
          <w:sz w:val="24"/>
          <w:szCs w:val="24"/>
        </w:rPr>
      </w:pPr>
      <w:r>
        <w:rPr>
          <w:rFonts w:ascii="Times New Roman" w:hAnsi="Times New Roman"/>
          <w:noProof/>
          <w:sz w:val="24"/>
        </w:rPr>
        <w:t xml:space="preserve">Pravo Unije določa skupna pravila o koordinaciji sistemov socialne varnosti za zaščito </w:t>
      </w:r>
      <w:r>
        <w:rPr>
          <w:rFonts w:ascii="Times New Roman" w:hAnsi="Times New Roman"/>
          <w:b/>
          <w:noProof/>
          <w:sz w:val="24"/>
        </w:rPr>
        <w:t>pravic socialne varnosti državljanov EU</w:t>
      </w:r>
      <w:r>
        <w:rPr>
          <w:rFonts w:ascii="Times New Roman" w:hAnsi="Times New Roman"/>
          <w:noProof/>
          <w:sz w:val="24"/>
        </w:rPr>
        <w:t>, ki so uveljavili svojo temeljno pravico do selitve v drugo državo članico. Pravila Unije o koordinaciji sistemov socialne varnosti zajemajo pravice, ki izhajajo iz nacionalnega prava, povezanega z boleznijo, materinstvom in očetovstvom, pokojninami, invalidnostjo, brezposelnostjo, družinskimi prejemki, nesrečami pri delu in poklicnimi boleznimi</w:t>
      </w:r>
      <w:r>
        <w:rPr>
          <w:rStyle w:val="FootnoteReference"/>
          <w:rFonts w:ascii="Times New Roman" w:hAnsi="Times New Roman"/>
          <w:noProof/>
        </w:rPr>
        <w:footnoteReference w:id="17"/>
      </w:r>
      <w:r>
        <w:rPr>
          <w:rFonts w:ascii="Times New Roman" w:hAnsi="Times New Roman"/>
          <w:noProof/>
          <w:sz w:val="24"/>
        </w:rPr>
        <w:t>. Načela, na katerih temeljijo pravila o koordinaciji sistemov socialne varnosti, zagotavljajo, da so državljani zajeti le v zakonodaji ene države članice (enotnost) ter da imajo enake pravice in obveznosti kot državljani države članice, v kateri so zajeti (enaka obravnava). Načela zagotavljajo tudi, da se prejšnja obdobja zavarovanja, dela ali prebivanja v drugih državah članicah upoštevajo, ko organi določijo upravičenost osebe do ugodnosti (združevanje) in da lahko državljani praviloma prejmejo denarne ugodnosti, do katerih so upravičeni, tudi če živijo v drugi državi članici (možnost izvoza).</w:t>
      </w:r>
    </w:p>
    <w:p>
      <w:pPr>
        <w:spacing w:before="240" w:after="120"/>
        <w:jc w:val="both"/>
        <w:rPr>
          <w:rFonts w:ascii="Times New Roman" w:eastAsia="Times New Roman" w:hAnsi="Times New Roman"/>
          <w:noProof/>
          <w:sz w:val="24"/>
          <w:szCs w:val="24"/>
        </w:rPr>
      </w:pPr>
      <w:r>
        <w:rPr>
          <w:rFonts w:ascii="Times New Roman" w:hAnsi="Times New Roman"/>
          <w:noProof/>
          <w:sz w:val="24"/>
        </w:rPr>
        <w:t xml:space="preserve">Če Sporazum o izstopu ne bo ratificiran, se pravila Unije o koordinaciji sistemov socialne varnosti za Združeno kraljestvo ne bodo več uporabljala. To je za državljane EU, ki trenutno delajo ali prebivajo v Združenem kraljestvu ali so tam delali ali prebivali v preteklosti, zaskrbljujoče z vidika njihovih pravic do socialne varnosti. Enako velja za državljane Združenega kraljestva, ki trenutno delajo/prebivajo v drugi državi članici. </w:t>
      </w:r>
    </w:p>
    <w:p>
      <w:pPr>
        <w:spacing w:before="240" w:after="120"/>
        <w:jc w:val="both"/>
        <w:rPr>
          <w:rFonts w:ascii="Times New Roman" w:eastAsia="Times New Roman" w:hAnsi="Times New Roman"/>
          <w:noProof/>
          <w:sz w:val="24"/>
          <w:szCs w:val="24"/>
        </w:rPr>
      </w:pPr>
      <w:r>
        <w:rPr>
          <w:rFonts w:ascii="Times New Roman" w:hAnsi="Times New Roman"/>
          <w:noProof/>
          <w:sz w:val="24"/>
        </w:rPr>
        <w:t xml:space="preserve">Komisija države članice poziva, naj sprejmejo vse možne ukrepe, da bi se odzvale na to zaskrbljenost ter zagotovile pravno varnost in zaščito pravic do socialne varnosti, ki so jih pridobili državljani, ki so uveljavili svojo pravico do prostega gibanja pred 30. marcem 2019. </w:t>
      </w:r>
    </w:p>
    <w:p>
      <w:pPr>
        <w:spacing w:before="240" w:after="120"/>
        <w:jc w:val="both"/>
        <w:rPr>
          <w:rFonts w:ascii="Times New Roman" w:eastAsia="Times New Roman" w:hAnsi="Times New Roman"/>
          <w:noProof/>
          <w:sz w:val="24"/>
          <w:szCs w:val="24"/>
        </w:rPr>
      </w:pPr>
      <w:r>
        <w:rPr>
          <w:rFonts w:ascii="Times New Roman" w:hAnsi="Times New Roman"/>
          <w:noProof/>
          <w:sz w:val="24"/>
        </w:rPr>
        <w:t>Komisija države članice zlasti poziva, naj:</w:t>
      </w:r>
    </w:p>
    <w:p>
      <w:pPr>
        <w:pStyle w:val="ListParagraph"/>
        <w:numPr>
          <w:ilvl w:val="0"/>
          <w:numId w:val="35"/>
        </w:numPr>
        <w:spacing w:before="240" w:after="120"/>
        <w:jc w:val="both"/>
        <w:rPr>
          <w:rFonts w:ascii="Times New Roman" w:eastAsia="Times New Roman" w:hAnsi="Times New Roman"/>
          <w:noProof/>
          <w:sz w:val="24"/>
          <w:szCs w:val="24"/>
        </w:rPr>
      </w:pPr>
      <w:r>
        <w:rPr>
          <w:rFonts w:ascii="Times New Roman" w:hAnsi="Times New Roman"/>
          <w:noProof/>
          <w:sz w:val="24"/>
        </w:rPr>
        <w:t>za državljane EU-27 in Združenega kraljestva upoštevajo obdobja dela/zavarovanja, ki so nastala v Združenem kraljestvu pred izstopom;</w:t>
      </w:r>
    </w:p>
    <w:p>
      <w:pPr>
        <w:pStyle w:val="ListParagraph"/>
        <w:numPr>
          <w:ilvl w:val="0"/>
          <w:numId w:val="35"/>
        </w:numPr>
        <w:spacing w:before="240" w:after="120"/>
        <w:jc w:val="both"/>
        <w:rPr>
          <w:rFonts w:ascii="Times New Roman" w:eastAsia="Times New Roman" w:hAnsi="Times New Roman"/>
          <w:noProof/>
          <w:sz w:val="24"/>
          <w:szCs w:val="24"/>
        </w:rPr>
      </w:pPr>
      <w:r>
        <w:rPr>
          <w:rFonts w:ascii="Times New Roman" w:hAnsi="Times New Roman"/>
          <w:noProof/>
          <w:sz w:val="24"/>
        </w:rPr>
        <w:t>državljane obvestijo, da morajo hraniti ustrezno dokumentacijo, ki zagotavlja dokazila za ta obdobja;</w:t>
      </w:r>
    </w:p>
    <w:p>
      <w:pPr>
        <w:pStyle w:val="ListParagraph"/>
        <w:numPr>
          <w:ilvl w:val="0"/>
          <w:numId w:val="35"/>
        </w:numPr>
        <w:spacing w:before="240" w:after="120"/>
        <w:jc w:val="both"/>
        <w:rPr>
          <w:rFonts w:ascii="Times New Roman" w:eastAsia="Times New Roman" w:hAnsi="Times New Roman"/>
          <w:noProof/>
          <w:sz w:val="24"/>
          <w:szCs w:val="24"/>
        </w:rPr>
      </w:pPr>
      <w:r>
        <w:rPr>
          <w:rFonts w:ascii="Times New Roman" w:hAnsi="Times New Roman"/>
          <w:noProof/>
          <w:sz w:val="24"/>
        </w:rPr>
        <w:t xml:space="preserve">zagotovijo, da bo „združevanje“ obdobij, dopolnjenih do izstopa, koristilo tudi osebam, ki še naprej živijo v Združenem kraljestvu; </w:t>
      </w:r>
    </w:p>
    <w:p>
      <w:pPr>
        <w:pStyle w:val="ListParagraph"/>
        <w:numPr>
          <w:ilvl w:val="0"/>
          <w:numId w:val="35"/>
        </w:numPr>
        <w:spacing w:before="240" w:after="120"/>
        <w:jc w:val="both"/>
        <w:rPr>
          <w:rFonts w:ascii="Times New Roman" w:eastAsia="Times New Roman" w:hAnsi="Times New Roman"/>
          <w:noProof/>
          <w:sz w:val="24"/>
          <w:szCs w:val="24"/>
        </w:rPr>
      </w:pPr>
      <w:r>
        <w:rPr>
          <w:rFonts w:ascii="Times New Roman" w:hAnsi="Times New Roman"/>
          <w:noProof/>
          <w:sz w:val="24"/>
        </w:rPr>
        <w:t>izvozijo starostne pokojnine v Združeno kraljestvo, čeprav bo to tretja država. To bi veljalo za državljane, ki bodo po datumu izstopa še naprej prebivali v Združenem kraljestvu, in državljane Združenega kraljestva, ki so pridobili pravice do starostne pokojnine v EU-27 pred datumom izstopa.</w:t>
      </w:r>
      <w:r>
        <w:rPr>
          <w:noProof/>
        </w:rPr>
        <w:t xml:space="preserve"> </w:t>
      </w:r>
    </w:p>
    <w:p>
      <w:pPr>
        <w:spacing w:before="240" w:after="120"/>
        <w:jc w:val="both"/>
        <w:rPr>
          <w:rFonts w:ascii="Times New Roman" w:eastAsia="Times New Roman" w:hAnsi="Times New Roman"/>
          <w:noProof/>
          <w:sz w:val="24"/>
          <w:szCs w:val="24"/>
        </w:rPr>
      </w:pPr>
      <w:r>
        <w:rPr>
          <w:rFonts w:ascii="Times New Roman" w:hAnsi="Times New Roman"/>
          <w:noProof/>
          <w:sz w:val="24"/>
        </w:rPr>
        <w:t xml:space="preserve">Komisija bo 20. decembra 2018 državam članicam (EU-27) konkretno in podrobno svetovala o tem, kako doseči skladen krizni pristop h koordinaciji socialne varnosti, ki bi ga države članice morale uporabljati od datuma izstopa. </w:t>
      </w:r>
    </w:p>
    <w:p>
      <w:pPr>
        <w:spacing w:before="240" w:after="120"/>
        <w:jc w:val="both"/>
        <w:rPr>
          <w:rFonts w:ascii="Times New Roman" w:eastAsia="Times New Roman" w:hAnsi="Times New Roman"/>
          <w:noProof/>
          <w:sz w:val="24"/>
          <w:szCs w:val="24"/>
        </w:rPr>
      </w:pPr>
      <w:r>
        <w:rPr>
          <w:rFonts w:ascii="Times New Roman" w:hAnsi="Times New Roman"/>
          <w:noProof/>
          <w:sz w:val="24"/>
        </w:rPr>
        <w:t xml:space="preserve">Komisija opozarja, da ima Unija izključno pristojnost na področju koordinacije sistemov socialne varnosti za dopolnjena obdobja ter za dejstva in dogodke, ki so se zgodili pred datumom izstopa. </w:t>
      </w:r>
    </w:p>
    <w:p>
      <w:pPr>
        <w:pStyle w:val="ListParagraph"/>
        <w:keepNext/>
        <w:numPr>
          <w:ilvl w:val="0"/>
          <w:numId w:val="41"/>
        </w:numPr>
        <w:spacing w:before="480" w:after="240"/>
        <w:ind w:left="714" w:hanging="357"/>
        <w:rPr>
          <w:rFonts w:ascii="Times New Roman" w:eastAsia="Times New Roman" w:hAnsi="Times New Roman"/>
          <w:b/>
          <w:noProof/>
          <w:sz w:val="24"/>
          <w:szCs w:val="24"/>
        </w:rPr>
      </w:pPr>
      <w:r>
        <w:rPr>
          <w:rFonts w:ascii="Times New Roman" w:hAnsi="Times New Roman"/>
          <w:b/>
          <w:noProof/>
          <w:sz w:val="24"/>
        </w:rPr>
        <w:t>Predpisi po posameznih sektorjih</w:t>
      </w:r>
    </w:p>
    <w:p>
      <w:pPr>
        <w:keepNext/>
        <w:spacing w:before="360" w:after="240"/>
        <w:rPr>
          <w:rFonts w:ascii="Times New Roman" w:eastAsia="Times New Roman" w:hAnsi="Times New Roman"/>
          <w:b/>
          <w:i/>
          <w:noProof/>
          <w:sz w:val="24"/>
          <w:szCs w:val="24"/>
        </w:rPr>
      </w:pPr>
      <w:r>
        <w:rPr>
          <w:rFonts w:ascii="Times New Roman" w:hAnsi="Times New Roman"/>
          <w:b/>
          <w:i/>
          <w:noProof/>
          <w:sz w:val="24"/>
        </w:rPr>
        <w:t>Finančne storitve</w:t>
      </w:r>
    </w:p>
    <w:p>
      <w:pPr>
        <w:jc w:val="both"/>
        <w:rPr>
          <w:rFonts w:ascii="Times New Roman" w:eastAsia="Times New Roman" w:hAnsi="Times New Roman"/>
          <w:noProof/>
          <w:sz w:val="24"/>
          <w:szCs w:val="24"/>
        </w:rPr>
      </w:pPr>
      <w:r>
        <w:rPr>
          <w:rFonts w:ascii="Times New Roman" w:hAnsi="Times New Roman"/>
          <w:noProof/>
          <w:sz w:val="24"/>
        </w:rPr>
        <w:t>Če Sporazum o izstopu ne bo ratificiran, bodo finančni gospodarski subjekti s sedežem v Združenem kraljestvu od datuma izstopa izgubili pravico do opravljanja storitev v državah članicah EU-27 v okviru pravic EU za čezmejno opravljanje finančnih storitev. Zato morajo gospodarski subjekti v Združenem kraljestvu in njihovi partnerji v EU-27 sprejeti ukrepe za uskladitev s pravom Unije pri vseh scenarijih in pravočasno pred izstopom Združenega kraljestva, kot je Komisija navedla v obvestilih deležnikom, ki jih je objavila za to področje</w:t>
      </w:r>
      <w:r>
        <w:rPr>
          <w:rStyle w:val="FootnoteReference"/>
          <w:rFonts w:ascii="Times New Roman" w:hAnsi="Times New Roman"/>
          <w:noProof/>
          <w:sz w:val="24"/>
        </w:rPr>
        <w:footnoteReference w:id="18"/>
      </w:r>
      <w:r>
        <w:rPr>
          <w:rFonts w:ascii="Times New Roman" w:hAnsi="Times New Roman"/>
          <w:noProof/>
          <w:sz w:val="24"/>
        </w:rPr>
        <w:t>.</w:t>
      </w:r>
    </w:p>
    <w:p>
      <w:pPr>
        <w:spacing w:before="240" w:after="120"/>
        <w:jc w:val="both"/>
        <w:rPr>
          <w:noProof/>
        </w:rPr>
      </w:pPr>
      <w:r>
        <w:rPr>
          <w:rFonts w:ascii="Times New Roman" w:hAnsi="Times New Roman"/>
          <w:noProof/>
          <w:sz w:val="24"/>
        </w:rPr>
        <w:t>Komisija je po proučitvi tveganj, povezanih s scenarijem brez dogovora, v finančnem sektorju ter ob upoštevanju mnenj Evropske centralne banke in evropskih nadzornih organov sklenila, da je za zaščito finančne stabilnosti v EU-27 potrebno le omejeno število ukrepov za nepredvidljive razmere. Ti ukrepi zmanjšujejo tveganja za finančno stabilnost samo na tistih področjih, kjer so ukrepi za pripravljenost, ki jih sprejmejo udeleženci na trgu, očitno nezadostni za odpravo teh tveganj do datuma izstopa. Komisija je zato danes sprejela naslednje akte, ki se bodo uporabljali od datuma izstopa, če Sporazum o izstopu ne bo ratificiran:</w:t>
      </w:r>
    </w:p>
    <w:p>
      <w:pPr>
        <w:pStyle w:val="ListParagraph"/>
        <w:numPr>
          <w:ilvl w:val="0"/>
          <w:numId w:val="33"/>
        </w:numPr>
        <w:spacing w:before="360" w:after="120"/>
        <w:contextualSpacing/>
        <w:jc w:val="both"/>
        <w:rPr>
          <w:rFonts w:ascii="Times New Roman" w:eastAsia="Times New Roman" w:hAnsi="Times New Roman"/>
          <w:b/>
          <w:i/>
          <w:noProof/>
          <w:sz w:val="24"/>
          <w:szCs w:val="24"/>
        </w:rPr>
      </w:pPr>
      <w:r>
        <w:rPr>
          <w:rFonts w:ascii="Times New Roman" w:hAnsi="Times New Roman"/>
          <w:noProof/>
          <w:sz w:val="24"/>
        </w:rPr>
        <w:t>začasni in pogojni sklep o enakovrednosti</w:t>
      </w:r>
      <w:r>
        <w:rPr>
          <w:rStyle w:val="EndnoteReference"/>
          <w:rFonts w:ascii="Times New Roman" w:hAnsi="Times New Roman"/>
          <w:noProof/>
          <w:sz w:val="24"/>
        </w:rPr>
        <w:endnoteReference w:id="2"/>
      </w:r>
      <w:r>
        <w:rPr>
          <w:rFonts w:ascii="Times New Roman" w:hAnsi="Times New Roman"/>
          <w:noProof/>
          <w:sz w:val="24"/>
        </w:rPr>
        <w:t xml:space="preserve"> za obdobje 12 mesecev za zagotovitev, da ne bo prišlo do motenj pri </w:t>
      </w:r>
      <w:r>
        <w:rPr>
          <w:rFonts w:ascii="Times New Roman" w:hAnsi="Times New Roman"/>
          <w:b/>
          <w:noProof/>
          <w:sz w:val="24"/>
        </w:rPr>
        <w:t>centralnem kliringu izvedenih finančnih instrumentov</w:t>
      </w:r>
      <w:r>
        <w:rPr>
          <w:rFonts w:ascii="Times New Roman" w:hAnsi="Times New Roman"/>
          <w:noProof/>
          <w:sz w:val="24"/>
        </w:rPr>
        <w:t>. To bo Evropskemu organu za vrednostne papirje in trge (ESMA) omogočilo, da začasno prizna centralne nasprotne stranke, ki so trenutno ustanovljene v Združenem kraljestvu, kar jim bo omogočilo, da začasno še naprej opravljajo storitve v Uniji. Komisija je ugotovila, da podjetja EU-27 potrebujejo ta čas, da vzpostavijo popolnoma izvedljive alternative za gospodarske subjekte iz Združenega kraljestva;</w:t>
      </w:r>
    </w:p>
    <w:p>
      <w:pPr>
        <w:pStyle w:val="ListParagraph"/>
        <w:numPr>
          <w:ilvl w:val="0"/>
          <w:numId w:val="33"/>
        </w:numPr>
        <w:spacing w:before="360" w:after="120"/>
        <w:jc w:val="both"/>
        <w:rPr>
          <w:rFonts w:ascii="Times New Roman" w:eastAsia="Times New Roman" w:hAnsi="Times New Roman"/>
          <w:b/>
          <w:i/>
          <w:noProof/>
          <w:sz w:val="24"/>
          <w:szCs w:val="24"/>
        </w:rPr>
      </w:pPr>
      <w:r>
        <w:rPr>
          <w:rFonts w:ascii="Times New Roman" w:hAnsi="Times New Roman"/>
          <w:noProof/>
          <w:sz w:val="24"/>
        </w:rPr>
        <w:t>začasni in pogojni sklep o enakovrednosti</w:t>
      </w:r>
      <w:r>
        <w:rPr>
          <w:rStyle w:val="EndnoteReference"/>
          <w:rFonts w:ascii="Times New Roman" w:hAnsi="Times New Roman"/>
          <w:noProof/>
          <w:sz w:val="24"/>
        </w:rPr>
        <w:endnoteReference w:id="3"/>
      </w:r>
      <w:r>
        <w:rPr>
          <w:rFonts w:ascii="Times New Roman" w:hAnsi="Times New Roman"/>
          <w:noProof/>
          <w:sz w:val="24"/>
        </w:rPr>
        <w:t xml:space="preserve"> za obdobje 24 mesecev za zagotovitev, da ne bo prišlo do motenj pri storitvah, ki jih zagotavljajo </w:t>
      </w:r>
      <w:r>
        <w:rPr>
          <w:rFonts w:ascii="Times New Roman" w:hAnsi="Times New Roman"/>
          <w:b/>
          <w:noProof/>
          <w:sz w:val="24"/>
        </w:rPr>
        <w:t>centralne depotne družbe</w:t>
      </w:r>
      <w:r>
        <w:rPr>
          <w:rFonts w:ascii="Times New Roman" w:hAnsi="Times New Roman"/>
          <w:noProof/>
          <w:sz w:val="24"/>
        </w:rPr>
        <w:t xml:space="preserve"> Združenega kraljestva. Sklep bo slednjim začasno omogočil, da bodo lahko gospodarskim subjektom v Uniji še naprej zagotavljale notarske storitve in storitve centralnega vodenja računov. To bo gospodarskim subjektom v EU-27, ki trenutno nimajo nobene druge možnosti, ki bi jim bila takoj na voljo v EU-27, omogočilo, da izpolnijo svoje obveznosti v skladu s pravom EU;</w:t>
      </w:r>
    </w:p>
    <w:p>
      <w:pPr>
        <w:pStyle w:val="ListParagraph"/>
        <w:numPr>
          <w:ilvl w:val="0"/>
          <w:numId w:val="33"/>
        </w:numPr>
        <w:spacing w:before="360" w:after="120"/>
        <w:jc w:val="both"/>
        <w:rPr>
          <w:rFonts w:ascii="Times New Roman" w:eastAsia="Times New Roman" w:hAnsi="Times New Roman"/>
          <w:noProof/>
          <w:sz w:val="24"/>
          <w:szCs w:val="24"/>
        </w:rPr>
      </w:pPr>
      <w:r>
        <w:rPr>
          <w:rFonts w:ascii="Times New Roman" w:hAnsi="Times New Roman"/>
          <w:noProof/>
          <w:sz w:val="24"/>
        </w:rPr>
        <w:t>delegirani uredbi</w:t>
      </w:r>
      <w:r>
        <w:rPr>
          <w:rStyle w:val="EndnoteReference"/>
          <w:rFonts w:ascii="Times New Roman" w:hAnsi="Times New Roman"/>
          <w:noProof/>
          <w:sz w:val="24"/>
        </w:rPr>
        <w:endnoteReference w:id="4"/>
      </w:r>
      <w:r>
        <w:rPr>
          <w:rFonts w:ascii="Times New Roman" w:hAnsi="Times New Roman"/>
          <w:noProof/>
          <w:sz w:val="24"/>
        </w:rPr>
        <w:t>,</w:t>
      </w:r>
      <w:r>
        <w:rPr>
          <w:rStyle w:val="EndnoteReference"/>
          <w:rFonts w:ascii="Times New Roman" w:hAnsi="Times New Roman"/>
          <w:noProof/>
          <w:sz w:val="24"/>
        </w:rPr>
        <w:endnoteReference w:id="5"/>
      </w:r>
      <w:r>
        <w:rPr>
          <w:rFonts w:ascii="Times New Roman" w:hAnsi="Times New Roman"/>
          <w:noProof/>
          <w:sz w:val="24"/>
        </w:rPr>
        <w:t xml:space="preserve"> ki za določeno obdobje omogočata novacijo </w:t>
      </w:r>
      <w:r>
        <w:rPr>
          <w:rFonts w:ascii="Times New Roman" w:hAnsi="Times New Roman"/>
          <w:b/>
          <w:noProof/>
          <w:sz w:val="24"/>
        </w:rPr>
        <w:t>nekaterih pogodb o izvedenih finančnih instrumentih, s katerimi se trguje zunaj organiziranega trga, z nasprotno stranko s sedežem v Združenem kraljestvu</w:t>
      </w:r>
      <w:r>
        <w:rPr>
          <w:rFonts w:ascii="Times New Roman" w:hAnsi="Times New Roman"/>
          <w:noProof/>
          <w:sz w:val="24"/>
        </w:rPr>
        <w:t xml:space="preserve"> z namenom zamenjave te nasprotne stranke z nasprotno stranko s sedežem v Uniji. To omogoča, da se take pogodbe prenesejo na nasprotno stranko v EU-27, hkrati pa ohranijo status izvzetja in zato ne postanejo predmet obveznosti kliringa in kritja v skladu z uredbo o infrastrukturi evropskega trga. Takšne pogodbe, ki so bile sklenjene pred začetkom uporabe uredbe o infrastrukturi evropskega trga (uredba EMIR), so izvzete iz zahtev uredbe EMIR. S tema aktoma se bo zagotovilo, da sprememba nasprotne stranke ne bo spremenila tega izvzetega statusa.</w:t>
      </w:r>
    </w:p>
    <w:p>
      <w:pPr>
        <w:spacing w:before="360" w:after="120"/>
        <w:jc w:val="both"/>
        <w:rPr>
          <w:rFonts w:ascii="Times New Roman" w:eastAsia="Times New Roman" w:hAnsi="Times New Roman"/>
          <w:noProof/>
          <w:sz w:val="24"/>
          <w:szCs w:val="24"/>
        </w:rPr>
      </w:pPr>
      <w:r>
        <w:rPr>
          <w:rFonts w:ascii="Times New Roman" w:hAnsi="Times New Roman"/>
          <w:noProof/>
          <w:sz w:val="24"/>
        </w:rPr>
        <w:t xml:space="preserve">V vseh sektorjih finančnih storitev bi morala podjetja še naprej sprejemati vse potrebne ukrepe za zmanjšanje tveganj in zagotovitev, da se strankam še naprej zagotavljajo storitve. Podjetja bi morala stranke dejavno obveščati o ukrepih, ki so jih izvedle, in o njihovem izvajanju. Stranke podjetij iz Združenega kraljestva, ki prihajajo iz Evropske unije, bi se morale pripraviti na scenarij, po katerem se za njihovega ponudnika pravo EU ne bo več uporabljalo. </w:t>
      </w:r>
    </w:p>
    <w:p>
      <w:pPr>
        <w:keepNext/>
        <w:spacing w:before="360" w:after="240"/>
        <w:jc w:val="both"/>
        <w:rPr>
          <w:rFonts w:ascii="Times New Roman" w:eastAsia="Times New Roman" w:hAnsi="Times New Roman"/>
          <w:b/>
          <w:i/>
          <w:noProof/>
          <w:sz w:val="24"/>
          <w:szCs w:val="24"/>
        </w:rPr>
      </w:pPr>
      <w:r>
        <w:rPr>
          <w:rFonts w:ascii="Times New Roman" w:hAnsi="Times New Roman"/>
          <w:b/>
          <w:i/>
          <w:noProof/>
          <w:sz w:val="24"/>
        </w:rPr>
        <w:t>Letalski prevoz</w:t>
      </w:r>
    </w:p>
    <w:p>
      <w:pPr>
        <w:spacing w:before="240" w:after="200"/>
        <w:jc w:val="both"/>
        <w:rPr>
          <w:rFonts w:ascii="Times New Roman" w:eastAsia="Times New Roman" w:hAnsi="Times New Roman"/>
          <w:noProof/>
          <w:sz w:val="24"/>
          <w:szCs w:val="24"/>
        </w:rPr>
      </w:pPr>
      <w:r>
        <w:rPr>
          <w:rFonts w:ascii="Times New Roman" w:hAnsi="Times New Roman"/>
          <w:noProof/>
          <w:sz w:val="24"/>
        </w:rPr>
        <w:t>Če Sporazum o izstopu ne bo ratificiran, bo zračni promet med EU in Združenim kraljestvom od datuma izstopa prekinjen. Komisija je danes sprejela začasna ukrepa, da bi preprečila popolno prekinitev zračnega prometa med Unijo in Združenim kraljestvom ter zagotovila osnovno povezljivost:</w:t>
      </w:r>
    </w:p>
    <w:p>
      <w:pPr>
        <w:pStyle w:val="ListParagraph"/>
        <w:numPr>
          <w:ilvl w:val="0"/>
          <w:numId w:val="4"/>
        </w:numPr>
        <w:spacing w:before="100" w:beforeAutospacing="1" w:after="120"/>
        <w:rPr>
          <w:rFonts w:ascii="Times New Roman" w:eastAsia="Times New Roman" w:hAnsi="Times New Roman"/>
          <w:noProof/>
          <w:sz w:val="24"/>
          <w:szCs w:val="24"/>
        </w:rPr>
      </w:pPr>
      <w:r>
        <w:rPr>
          <w:rFonts w:ascii="Times New Roman" w:hAnsi="Times New Roman"/>
          <w:noProof/>
          <w:sz w:val="24"/>
        </w:rPr>
        <w:t>predlog uredbe</w:t>
      </w:r>
      <w:r>
        <w:rPr>
          <w:rStyle w:val="EndnoteReference"/>
          <w:rFonts w:ascii="Times New Roman" w:hAnsi="Times New Roman"/>
          <w:noProof/>
          <w:sz w:val="24"/>
        </w:rPr>
        <w:endnoteReference w:id="6"/>
      </w:r>
      <w:r>
        <w:rPr>
          <w:rFonts w:ascii="Times New Roman" w:hAnsi="Times New Roman"/>
          <w:noProof/>
          <w:sz w:val="24"/>
        </w:rPr>
        <w:t xml:space="preserve"> za začasno (12 mesecev) </w:t>
      </w:r>
      <w:r>
        <w:rPr>
          <w:rFonts w:ascii="Times New Roman" w:hAnsi="Times New Roman"/>
          <w:b/>
          <w:noProof/>
          <w:sz w:val="24"/>
        </w:rPr>
        <w:t>zagotovitev nekaterih storitev zračnega prevoza med Združenim kraljestvom in državami članicami EU-27</w:t>
      </w:r>
      <w:r>
        <w:rPr>
          <w:rFonts w:ascii="Times New Roman" w:hAnsi="Times New Roman"/>
          <w:noProof/>
          <w:sz w:val="24"/>
        </w:rPr>
        <w:t xml:space="preserve">, ki letalskim prevoznikom iz Združenega kraljestva omogoča, da brez pristanka letijo čez ozemlje Unije, se ustavijo na ozemlju Unije za nekomercialne namene ter izvajajo redne in izredne mednarodne storitve zračnega prevoza potnikov in tovora. To velja pod pogojem, da Združeno kraljestvo letalskim prevoznikom iz Unije podeli enakovredne pravice in zagotovi pogoje poštene konkurence; </w:t>
      </w:r>
    </w:p>
    <w:p>
      <w:pPr>
        <w:pStyle w:val="ListParagraph"/>
        <w:numPr>
          <w:ilvl w:val="0"/>
          <w:numId w:val="4"/>
        </w:numPr>
        <w:spacing w:before="100" w:beforeAutospacing="1" w:after="120"/>
        <w:ind w:left="714" w:hanging="357"/>
        <w:rPr>
          <w:rFonts w:ascii="Times New Roman" w:eastAsia="Times New Roman" w:hAnsi="Times New Roman"/>
          <w:noProof/>
          <w:sz w:val="24"/>
          <w:szCs w:val="24"/>
        </w:rPr>
      </w:pPr>
      <w:r>
        <w:rPr>
          <w:rFonts w:ascii="Times New Roman" w:hAnsi="Times New Roman"/>
          <w:noProof/>
          <w:sz w:val="24"/>
        </w:rPr>
        <w:t>predlog uredbe</w:t>
      </w:r>
      <w:r>
        <w:rPr>
          <w:rStyle w:val="EndnoteReference"/>
          <w:rFonts w:ascii="Times New Roman" w:hAnsi="Times New Roman"/>
          <w:noProof/>
          <w:sz w:val="24"/>
        </w:rPr>
        <w:endnoteReference w:id="7"/>
      </w:r>
      <w:r>
        <w:rPr>
          <w:rFonts w:ascii="Times New Roman" w:hAnsi="Times New Roman"/>
          <w:noProof/>
          <w:sz w:val="24"/>
        </w:rPr>
        <w:t xml:space="preserve"> o </w:t>
      </w:r>
      <w:r>
        <w:rPr>
          <w:rFonts w:ascii="Times New Roman" w:hAnsi="Times New Roman"/>
          <w:b/>
          <w:noProof/>
          <w:sz w:val="24"/>
        </w:rPr>
        <w:t>varnosti v letalstvu</w:t>
      </w:r>
      <w:r>
        <w:rPr>
          <w:rFonts w:ascii="Times New Roman" w:hAnsi="Times New Roman"/>
          <w:noProof/>
          <w:sz w:val="24"/>
        </w:rPr>
        <w:t xml:space="preserve"> za začasno obdobje (9 mesecev) podaljšanje veljavnosti nekaterih obstoječih dovoljenj za obravnavanje posebnih razmer v sektorju letalske varnosti, v katerem lahko Evropska agencija za varnost v letalstvu (EASA) izdaja nekatera potrdila le na podlagi dovoljenja, izdanega v tretji državi, medtem ko lahko Združeno kraljestvo izdaja dovoljenja le od datuma izstopa, ko bo ponovno pridobilo status „države projektiranja“.</w:t>
      </w:r>
    </w:p>
    <w:p>
      <w:pPr>
        <w:spacing w:before="100" w:beforeAutospacing="1" w:after="240"/>
        <w:jc w:val="both"/>
        <w:rPr>
          <w:rFonts w:ascii="Times New Roman" w:eastAsia="Times New Roman" w:hAnsi="Times New Roman"/>
          <w:noProof/>
          <w:sz w:val="24"/>
          <w:szCs w:val="24"/>
        </w:rPr>
      </w:pPr>
      <w:r>
        <w:rPr>
          <w:rFonts w:ascii="Times New Roman" w:hAnsi="Times New Roman"/>
          <w:noProof/>
          <w:sz w:val="24"/>
        </w:rPr>
        <w:t>Za zagotovitev pravnega okvira, ki je potreben, da se preprečijo nenadne prekinitve dejavnosti na področju zračnega prometa</w:t>
      </w:r>
      <w:r>
        <w:rPr>
          <w:rStyle w:val="FootnoteReference"/>
          <w:rFonts w:ascii="Times New Roman" w:hAnsi="Times New Roman"/>
          <w:noProof/>
        </w:rPr>
        <w:footnoteReference w:id="19"/>
      </w:r>
      <w:r>
        <w:rPr>
          <w:rFonts w:ascii="Times New Roman" w:hAnsi="Times New Roman"/>
          <w:noProof/>
          <w:sz w:val="24"/>
        </w:rPr>
        <w:t>, je potrebno in možno samo ukrepanje za nepredvidljive razmere na ravni EU. Dodatni nacionalni ukrepi niso potrebni.</w:t>
      </w:r>
    </w:p>
    <w:p>
      <w:pPr>
        <w:keepNext/>
        <w:spacing w:before="360" w:after="240"/>
        <w:rPr>
          <w:rFonts w:ascii="Times New Roman" w:hAnsi="Times New Roman"/>
          <w:b/>
          <w:i/>
          <w:noProof/>
          <w:sz w:val="24"/>
          <w:szCs w:val="24"/>
        </w:rPr>
      </w:pPr>
      <w:r>
        <w:rPr>
          <w:rFonts w:ascii="Times New Roman" w:hAnsi="Times New Roman"/>
          <w:b/>
          <w:i/>
          <w:noProof/>
          <w:sz w:val="24"/>
        </w:rPr>
        <w:t>Cestni prevoz blaga</w:t>
      </w:r>
    </w:p>
    <w:p>
      <w:pPr>
        <w:spacing w:before="240" w:after="240"/>
        <w:jc w:val="both"/>
        <w:rPr>
          <w:rFonts w:ascii="Times New Roman" w:hAnsi="Times New Roman"/>
          <w:noProof/>
          <w:sz w:val="24"/>
          <w:szCs w:val="24"/>
        </w:rPr>
      </w:pPr>
      <w:r>
        <w:rPr>
          <w:rFonts w:ascii="Times New Roman" w:hAnsi="Times New Roman"/>
          <w:noProof/>
          <w:sz w:val="24"/>
        </w:rPr>
        <w:t xml:space="preserve">Če Sporazum o izstopu ne bo ratificiran, bo cestni prevoz blaga med EU in Združenim kraljestvom strogo omejen na mednarodni sistem omejenih kvot. Komisija je danes sprejela ukrep za zagotovitev osnovne povezljivosti. To bo gospodarskim subjektom iz Združenega kraljestva začasno omogočilo prevoz blaga v Unijo, pod pogojem, da Združeno kraljestvo podeli enakovredne pravice prevoznikom v Uniji in zagotovi pogoje poštene konkurence: </w:t>
      </w:r>
    </w:p>
    <w:p>
      <w:pPr>
        <w:pStyle w:val="ListParagraph"/>
        <w:numPr>
          <w:ilvl w:val="0"/>
          <w:numId w:val="43"/>
        </w:numPr>
        <w:spacing w:before="240" w:after="240"/>
        <w:jc w:val="both"/>
        <w:rPr>
          <w:rFonts w:ascii="Times New Roman" w:eastAsia="Times New Roman" w:hAnsi="Times New Roman"/>
          <w:noProof/>
          <w:sz w:val="24"/>
          <w:szCs w:val="24"/>
        </w:rPr>
      </w:pPr>
      <w:r>
        <w:rPr>
          <w:rFonts w:ascii="Times New Roman" w:hAnsi="Times New Roman"/>
          <w:noProof/>
          <w:sz w:val="24"/>
        </w:rPr>
        <w:t>predlog uredbe</w:t>
      </w:r>
      <w:r>
        <w:rPr>
          <w:rStyle w:val="EndnoteReference"/>
          <w:rFonts w:ascii="Times New Roman" w:hAnsi="Times New Roman"/>
          <w:noProof/>
          <w:sz w:val="24"/>
        </w:rPr>
        <w:endnoteReference w:id="8"/>
      </w:r>
      <w:r>
        <w:rPr>
          <w:rFonts w:ascii="Times New Roman" w:hAnsi="Times New Roman"/>
          <w:noProof/>
          <w:sz w:val="24"/>
        </w:rPr>
        <w:t xml:space="preserve">, ki prevoznikom v cestnem prevozu blaga z dovoljenjem Združenega kraljestvu omogoča začasen (9 mesecev) dostop do cestnega prevoza blaga med ozemljem Združenega kraljestva in državami članicami EU-27. </w:t>
      </w:r>
    </w:p>
    <w:p>
      <w:pPr>
        <w:spacing w:before="240" w:after="240"/>
        <w:jc w:val="both"/>
        <w:rPr>
          <w:rFonts w:ascii="Times New Roman" w:eastAsia="Times New Roman" w:hAnsi="Times New Roman"/>
          <w:noProof/>
          <w:sz w:val="24"/>
          <w:szCs w:val="24"/>
        </w:rPr>
      </w:pPr>
      <w:r>
        <w:rPr>
          <w:rFonts w:ascii="Times New Roman" w:hAnsi="Times New Roman"/>
          <w:noProof/>
          <w:sz w:val="24"/>
        </w:rPr>
        <w:t xml:space="preserve">Ukrepanje za nepredvidljive razmere na ravni EU je potrebno za zagotovitev ustreznega pravnega okvira na področju cestnega prevoza blaga. Pravo EU je nadomestilo stare dvostranske sporazume o pravicah na področju cestnega prevoza blaga, ki jih ni mogoče obnoviti. Vsak nov dvostranski sporazum bi sprožil vprašanja v zvezi s pristojnostjo in ne bi omogočal cestnega prevoza blaga v Združeno kraljestvo, ki bi ga izvajal gospodarski subjekt druge države članice (navzkrižna trgovina). Zato taki sporazumi niso praktična rešitev. </w:t>
      </w:r>
    </w:p>
    <w:p>
      <w:pPr>
        <w:keepNext/>
        <w:spacing w:before="360" w:after="240"/>
        <w:rPr>
          <w:rFonts w:ascii="Times New Roman" w:eastAsia="Times New Roman" w:hAnsi="Times New Roman"/>
          <w:b/>
          <w:i/>
          <w:noProof/>
          <w:sz w:val="24"/>
          <w:szCs w:val="24"/>
        </w:rPr>
      </w:pPr>
      <w:r>
        <w:rPr>
          <w:rFonts w:ascii="Times New Roman" w:hAnsi="Times New Roman"/>
          <w:b/>
          <w:i/>
          <w:noProof/>
          <w:sz w:val="24"/>
        </w:rPr>
        <w:t>Carine in izvoz blaga</w:t>
      </w:r>
    </w:p>
    <w:p>
      <w:pPr>
        <w:spacing w:before="240" w:after="120"/>
        <w:jc w:val="both"/>
        <w:rPr>
          <w:rFonts w:ascii="Times New Roman" w:eastAsia="Times New Roman" w:hAnsi="Times New Roman"/>
          <w:noProof/>
          <w:sz w:val="24"/>
          <w:szCs w:val="24"/>
        </w:rPr>
      </w:pPr>
      <w:r>
        <w:rPr>
          <w:rFonts w:ascii="Times New Roman" w:hAnsi="Times New Roman"/>
          <w:noProof/>
          <w:sz w:val="24"/>
        </w:rPr>
        <w:t xml:space="preserve">Če Sporazum o izstopu ne bo ratificiran, se bo od datuma izstopa uporabljala vsa zadevna zakonodaja EU o uvoženem in izvoženem blagu. To vključuje obračunavanje dajatev in davkov ter spoštovanje formalnosti in kontrol, ki jih zahteva veljavni pravni okvir, da se zagotovijo enaki konkurenčni pogoji.  </w:t>
      </w:r>
    </w:p>
    <w:p>
      <w:pPr>
        <w:spacing w:before="240" w:after="120"/>
        <w:jc w:val="both"/>
        <w:rPr>
          <w:rFonts w:ascii="Times New Roman" w:eastAsia="Times New Roman" w:hAnsi="Times New Roman"/>
          <w:noProof/>
          <w:sz w:val="24"/>
          <w:szCs w:val="24"/>
        </w:rPr>
      </w:pPr>
      <w:r>
        <w:rPr>
          <w:rFonts w:ascii="Times New Roman" w:hAnsi="Times New Roman"/>
          <w:noProof/>
          <w:sz w:val="24"/>
        </w:rPr>
        <w:t>Ukrepanje držav članic je še naprej bistvenega pomena. Države članice morajo sprejeti vse potrebne ukrepe, da bodo od datuma izstopa lahko uporabljale carinski zakonik Unije in ustrezna pravila o posrednem obdavčenju za ves uvoz iz Združenega kraljestva in izvoz vanj, če Sporazum o izstopu ne bo ratificiran. Uporabiti bi morale obstoječe možnosti za izdajo dovoljenj za ukrepe za poenostavitev iz carinskega zakonika Unije. Komisija je na srečanjih z državami članicami predložila podrobne informacije o možnostih, ki so na voljo v skladu s carinskim zakonikom Unije.</w:t>
      </w:r>
    </w:p>
    <w:p>
      <w:pPr>
        <w:spacing w:before="240" w:after="120"/>
        <w:jc w:val="both"/>
        <w:rPr>
          <w:rFonts w:ascii="Times New Roman" w:eastAsia="Times New Roman" w:hAnsi="Times New Roman"/>
          <w:noProof/>
          <w:sz w:val="24"/>
          <w:szCs w:val="24"/>
        </w:rPr>
      </w:pPr>
      <w:r>
        <w:rPr>
          <w:rFonts w:ascii="Times New Roman" w:hAnsi="Times New Roman"/>
          <w:noProof/>
          <w:sz w:val="24"/>
        </w:rPr>
        <w:t xml:space="preserve">Komisija je danes sprejela tudi naslednji tehnični ukrep: </w:t>
      </w:r>
    </w:p>
    <w:p>
      <w:pPr>
        <w:pStyle w:val="ListParagraph"/>
        <w:numPr>
          <w:ilvl w:val="0"/>
          <w:numId w:val="42"/>
        </w:numPr>
        <w:spacing w:before="240" w:after="120"/>
        <w:jc w:val="both"/>
        <w:rPr>
          <w:rFonts w:ascii="Times New Roman" w:eastAsia="Times New Roman" w:hAnsi="Times New Roman"/>
          <w:noProof/>
          <w:sz w:val="24"/>
          <w:szCs w:val="24"/>
        </w:rPr>
      </w:pPr>
      <w:r>
        <w:rPr>
          <w:rFonts w:ascii="Times New Roman" w:hAnsi="Times New Roman"/>
          <w:noProof/>
          <w:sz w:val="24"/>
        </w:rPr>
        <w:t>delegirano uredbo</w:t>
      </w:r>
      <w:r>
        <w:rPr>
          <w:rStyle w:val="EndnoteReference"/>
          <w:rFonts w:ascii="Times New Roman" w:hAnsi="Times New Roman"/>
          <w:noProof/>
          <w:sz w:val="24"/>
        </w:rPr>
        <w:endnoteReference w:id="9"/>
      </w:r>
      <w:r>
        <w:rPr>
          <w:rFonts w:ascii="Times New Roman" w:hAnsi="Times New Roman"/>
          <w:noProof/>
          <w:sz w:val="24"/>
        </w:rPr>
        <w:t xml:space="preserve"> za vključitev morij, ki obdajajo Združeno kraljestvo, v določbe o rokih, v katerih je treba vložiti vstopne skupne deklaracije in predodhodne deklaracije pred vstopom na carinsko območje Unije ali ob izstopu z njega.</w:t>
      </w:r>
    </w:p>
    <w:p>
      <w:pPr>
        <w:pStyle w:val="NormalWeb"/>
        <w:spacing w:before="360" w:after="240"/>
        <w:jc w:val="both"/>
        <w:rPr>
          <w:noProof/>
        </w:rPr>
      </w:pPr>
      <w:r>
        <w:rPr>
          <w:noProof/>
        </w:rPr>
        <w:t xml:space="preserve">Če Sporazum o izstopu ne bo ratificiran, bodo za izvoz </w:t>
      </w:r>
      <w:r>
        <w:rPr>
          <w:b/>
          <w:noProof/>
        </w:rPr>
        <w:t>blaga z dvojno rabo</w:t>
      </w:r>
      <w:r>
        <w:rPr>
          <w:noProof/>
        </w:rPr>
        <w:t xml:space="preserve"> iz EU v Združeno kraljestvo od datuma izstopa potrebna individualna dovoljenja. Blago z dvojno rabo so blago, programska oprema in tehnologija, ki se lahko uporabljajo za civilne in vojaške namene. Unija nadzoruje izvoz, tranzit in posredovanje blaga z dvojno rabo, tako da lahko prispeva k mednarodnemu miru in varnosti ter preprečuje širjenje orožja za množično uničevanje (WMD). Splošna izvozna dovoljenja Unije omogočajo izvoz blaga z dvojno rabo v nekatere namembne kraje pod določenimi pogoji</w:t>
      </w:r>
      <w:r>
        <w:rPr>
          <w:rStyle w:val="FootnoteReference"/>
          <w:noProof/>
        </w:rPr>
        <w:footnoteReference w:id="20"/>
      </w:r>
      <w:r>
        <w:rPr>
          <w:noProof/>
        </w:rPr>
        <w:t>. Da bi Komisija olajšala nadzor izvoza blaga z dvojno rabo v Združeno kraljestvo od datuma izstopa, če Sporazum o izstopu ne bo ratificiran, in zagotovila pravilno delovanje režima izvoznih dovoljenj za vse države članice EU-27, je sprejela naslednji akt:</w:t>
      </w:r>
    </w:p>
    <w:p>
      <w:pPr>
        <w:pStyle w:val="NormalWeb"/>
        <w:numPr>
          <w:ilvl w:val="0"/>
          <w:numId w:val="36"/>
        </w:numPr>
        <w:ind w:left="714" w:hanging="357"/>
        <w:jc w:val="both"/>
        <w:rPr>
          <w:noProof/>
        </w:rPr>
      </w:pPr>
      <w:r>
        <w:rPr>
          <w:noProof/>
        </w:rPr>
        <w:t>predlog uredbe</w:t>
      </w:r>
      <w:r>
        <w:rPr>
          <w:rStyle w:val="EndnoteReference"/>
          <w:noProof/>
        </w:rPr>
        <w:endnoteReference w:id="10"/>
      </w:r>
      <w:r>
        <w:rPr>
          <w:noProof/>
        </w:rPr>
        <w:t xml:space="preserve"> o vključitvi Združenega kraljestva na seznam držav, za katere je splošno izvozno dovoljenje za izvoz blaga veljavno v celotni EU.</w:t>
      </w:r>
    </w:p>
    <w:p>
      <w:pPr>
        <w:keepNext/>
        <w:spacing w:before="360" w:after="240"/>
        <w:jc w:val="both"/>
        <w:rPr>
          <w:rFonts w:ascii="Times New Roman" w:eastAsia="Times New Roman" w:hAnsi="Times New Roman"/>
          <w:noProof/>
          <w:sz w:val="24"/>
          <w:szCs w:val="24"/>
        </w:rPr>
      </w:pPr>
      <w:r>
        <w:rPr>
          <w:rFonts w:ascii="Times New Roman" w:hAnsi="Times New Roman"/>
          <w:b/>
          <w:i/>
          <w:noProof/>
          <w:sz w:val="24"/>
        </w:rPr>
        <w:t>Podnebna politika Evropske unije</w:t>
      </w:r>
    </w:p>
    <w:p>
      <w:pPr>
        <w:pStyle w:val="NormalWeb"/>
        <w:spacing w:after="240"/>
        <w:jc w:val="both"/>
        <w:rPr>
          <w:noProof/>
        </w:rPr>
      </w:pPr>
      <w:r>
        <w:rPr>
          <w:noProof/>
        </w:rPr>
        <w:t xml:space="preserve">Podnebno politiko Evropske unije sestavljajo različni instrumenti, zlasti sistem za trgovanje z emisijami in sistem kvot za dajanje fluoriranih ogljikovodikov na trg. </w:t>
      </w:r>
      <w:r>
        <w:rPr>
          <w:b/>
          <w:noProof/>
        </w:rPr>
        <w:t>Sistem za trgovanje z emisijami</w:t>
      </w:r>
      <w:r>
        <w:rPr>
          <w:noProof/>
        </w:rPr>
        <w:t xml:space="preserve"> deluje na podlagi tržnih mehanizmov za ponudbo pravic do emisij. Če Sporazum o izstopu ne bo ratificiran, Združeno kraljestvo ne bo več sodelovalo v sistemu, pravice, ki jih je izdalo, pa lahko ustvarijo presežno ponudbo. Da bi Komisija preprečila posledično izkrivljanje trga ter zagotovitla nemoteno delovanje in okoljsko celovitost sistema za trgovanje z emisijami, je sprejela naslednji akt:</w:t>
      </w:r>
    </w:p>
    <w:p>
      <w:pPr>
        <w:pStyle w:val="NormalWeb"/>
        <w:numPr>
          <w:ilvl w:val="0"/>
          <w:numId w:val="36"/>
        </w:numPr>
        <w:spacing w:before="120" w:after="120"/>
        <w:jc w:val="both"/>
        <w:rPr>
          <w:noProof/>
        </w:rPr>
      </w:pPr>
      <w:r>
        <w:rPr>
          <w:noProof/>
        </w:rPr>
        <w:t>sklep Komisije</w:t>
      </w:r>
      <w:r>
        <w:rPr>
          <w:rStyle w:val="EndnoteReference"/>
          <w:noProof/>
        </w:rPr>
        <w:endnoteReference w:id="11"/>
      </w:r>
      <w:r>
        <w:rPr>
          <w:noProof/>
        </w:rPr>
        <w:t xml:space="preserve"> o </w:t>
      </w:r>
      <w:r>
        <w:rPr>
          <w:b/>
          <w:noProof/>
        </w:rPr>
        <w:t>začasnem odvzemu</w:t>
      </w:r>
      <w:r>
        <w:rPr>
          <w:noProof/>
        </w:rPr>
        <w:t xml:space="preserve"> brezplačne dodelitve pravic do emisij, izvajanja dražb in izmenjave mednarodnih dobropisov za Združeno kraljestvo z učinkom od 1. januarja 2019.</w:t>
      </w:r>
    </w:p>
    <w:p>
      <w:pPr>
        <w:pStyle w:val="NormalWeb"/>
        <w:spacing w:before="240" w:after="240"/>
        <w:jc w:val="both"/>
        <w:rPr>
          <w:noProof/>
        </w:rPr>
      </w:pPr>
      <w:r>
        <w:rPr>
          <w:noProof/>
        </w:rPr>
        <w:t xml:space="preserve">Poleg tega Združeno kraljestvo ne bo več sodelovalo v sistemu kvot za dajanje </w:t>
      </w:r>
      <w:r>
        <w:rPr>
          <w:b/>
          <w:noProof/>
        </w:rPr>
        <w:t>fluoriranih ogljikovodikov na trg</w:t>
      </w:r>
      <w:r>
        <w:rPr>
          <w:noProof/>
        </w:rPr>
        <w:t xml:space="preserve">, če Sporazum o izstopu ne bo ratificiran. Komisija je zato sprejela naslednja ukrepa: </w:t>
      </w:r>
    </w:p>
    <w:p>
      <w:pPr>
        <w:pStyle w:val="NormalWeb"/>
        <w:numPr>
          <w:ilvl w:val="0"/>
          <w:numId w:val="36"/>
        </w:numPr>
        <w:spacing w:before="120" w:after="120"/>
        <w:ind w:left="714" w:hanging="357"/>
        <w:jc w:val="both"/>
        <w:rPr>
          <w:noProof/>
        </w:rPr>
      </w:pPr>
      <w:r>
        <w:rPr>
          <w:noProof/>
        </w:rPr>
        <w:t>izvedbeni sklep</w:t>
      </w:r>
      <w:r>
        <w:rPr>
          <w:rStyle w:val="EndnoteReference"/>
          <w:noProof/>
        </w:rPr>
        <w:endnoteReference w:id="12"/>
      </w:r>
      <w:r>
        <w:rPr>
          <w:noProof/>
        </w:rPr>
        <w:t>, ki omogoča ustrezno letno dodelitev kvot družbam iz Združenega kraljestva za dostop do trga EU-27;</w:t>
      </w:r>
    </w:p>
    <w:p>
      <w:pPr>
        <w:pStyle w:val="NormalWeb"/>
        <w:numPr>
          <w:ilvl w:val="0"/>
          <w:numId w:val="25"/>
        </w:numPr>
        <w:spacing w:before="120" w:after="120"/>
        <w:ind w:left="714" w:hanging="357"/>
        <w:jc w:val="both"/>
        <w:rPr>
          <w:noProof/>
        </w:rPr>
      </w:pPr>
      <w:r>
        <w:rPr>
          <w:noProof/>
        </w:rPr>
        <w:t>izvedbeno uredbo</w:t>
      </w:r>
      <w:r>
        <w:rPr>
          <w:rStyle w:val="EndnoteReference"/>
          <w:noProof/>
        </w:rPr>
        <w:endnoteReference w:id="13"/>
      </w:r>
      <w:r>
        <w:rPr>
          <w:noProof/>
        </w:rPr>
        <w:t xml:space="preserve"> za zagotovitev, da družbe pri poročanju razlikujejo med trgom EU in trgom Združenega kraljestva, da se omogoči pravilna dodelitev kvot v prihodnosti. </w:t>
      </w:r>
    </w:p>
    <w:p>
      <w:pPr>
        <w:pStyle w:val="NormalWeb"/>
        <w:keepNext/>
        <w:spacing w:before="360" w:after="240"/>
        <w:jc w:val="both"/>
        <w:rPr>
          <w:b/>
          <w:i/>
          <w:noProof/>
        </w:rPr>
      </w:pPr>
      <w:r>
        <w:rPr>
          <w:b/>
          <w:i/>
          <w:noProof/>
        </w:rPr>
        <w:t>Drugi sektorji</w:t>
      </w:r>
    </w:p>
    <w:p>
      <w:pPr>
        <w:pStyle w:val="NormalWeb"/>
        <w:spacing w:after="240"/>
        <w:jc w:val="both"/>
        <w:rPr>
          <w:noProof/>
        </w:rPr>
      </w:pPr>
      <w:r>
        <w:rPr>
          <w:noProof/>
        </w:rPr>
        <w:t xml:space="preserve">Komisija ponovno poudarja svojo zavezo, da bo glede na poseben pomen regionalnega sodelovanja na tem območju zagotovila, da se bodo </w:t>
      </w:r>
      <w:r>
        <w:rPr>
          <w:b/>
          <w:noProof/>
        </w:rPr>
        <w:t>sedanji programi med mejnimi grofijami Irske in Severne Irske</w:t>
      </w:r>
      <w:r>
        <w:rPr>
          <w:noProof/>
        </w:rPr>
        <w:t xml:space="preserve"> nadaljevali ne glede na scenarij. V ta namen je danes sprejela naslednji akt:</w:t>
      </w:r>
    </w:p>
    <w:p>
      <w:pPr>
        <w:pStyle w:val="NormalWeb"/>
        <w:numPr>
          <w:ilvl w:val="0"/>
          <w:numId w:val="37"/>
        </w:numPr>
        <w:jc w:val="both"/>
        <w:rPr>
          <w:noProof/>
        </w:rPr>
      </w:pPr>
      <w:r>
        <w:rPr>
          <w:noProof/>
        </w:rPr>
        <w:t>predlog uredbe</w:t>
      </w:r>
      <w:r>
        <w:rPr>
          <w:rStyle w:val="EndnoteReference"/>
          <w:noProof/>
        </w:rPr>
        <w:endnoteReference w:id="14"/>
      </w:r>
      <w:r>
        <w:rPr>
          <w:noProof/>
        </w:rPr>
        <w:t xml:space="preserve"> za zagotovitev nadaljevanja programov PEACE IV (Irska-Združeno kraljestvo) in Združeno kraljestvo-Irska (Irska-Severna Irska-Škotska) do konca leta 2020.</w:t>
      </w:r>
    </w:p>
    <w:p>
      <w:pPr>
        <w:pStyle w:val="NormalWeb"/>
        <w:spacing w:before="240" w:after="240"/>
        <w:jc w:val="both"/>
        <w:rPr>
          <w:noProof/>
        </w:rPr>
      </w:pPr>
      <w:r>
        <w:rPr>
          <w:noProof/>
        </w:rPr>
        <w:t>Komisija poudarja, da je za naslednji večletni finančni okvir predlagala nadaljnjo in okrepljeno čezmejno podporo za mir in spravo v obmejnih grofijah Irske in Severne Irske</w:t>
      </w:r>
      <w:r>
        <w:rPr>
          <w:rStyle w:val="FootnoteReference"/>
          <w:noProof/>
        </w:rPr>
        <w:footnoteReference w:id="21"/>
      </w:r>
      <w:r>
        <w:rPr>
          <w:noProof/>
        </w:rPr>
        <w:t>.</w:t>
      </w:r>
    </w:p>
    <w:p>
      <w:pPr>
        <w:pStyle w:val="NormalWeb"/>
        <w:spacing w:before="240" w:after="240"/>
        <w:jc w:val="both"/>
        <w:rPr>
          <w:noProof/>
        </w:rPr>
      </w:pPr>
      <w:r>
        <w:rPr>
          <w:noProof/>
        </w:rPr>
        <w:t xml:space="preserve">Zaradi izstopa Združenega kraljestva pa so potrebne tudi nekatere prilagoditve pravil o </w:t>
      </w:r>
      <w:r>
        <w:rPr>
          <w:b/>
          <w:noProof/>
        </w:rPr>
        <w:t>statističnih podatkih</w:t>
      </w:r>
      <w:r>
        <w:rPr>
          <w:noProof/>
        </w:rPr>
        <w:t>. V ta namen je Komisija danes sprejela naslednji akt:</w:t>
      </w:r>
    </w:p>
    <w:p>
      <w:pPr>
        <w:pStyle w:val="NormalWeb"/>
        <w:numPr>
          <w:ilvl w:val="0"/>
          <w:numId w:val="37"/>
        </w:numPr>
        <w:jc w:val="both"/>
        <w:rPr>
          <w:noProof/>
        </w:rPr>
      </w:pPr>
      <w:r>
        <w:rPr>
          <w:noProof/>
        </w:rPr>
        <w:t>delegirano uredbo Komisije</w:t>
      </w:r>
      <w:r>
        <w:rPr>
          <w:rStyle w:val="EndnoteReference"/>
          <w:noProof/>
        </w:rPr>
        <w:endnoteReference w:id="15"/>
      </w:r>
      <w:r>
        <w:rPr>
          <w:noProof/>
        </w:rPr>
        <w:t xml:space="preserve"> o vključitvi Združenega kraljestva v statistične podatke o plačilni bilanci, mednarodni trgovini s storitvami in neposrednih tujih naložbah.</w:t>
      </w:r>
    </w:p>
    <w:p>
      <w:pPr>
        <w:pStyle w:val="NormalWeb"/>
        <w:numPr>
          <w:ilvl w:val="0"/>
          <w:numId w:val="29"/>
        </w:numPr>
        <w:spacing w:before="480"/>
        <w:ind w:hanging="720"/>
        <w:jc w:val="both"/>
        <w:rPr>
          <w:b/>
          <w:noProof/>
        </w:rPr>
      </w:pPr>
      <w:r>
        <w:rPr>
          <w:b/>
          <w:noProof/>
        </w:rPr>
        <w:t>Nadaljnji koraki v zvezi z nepredvidljivimi razmerami</w:t>
      </w:r>
    </w:p>
    <w:p>
      <w:pPr>
        <w:spacing w:before="120" w:after="200"/>
        <w:jc w:val="both"/>
        <w:rPr>
          <w:rFonts w:ascii="Times New Roman" w:eastAsia="Times New Roman" w:hAnsi="Times New Roman"/>
          <w:noProof/>
          <w:sz w:val="24"/>
          <w:szCs w:val="24"/>
        </w:rPr>
      </w:pPr>
      <w:r>
        <w:rPr>
          <w:rFonts w:ascii="Times New Roman" w:hAnsi="Times New Roman"/>
          <w:noProof/>
          <w:sz w:val="24"/>
        </w:rPr>
        <w:t>Komisija bo v prihodnjih tednih še naprej izvajala svoj akcijski načrt za nepredvidljive razmere. Še naprej bo spremljala potrebo po dodatnih ukrepih.</w:t>
      </w:r>
    </w:p>
    <w:p>
      <w:pPr>
        <w:spacing w:before="120" w:after="200"/>
        <w:jc w:val="both"/>
        <w:rPr>
          <w:rFonts w:ascii="Times New Roman" w:eastAsia="Times New Roman" w:hAnsi="Times New Roman"/>
          <w:noProof/>
          <w:sz w:val="24"/>
          <w:szCs w:val="24"/>
        </w:rPr>
      </w:pPr>
      <w:r>
        <w:rPr>
          <w:rFonts w:ascii="Times New Roman" w:hAnsi="Times New Roman"/>
          <w:noProof/>
          <w:sz w:val="24"/>
        </w:rPr>
        <w:t xml:space="preserve">Nadaljevalo se bo tesno usklajevanje z državami članicami, tudi na sektorskih seminarjih v delovni skupini Sveta (člen 50). Komisija bo na sejah Evropskega parlamenta in Sveta o vprašanjih pripravljenosti in nepredvidljivih razmer sodelovala tako pogosto, kot bo to potrebno. </w:t>
      </w:r>
    </w:p>
    <w:p>
      <w:pPr>
        <w:spacing w:before="240" w:after="200"/>
        <w:jc w:val="both"/>
        <w:rPr>
          <w:rFonts w:ascii="Times New Roman" w:eastAsia="Times New Roman" w:hAnsi="Times New Roman"/>
          <w:noProof/>
          <w:sz w:val="24"/>
          <w:szCs w:val="24"/>
        </w:rPr>
      </w:pPr>
      <w:r>
        <w:rPr>
          <w:rFonts w:ascii="Times New Roman" w:hAnsi="Times New Roman"/>
          <w:noProof/>
          <w:sz w:val="24"/>
        </w:rPr>
        <w:t xml:space="preserve">Komisija sozakonodajalca poziva, naj zagotovita </w:t>
      </w:r>
      <w:r>
        <w:rPr>
          <w:rFonts w:ascii="Times New Roman" w:hAnsi="Times New Roman"/>
          <w:b/>
          <w:noProof/>
          <w:sz w:val="24"/>
        </w:rPr>
        <w:t>sprejetje predlaganih zakonodajnih aktov</w:t>
      </w:r>
      <w:r>
        <w:rPr>
          <w:rFonts w:ascii="Times New Roman" w:hAnsi="Times New Roman"/>
          <w:noProof/>
          <w:sz w:val="24"/>
        </w:rPr>
        <w:t xml:space="preserve">, da bodo začeli veljati do datuma izstopa Združenega kraljestva. Poleg tega ju opozarja, da je pomembno, da začnejo delegirani akti veljati čim prej. </w:t>
      </w:r>
    </w:p>
    <w:p>
      <w:pPr>
        <w:spacing w:before="240" w:after="200"/>
        <w:jc w:val="both"/>
        <w:rPr>
          <w:rFonts w:ascii="Times New Roman" w:eastAsia="Times New Roman" w:hAnsi="Times New Roman"/>
          <w:noProof/>
          <w:sz w:val="24"/>
          <w:szCs w:val="24"/>
        </w:rPr>
      </w:pPr>
      <w:r>
        <w:rPr>
          <w:rFonts w:ascii="Times New Roman" w:hAnsi="Times New Roman"/>
          <w:noProof/>
          <w:sz w:val="24"/>
        </w:rPr>
        <w:t xml:space="preserve">Nazadnje Komisija države članice ponovno poziva, </w:t>
      </w:r>
      <w:r>
        <w:rPr>
          <w:rFonts w:ascii="Times New Roman" w:hAnsi="Times New Roman"/>
          <w:b/>
          <w:noProof/>
          <w:sz w:val="24"/>
        </w:rPr>
        <w:t>naj ostanejo enotne tudi pri ukrepanju ob nepredvidljivih razmerah</w:t>
      </w:r>
      <w:r>
        <w:rPr>
          <w:rFonts w:ascii="Times New Roman" w:hAnsi="Times New Roman"/>
          <w:noProof/>
          <w:sz w:val="24"/>
        </w:rPr>
        <w:t xml:space="preserve"> ter naj se vzdržijo dvostranskih dogovorov, ki bi bili nezdružljivi s pravom EU in ki ne morejo doseči enakih rezultatov kot ukrepi na ravni EU. Takšni dogovori bi tudi zapletli vzpostavitev prihodnjih odnosov med EU in Združenim kraljestvom. </w:t>
      </w:r>
    </w:p>
    <w:p>
      <w:pPr>
        <w:spacing w:after="200"/>
        <w:jc w:val="center"/>
        <w:rPr>
          <w:rFonts w:ascii="Times New Roman" w:hAnsi="Times New Roman"/>
          <w:b/>
          <w:noProof/>
        </w:rPr>
      </w:pPr>
      <w:r>
        <w:rPr>
          <w:noProof/>
        </w:rPr>
        <w:br w:type="page"/>
      </w:r>
    </w:p>
    <w:p>
      <w:pPr>
        <w:spacing w:after="200"/>
        <w:jc w:val="center"/>
        <w:rPr>
          <w:rFonts w:ascii="Times New Roman" w:eastAsia="Times New Roman" w:hAnsi="Times New Roman"/>
          <w:b/>
          <w:noProof/>
          <w:sz w:val="24"/>
          <w:szCs w:val="24"/>
        </w:rPr>
      </w:pPr>
      <w:r>
        <w:rPr>
          <w:rFonts w:ascii="Times New Roman" w:hAnsi="Times New Roman"/>
          <w:b/>
          <w:noProof/>
        </w:rPr>
        <w:t>Seznam pravnih aktov, ki jih je sprejela Komisija</w:t>
      </w:r>
    </w:p>
    <w:sectPr>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 w:id="2">
    <w:p>
      <w:pPr>
        <w:pStyle w:val="EndnoteText"/>
        <w:spacing w:before="120" w:after="120"/>
        <w:ind w:left="720" w:hanging="720"/>
        <w:jc w:val="both"/>
        <w:rPr>
          <w:lang w:val="en-GB"/>
        </w:rPr>
      </w:pPr>
      <w:r>
        <w:rPr>
          <w:rStyle w:val="EndnoteReference"/>
        </w:rPr>
        <w:endnoteRef/>
      </w:r>
      <w:r>
        <w:t xml:space="preserve"> </w:t>
      </w:r>
      <w:r>
        <w:tab/>
      </w:r>
      <w:r>
        <w:rPr>
          <w:rFonts w:ascii="Times New Roman" w:hAnsi="Times New Roman"/>
        </w:rPr>
        <w:t>Izvedbeni sklep Komisije (EU) o določitvi, da je regulativni okvir, ki se uporablja za centralne nasprotne stranke v Združenem kraljestvu Velika Britanija in Severna Irska, za omejeno obdobje enakovreden v skladu z Uredbo (EU) št. 648/2012 Evropskega parlamenta in Sveta (C(2018) 9139).</w:t>
      </w:r>
    </w:p>
  </w:endnote>
  <w:endnote w:id="3">
    <w:p>
      <w:pPr>
        <w:pStyle w:val="EndnoteText"/>
        <w:spacing w:before="120" w:after="120"/>
        <w:ind w:left="720" w:hanging="720"/>
        <w:jc w:val="both"/>
        <w:rPr>
          <w:lang w:val="en-GB"/>
        </w:rPr>
      </w:pPr>
      <w:r>
        <w:rPr>
          <w:rStyle w:val="EndnoteReference"/>
        </w:rPr>
        <w:endnoteRef/>
      </w:r>
      <w:r>
        <w:t xml:space="preserve"> </w:t>
      </w:r>
      <w:r>
        <w:tab/>
      </w:r>
      <w:r>
        <w:rPr>
          <w:rFonts w:ascii="Times New Roman" w:hAnsi="Times New Roman"/>
        </w:rPr>
        <w:t>Izvedbeni sklep Komisije (EU) o določitvi, da je regulativni okvir, ki se uporablja za centralne depotne družbe v Združenem kraljestvu Velika Britanija in Severna Irska, za omejeno obdobje enakovreden v skladu z Uredbo (EU) št. 909/2014 Evropskega parlamenta in Sveta (C(2018) 9138).</w:t>
      </w:r>
    </w:p>
  </w:endnote>
  <w:endnote w:id="4">
    <w:p>
      <w:pPr>
        <w:pStyle w:val="EndnoteText"/>
        <w:spacing w:before="120" w:after="120"/>
        <w:ind w:left="720" w:hanging="720"/>
        <w:jc w:val="both"/>
        <w:rPr>
          <w:lang w:val="en-GB"/>
        </w:rPr>
      </w:pPr>
      <w:r>
        <w:rPr>
          <w:rStyle w:val="EndnoteReference"/>
        </w:rPr>
        <w:endnoteRef/>
      </w:r>
      <w:r>
        <w:t xml:space="preserve"> </w:t>
      </w:r>
      <w:r>
        <w:tab/>
      </w:r>
      <w:r>
        <w:rPr>
          <w:rFonts w:ascii="Times New Roman" w:hAnsi="Times New Roman"/>
        </w:rPr>
        <w:t>Delegirana uredba Komisije (EU) o spremembi Delegirane uredbe (EU) 2015/2205, Delegirane uredbe (EU) 2016/592 in Delegirane uredbe (EU) 2016/1178 o dopolnitvi Uredbe (EU) št. 648/2012 Evropskega parlamenta in Sveta v zvezi z datumi, na katere za določene vrste pogodb začne veljati obveznost kliringa (C(2018) 9122).</w:t>
      </w:r>
    </w:p>
  </w:endnote>
  <w:endnote w:id="5">
    <w:p>
      <w:pPr>
        <w:pStyle w:val="EndnoteText"/>
        <w:spacing w:before="120" w:after="120"/>
        <w:ind w:left="720" w:hanging="720"/>
        <w:jc w:val="both"/>
        <w:rPr>
          <w:lang w:val="en-GB"/>
        </w:rPr>
      </w:pPr>
      <w:r>
        <w:rPr>
          <w:rStyle w:val="EndnoteReference"/>
        </w:rPr>
        <w:endnoteRef/>
      </w:r>
      <w:r>
        <w:t xml:space="preserve"> </w:t>
      </w:r>
      <w:r>
        <w:tab/>
      </w:r>
      <w:r>
        <w:rPr>
          <w:rFonts w:ascii="Times New Roman" w:hAnsi="Times New Roman"/>
        </w:rPr>
        <w:t>Delegirana uredba Komisije (EU) o spremembi Delegirane uredbe (EU) 2016/2251 o dopolnitvi Uredbe (EU) št. 648/2012 Evropskega parlamenta in Sveta v zvezi z datumom, do katerega lahko nasprotne stranke še naprej uporabljajo svoje postopke obvladovanja tveganja za nekatere pogodbe o izvedenih finančnih instrumentih OTC brez opravljenega kliringa prek CNS (C(2018) 9118).</w:t>
      </w:r>
    </w:p>
  </w:endnote>
  <w:endnote w:id="6">
    <w:p>
      <w:pPr>
        <w:pStyle w:val="EndnoteText"/>
        <w:spacing w:before="120" w:after="120"/>
        <w:ind w:left="720" w:hanging="720"/>
        <w:jc w:val="both"/>
        <w:rPr>
          <w:lang w:val="en-GB"/>
        </w:rPr>
      </w:pPr>
      <w:r>
        <w:rPr>
          <w:rStyle w:val="EndnoteReference"/>
        </w:rPr>
        <w:endnoteRef/>
      </w:r>
      <w:r>
        <w:t xml:space="preserve"> </w:t>
      </w:r>
      <w:r>
        <w:tab/>
      </w:r>
      <w:r>
        <w:rPr>
          <w:rFonts w:ascii="Times New Roman" w:hAnsi="Times New Roman"/>
        </w:rPr>
        <w:t>Predlog Komisije za uredbo Evropskega parlamenta in Sveta o skupnih pravilih za zagotavljanje osnovne letalske povezljivosti v zvezi z izstopom Združenega kraljestva Velika Britanija in Severna Irska iz Unije (COM(2018) 893 final).</w:t>
      </w:r>
    </w:p>
  </w:endnote>
  <w:endnote w:id="7">
    <w:p>
      <w:pPr>
        <w:pStyle w:val="EndnoteText"/>
        <w:spacing w:before="120" w:after="120"/>
        <w:ind w:left="720" w:hanging="720"/>
        <w:jc w:val="both"/>
        <w:rPr>
          <w:lang w:val="en-GB"/>
        </w:rPr>
      </w:pPr>
      <w:r>
        <w:rPr>
          <w:rStyle w:val="EndnoteReference"/>
        </w:rPr>
        <w:endnoteRef/>
      </w:r>
      <w:r>
        <w:t xml:space="preserve"> </w:t>
      </w:r>
      <w:r>
        <w:tab/>
      </w:r>
      <w:r>
        <w:rPr>
          <w:rFonts w:ascii="Times New Roman" w:hAnsi="Times New Roman"/>
        </w:rPr>
        <w:t>Predlog Komisije za uredbo Evropskega parlamenta in Sveta o nekaterih vidikih varnosti v letalstvu v zvezi z izstopom Združenega kraljestva Velika Britanija in Severna Irska iz Evropske unije (COM(2018) 894 final).</w:t>
      </w:r>
    </w:p>
  </w:endnote>
  <w:endnote w:id="8">
    <w:p>
      <w:pPr>
        <w:pStyle w:val="EndnoteText"/>
        <w:spacing w:before="120" w:after="120"/>
        <w:ind w:left="720" w:hanging="720"/>
        <w:jc w:val="both"/>
        <w:rPr>
          <w:lang w:val="en-GB"/>
        </w:rPr>
      </w:pPr>
      <w:r>
        <w:rPr>
          <w:rStyle w:val="EndnoteReference"/>
        </w:rPr>
        <w:endnoteRef/>
      </w:r>
      <w:r>
        <w:t xml:space="preserve"> </w:t>
      </w:r>
      <w:r>
        <w:tab/>
      </w:r>
      <w:r>
        <w:rPr>
          <w:rFonts w:ascii="Times New Roman" w:hAnsi="Times New Roman"/>
        </w:rPr>
        <w:t>Predlog Komisije za uredbo Evropskega parlamenta in Sveta o skupnih pravilih za zagotavljanje osnovne povezljivosti cestnega prevoza blaga v zvezi z izstopom Združenega kraljestva Velika Britanija in Severna Irska iz Unije (COM(2018) 895 final).</w:t>
      </w:r>
    </w:p>
  </w:endnote>
  <w:endnote w:id="9">
    <w:p>
      <w:pPr>
        <w:pStyle w:val="EndnoteText"/>
        <w:ind w:left="720" w:hanging="720"/>
        <w:jc w:val="both"/>
        <w:rPr>
          <w:lang w:val="en-GB"/>
        </w:rPr>
      </w:pPr>
      <w:r>
        <w:rPr>
          <w:rStyle w:val="EndnoteReference"/>
        </w:rPr>
        <w:endnoteRef/>
      </w:r>
      <w:r>
        <w:t xml:space="preserve"> </w:t>
      </w:r>
      <w:r>
        <w:tab/>
      </w:r>
      <w:r>
        <w:rPr>
          <w:rFonts w:ascii="Times New Roman" w:hAnsi="Times New Roman"/>
        </w:rPr>
        <w:t>Delegirana uredba Komisije o spremembi Delegirane uredbe (EU) 2015/2446 glede rokov za vložitev vstopnih skupnih deklaracij in predodhodnih deklaracij pri prevozu po morju iz Združenega kraljestva Velika Britanija in Severna Irska, Kanalskih otokov in otoka Man ter na ta območja (C(2018) 9094).</w:t>
      </w:r>
    </w:p>
  </w:endnote>
  <w:endnote w:id="10">
    <w:p>
      <w:pPr>
        <w:pStyle w:val="EndnoteText"/>
        <w:spacing w:before="120" w:after="120"/>
        <w:ind w:left="720" w:hanging="720"/>
        <w:jc w:val="both"/>
        <w:rPr>
          <w:lang w:val="en-GB"/>
        </w:rPr>
      </w:pPr>
      <w:r>
        <w:rPr>
          <w:rStyle w:val="EndnoteReference"/>
        </w:rPr>
        <w:endnoteRef/>
      </w:r>
      <w:r>
        <w:t xml:space="preserve"> </w:t>
      </w:r>
      <w:r>
        <w:tab/>
      </w:r>
      <w:r>
        <w:rPr>
          <w:rFonts w:ascii="Times New Roman" w:hAnsi="Times New Roman"/>
        </w:rPr>
        <w:t>Predlog Komisije za uredbo Evropskega parlamenta in Sveta o spremembi Uredbe Sveta (ES) št. 428/2009 z izdajo splošnega izvoznega dovoljenja Unije za izvoz nekaterega blaga z dvojno rabo iz Unije v Združeno kraljestvo Velika Britanija in Severna Irska (COM(2018) 891 final).</w:t>
      </w:r>
    </w:p>
  </w:endnote>
  <w:endnote w:id="11">
    <w:p>
      <w:pPr>
        <w:pStyle w:val="EndnoteText"/>
        <w:spacing w:before="120" w:after="120"/>
        <w:ind w:left="720" w:hanging="720"/>
        <w:jc w:val="both"/>
        <w:rPr>
          <w:lang w:val="en-GB"/>
        </w:rPr>
      </w:pPr>
      <w:r>
        <w:rPr>
          <w:rStyle w:val="EndnoteReference"/>
        </w:rPr>
        <w:endnoteRef/>
      </w:r>
      <w:r>
        <w:t xml:space="preserve"> </w:t>
      </w:r>
      <w:r>
        <w:tab/>
      </w:r>
      <w:r>
        <w:rPr>
          <w:rFonts w:ascii="Times New Roman" w:hAnsi="Times New Roman"/>
        </w:rPr>
        <w:t>Sklep Komisije z dne 17. decembra 2018 o navodilih centralnemu administratorju, da začasno prekine sprejemanje ustreznih postopkov za brezplačno dodelitev, dražbo in izmenjavo mednarodnih dobropisov za Združeno kraljestvo v okviru evidence transakcij Evropske unije za Združeno kraljestvo (C(2018) 8707).</w:t>
      </w:r>
    </w:p>
  </w:endnote>
  <w:endnote w:id="12">
    <w:p>
      <w:pPr>
        <w:pStyle w:val="EndnoteText"/>
        <w:spacing w:after="120"/>
        <w:ind w:left="720" w:hanging="720"/>
        <w:jc w:val="both"/>
        <w:rPr>
          <w:lang w:val="en-GB"/>
        </w:rPr>
      </w:pPr>
      <w:r>
        <w:rPr>
          <w:rStyle w:val="EndnoteReference"/>
        </w:rPr>
        <w:endnoteRef/>
      </w:r>
      <w:r>
        <w:t xml:space="preserve"> </w:t>
      </w:r>
      <w:r>
        <w:tab/>
      </w:r>
      <w:r>
        <w:rPr>
          <w:rFonts w:ascii="Times New Roman" w:hAnsi="Times New Roman"/>
        </w:rPr>
        <w:t>Izvedbeni sklep Komisije z dne 17. decembra 2018 o spremembi Izvedbenega sklepa Komisije (EU) 2017/1984 glede določitve, v skladu z Uredbo (EU) št. 517/2014 Evropskega parlamenta in Sveta o fluoriranih toplogrednih plinih, referenčnih vrednosti za obdobje od 30. marca 2019 do 31. decembra 2020 za proizvajalce ali uvoznike s sedežem v Združenem kraljestvu, ki so zakonito dali na trg fluorirane ogljikovodike od 1. januarja 2015 dalje, kot so sporočili v skladu z navedeno uredbo (C(2018) 8801).</w:t>
      </w:r>
    </w:p>
  </w:endnote>
  <w:endnote w:id="13">
    <w:p>
      <w:pPr>
        <w:pStyle w:val="EndnoteText"/>
        <w:ind w:left="720" w:hanging="720"/>
        <w:jc w:val="both"/>
        <w:rPr>
          <w:lang w:val="en-GB"/>
        </w:rPr>
      </w:pPr>
      <w:r>
        <w:rPr>
          <w:rStyle w:val="EndnoteReference"/>
        </w:rPr>
        <w:endnoteRef/>
      </w:r>
      <w:r>
        <w:t xml:space="preserve"> </w:t>
      </w:r>
      <w:r>
        <w:tab/>
      </w:r>
      <w:r>
        <w:rPr>
          <w:rFonts w:ascii="Times New Roman" w:hAnsi="Times New Roman"/>
        </w:rPr>
        <w:t>Izvedbena uredba Komisije z dne 14. decembra 2018 o spremembi Izvedbene uredbe (EU) št. 1191/2014 glede poročanja podatkov iz člena 19 Uredbe (EU) št. 517/2014 v zvezi s fluoriranimi ogljikovodiki, danimi na trg Združenega kraljestva in Unije 27 držav članic (C(2018) 8575).</w:t>
      </w:r>
    </w:p>
  </w:endnote>
  <w:endnote w:id="14">
    <w:p>
      <w:pPr>
        <w:pStyle w:val="EndnoteText"/>
        <w:spacing w:before="120" w:after="120"/>
        <w:ind w:left="720" w:hanging="720"/>
        <w:jc w:val="both"/>
        <w:rPr>
          <w:rFonts w:ascii="Times New Roman" w:hAnsi="Times New Roman"/>
          <w:lang w:val="en-GB"/>
        </w:rPr>
      </w:pPr>
      <w:r>
        <w:rPr>
          <w:rStyle w:val="EndnoteReference"/>
        </w:rPr>
        <w:endnoteRef/>
      </w:r>
      <w:r>
        <w:t xml:space="preserve"> </w:t>
      </w:r>
      <w:r>
        <w:tab/>
      </w:r>
      <w:r>
        <w:rPr>
          <w:rFonts w:ascii="Times New Roman" w:hAnsi="Times New Roman"/>
        </w:rPr>
        <w:t>Predlog Komisije za uredbo Evropskega parlamenta in Sveta o nadaljevanju programov teritorialnega sodelovanja PEACE IV (Irska-Združeno kraljestvo) in Združeno kraljestvo-Irska (Irska-Severna Irska-Škotska) v okviru izstopa Združenega kraljestva iz Evropske unije (COM(2018) 892 final).</w:t>
      </w:r>
    </w:p>
  </w:endnote>
  <w:endnote w:id="15">
    <w:p>
      <w:pPr>
        <w:pStyle w:val="EndnoteText"/>
        <w:ind w:left="720" w:hanging="720"/>
        <w:jc w:val="both"/>
        <w:rPr>
          <w:rFonts w:ascii="Times New Roman" w:hAnsi="Times New Roman"/>
          <w:lang w:val="en-GB"/>
        </w:rPr>
      </w:pPr>
      <w:r>
        <w:rPr>
          <w:rStyle w:val="EndnoteReference"/>
        </w:rPr>
        <w:endnoteRef/>
      </w:r>
      <w:r>
        <w:t xml:space="preserve"> </w:t>
      </w:r>
      <w:r>
        <w:tab/>
      </w:r>
      <w:r>
        <w:rPr>
          <w:rFonts w:ascii="Times New Roman" w:hAnsi="Times New Roman"/>
        </w:rPr>
        <w:t>Delegirana uredba Komisije (EU) z dne 19. decembra 2018 o spremembi Priloge I k Uredbi (ES) št. 184/2005 Evropskega parlamenta in Sveta glede ravni geografske razčlenitve (C(2018) 8872).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639287"/>
      <w:docPartObj>
        <w:docPartGallery w:val="Page Numbers (Bottom of Page)"/>
        <w:docPartUnique/>
      </w:docPartObj>
    </w:sdtPr>
    <w:sdtEndPr>
      <w:rPr>
        <w:rFonts w:ascii="Times New Roman" w:hAnsi="Times New Roman"/>
        <w:noProof/>
      </w:rPr>
    </w:sdtEndPr>
    <w:sdtContent>
      <w:p>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jc w:val="both"/>
        <w:rPr>
          <w:rFonts w:ascii="Times New Roman" w:eastAsia="Times New Roman" w:hAnsi="Times New Roman"/>
          <w:lang w:val="en-GB"/>
        </w:rPr>
      </w:pPr>
      <w:r>
        <w:rPr>
          <w:rStyle w:val="FootnoteReference"/>
          <w:rFonts w:ascii="Times New Roman" w:hAnsi="Times New Roman"/>
        </w:rPr>
        <w:footnoteRef/>
      </w:r>
      <w:r>
        <w:tab/>
      </w:r>
      <w:hyperlink r:id="rId1">
        <w:r>
          <w:rPr>
            <w:rStyle w:val="Hyperlink"/>
            <w:rFonts w:ascii="Times New Roman" w:hAnsi="Times New Roman"/>
          </w:rPr>
          <w:t>https://www.consilium.europa.eu/media/37530/13-euco-art50-conclusions-sl.pdf</w:t>
        </w:r>
      </w:hyperlink>
      <w:r>
        <w:t>.</w:t>
      </w:r>
      <w:r>
        <w:rPr>
          <w:rStyle w:val="Hyperlink"/>
          <w:rFonts w:ascii="Times New Roman" w:hAnsi="Times New Roman"/>
        </w:rPr>
        <w:t xml:space="preserve"> </w:t>
      </w:r>
    </w:p>
  </w:footnote>
  <w:footnote w:id="3">
    <w:p>
      <w:pPr>
        <w:pStyle w:val="FootnoteText"/>
        <w:ind w:left="720" w:hanging="720"/>
        <w:jc w:val="both"/>
        <w:rPr>
          <w:lang w:val="en-GB"/>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Združeno kraljestvo lahko nedvoumno in brezpogojno enostransko prekliče uradno obvestilo o svoji nameri, da izstopi iz EU (zadeva C-621/18, Wightman in drugi proti ministru za izstop iz Evropske unije).</w:t>
      </w:r>
    </w:p>
  </w:footnote>
  <w:footnote w:id="4">
    <w:p>
      <w:pPr>
        <w:pStyle w:val="FootnoteText"/>
        <w:ind w:left="720" w:hanging="720"/>
        <w:jc w:val="both"/>
      </w:pPr>
      <w:r>
        <w:rPr>
          <w:rStyle w:val="FootnoteReference"/>
          <w:rFonts w:ascii="Times New Roman" w:hAnsi="Times New Roman"/>
        </w:rPr>
        <w:footnoteRef/>
      </w:r>
      <w:r>
        <w:rPr>
          <w:rFonts w:ascii="Times New Roman" w:hAnsi="Times New Roman"/>
        </w:rPr>
        <w:t xml:space="preserve"> </w:t>
      </w:r>
      <w:r>
        <w:tab/>
      </w:r>
      <w:hyperlink r:id="rId2">
        <w:r>
          <w:rPr>
            <w:rStyle w:val="Hyperlink"/>
            <w:rFonts w:ascii="Times New Roman" w:hAnsi="Times New Roman"/>
          </w:rPr>
          <w:t>https://ec.europa.eu/info/publications/preparing-withdrawal-united-kingdom-european-union-30-march-2019_sl</w:t>
        </w:r>
      </w:hyperlink>
      <w:r>
        <w:t>.</w:t>
      </w:r>
    </w:p>
  </w:footnote>
  <w:footnote w:id="5">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3">
        <w:r>
          <w:rPr>
            <w:rStyle w:val="Hyperlink"/>
            <w:rFonts w:ascii="Times New Roman" w:hAnsi="Times New Roman"/>
          </w:rPr>
          <w:t>https://ec.europa.eu/info/publications/communication-preparing-withdrawal-united-kingdom-european-union-30-march-2019-contingency-action-plan-13-11-2018_sl</w:t>
        </w:r>
      </w:hyperlink>
      <w:r>
        <w:t>.</w:t>
      </w:r>
      <w:r>
        <w:rPr>
          <w:rFonts w:ascii="Times New Roman" w:hAnsi="Times New Roman"/>
        </w:rPr>
        <w:t xml:space="preserve"> </w:t>
      </w:r>
    </w:p>
  </w:footnote>
  <w:footnote w:id="6">
    <w:p>
      <w:pPr>
        <w:pStyle w:val="FootnoteText"/>
        <w:ind w:left="720" w:hanging="720"/>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https://ec.europa.eu/commission/sites/beta-political/files/joint_report_0.pdf</w:t>
        </w:r>
      </w:hyperlink>
      <w:r>
        <w:rPr>
          <w:rStyle w:val="Hyperlink"/>
          <w:rFonts w:ascii="Times New Roman" w:hAnsi="Times New Roman"/>
          <w:u w:val="none"/>
        </w:rPr>
        <w:t xml:space="preserve">; </w:t>
      </w:r>
      <w:hyperlink r:id="rId5">
        <w:r>
          <w:rPr>
            <w:rStyle w:val="Hyperlink"/>
            <w:rFonts w:ascii="Times New Roman" w:hAnsi="Times New Roman"/>
          </w:rPr>
          <w:t>https://ec.europa.eu/commission/sites/beta-political/files/draft_withdrawal_agreement_0.pdf</w:t>
        </w:r>
      </w:hyperlink>
      <w:r>
        <w:t>.</w:t>
      </w:r>
    </w:p>
  </w:footnote>
  <w:footnote w:id="7">
    <w:p>
      <w:pPr>
        <w:pStyle w:val="FootnoteText"/>
        <w:rPr>
          <w:rFonts w:ascii="Times New Roman" w:hAnsi="Times New Roman"/>
          <w:lang w:val="it-I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Sporočilo Komisiji, potrjeno 22. novembra 2018, C(2018) 9001.</w:t>
      </w:r>
    </w:p>
  </w:footnote>
  <w:footnote w:id="8">
    <w:p>
      <w:pPr>
        <w:pStyle w:val="FootnoteText"/>
        <w:jc w:val="both"/>
        <w:rPr>
          <w:rFonts w:ascii="Times New Roman" w:hAnsi="Times New Roman"/>
          <w:lang w:val="it-IT"/>
        </w:rPr>
      </w:pPr>
      <w:r>
        <w:rPr>
          <w:rStyle w:val="FootnoteReference"/>
          <w:rFonts w:ascii="Times New Roman" w:hAnsi="Times New Roman"/>
        </w:rPr>
        <w:footnoteRef/>
      </w:r>
      <w:r>
        <w:rPr>
          <w:rFonts w:ascii="Times New Roman" w:hAnsi="Times New Roman"/>
        </w:rPr>
        <w:t xml:space="preserve"> </w:t>
      </w:r>
      <w:r>
        <w:tab/>
      </w:r>
      <w:hyperlink r:id="rId6">
        <w:r>
          <w:rPr>
            <w:rStyle w:val="Hyperlink"/>
            <w:rFonts w:ascii="Times New Roman" w:hAnsi="Times New Roman"/>
          </w:rPr>
          <w:t>https://www.consilium.europa.eu/media/37103/25-special-euco-final-conclusions-en.pdf</w:t>
        </w:r>
      </w:hyperlink>
      <w:r>
        <w:t>.</w:t>
      </w:r>
      <w:r>
        <w:rPr>
          <w:rFonts w:ascii="Times New Roman" w:hAnsi="Times New Roman"/>
        </w:rPr>
        <w:t xml:space="preserve"> </w:t>
      </w:r>
    </w:p>
  </w:footnote>
  <w:footnote w:id="9">
    <w:p>
      <w:pPr>
        <w:pStyle w:val="FootnoteText"/>
        <w:jc w:val="both"/>
        <w:rPr>
          <w:rFonts w:ascii="Times New Roman" w:hAnsi="Times New Roman"/>
          <w:lang w:val="it-I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Glej prilogi I in II k drugemu sporočilu o pripravljenosti na brexit.</w:t>
      </w:r>
    </w:p>
  </w:footnote>
  <w:footnote w:id="10">
    <w:p>
      <w:pPr>
        <w:pStyle w:val="FootnoteText"/>
        <w:ind w:left="720" w:hanging="720"/>
        <w:jc w:val="both"/>
        <w:rPr>
          <w:rFonts w:ascii="Times New Roman" w:hAnsi="Times New Roman"/>
          <w:lang w:val="it-I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Izvedenih je bilo več sektorskih seminarjev o pripravljenosti z državami članicami (EU-27), ki so navedeni v Prilogi 6 k drugemu sporočilu o pripravljenosti na brexit.</w:t>
      </w:r>
    </w:p>
  </w:footnote>
  <w:footnote w:id="11">
    <w:p>
      <w:pPr>
        <w:pStyle w:val="FootnoteText"/>
        <w:ind w:left="720" w:hanging="720"/>
        <w:jc w:val="both"/>
        <w:rPr>
          <w:rFonts w:ascii="Times New Roman" w:hAnsi="Times New Roman"/>
          <w:lang w:val="it-I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Seznam ukrepov ne posega v dodatne ukrepe, ki bi se lahko zdeli potrebni v poznejši fazi.</w:t>
      </w:r>
    </w:p>
  </w:footnote>
  <w:footnote w:id="12">
    <w:p>
      <w:pPr>
        <w:pStyle w:val="FootnoteText"/>
        <w:ind w:left="720" w:hanging="720"/>
        <w:jc w:val="both"/>
        <w:rPr>
          <w:lang w:val="it-I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Izraz „državljani Združenega kraljestva“, uporabljen v tem sporočilu, je treba razumeti tako, da zajema tudi njihove družinske člane iz tretjih držav, ki ob izstopu že prebivajo v zadevni državi gostiteljici</w:t>
      </w:r>
      <w:r>
        <w:t>.</w:t>
      </w:r>
    </w:p>
  </w:footnote>
  <w:footnote w:id="13">
    <w:p>
      <w:pPr>
        <w:pStyle w:val="FootnoteText"/>
        <w:rPr>
          <w:rFonts w:ascii="Times New Roman" w:hAnsi="Times New Roman"/>
          <w:lang w:val="it-I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https://www.gov.uk/government/news/pm-brexit-negotiations-statement-21-september-2018.</w:t>
      </w:r>
    </w:p>
  </w:footnote>
  <w:footnote w:id="14">
    <w:p>
      <w:pPr>
        <w:pStyle w:val="FootnoteText"/>
        <w:rPr>
          <w:rFonts w:ascii="Times New Roman" w:hAnsi="Times New Roman"/>
          <w:lang w:val="it-I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745 final.</w:t>
      </w:r>
    </w:p>
  </w:footnote>
  <w:footnote w:id="15">
    <w:p>
      <w:pPr>
        <w:pStyle w:val="FootnoteText"/>
        <w:ind w:left="720" w:hanging="720"/>
        <w:jc w:val="both"/>
        <w:rPr>
          <w:rFonts w:ascii="Times New Roman" w:eastAsia="Times New Roman" w:hAnsi="Times New Roman"/>
          <w:lang w:val="it-I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Da bi državljani Združenega kraljestva, ki ob izstopu prebivajo v državi članici EU, lahko še naprej prebivali in delali v tej državi članici, bodo morali imeti dovoljenje za prebivanje, ki je primerno za državljane tretjih držav in so ga izdali nacionalni organi, pristojni za migracije.</w:t>
      </w:r>
    </w:p>
  </w:footnote>
  <w:footnote w:id="16">
    <w:p>
      <w:pPr>
        <w:pStyle w:val="FootnoteText"/>
        <w:ind w:left="720" w:hanging="720"/>
        <w:jc w:val="both"/>
        <w:rPr>
          <w:lang w:val="it-I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Kot je predvideno v Uredbi Sveta (ES) št. 1030/2002 z dne 13. junija 2002 o enotni obliki dovoljenja za prebivanje za državljane tretjih držav (UL L 157, 15.6.2002, str. 1).</w:t>
      </w:r>
    </w:p>
  </w:footnote>
  <w:footnote w:id="17">
    <w:p>
      <w:pPr>
        <w:pStyle w:val="FootnoteText"/>
        <w:ind w:left="720" w:hanging="720"/>
        <w:jc w:val="both"/>
        <w:rPr>
          <w:rFonts w:ascii="Times New Roman" w:hAnsi="Times New Roman"/>
          <w:lang w:val="it-I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Uredba (ES) št. 883/2004 Evropskega parlamenta in Sveta z dne 29. aprila 2004 o koordinaciji sistemov socialne varnosti (UL L 166, 30.4.2004, str. 1) in Uredba (ES) št. 987/2009 Evropskega parlamenta in Sveta z dne 16. septembra 2009 o določitvi postopka za izvajanje Uredbe (ES) št. 883/2004 o koordinaciji sistemov socialne varnosti (UL L 284, 30.10.2009, str. 1).</w:t>
      </w:r>
    </w:p>
  </w:footnote>
  <w:footnote w:id="18">
    <w:p>
      <w:pPr>
        <w:ind w:left="720" w:hanging="720"/>
        <w:rPr>
          <w:rFonts w:ascii="Times New Roman" w:hAnsi="Times New Roman"/>
          <w:lang w:val="it-IT"/>
        </w:rPr>
      </w:pPr>
      <w:r>
        <w:rPr>
          <w:rStyle w:val="FootnoteReference"/>
          <w:rFonts w:ascii="Times New Roman" w:hAnsi="Times New Roman"/>
        </w:rPr>
        <w:footnoteRef/>
      </w:r>
      <w:r>
        <w:rPr>
          <w:rFonts w:ascii="Times New Roman" w:hAnsi="Times New Roman"/>
        </w:rPr>
        <w:t xml:space="preserve"> </w:t>
      </w:r>
      <w:r>
        <w:tab/>
      </w:r>
      <w:hyperlink r:id="rId7" w:anchor="fisma">
        <w:r>
          <w:rPr>
            <w:rStyle w:val="Hyperlink"/>
            <w:rFonts w:ascii="Times New Roman" w:hAnsi="Times New Roman"/>
          </w:rPr>
          <w:t>https://ec.europa.eu/info/brexit/brexit-preparedness/preparedness-notices_sl#fisma</w:t>
        </w:r>
      </w:hyperlink>
      <w:r>
        <w:t>.</w:t>
      </w:r>
      <w:r>
        <w:rPr>
          <w:rFonts w:ascii="Times New Roman" w:hAnsi="Times New Roman"/>
        </w:rPr>
        <w:t xml:space="preserve"> </w:t>
      </w:r>
    </w:p>
  </w:footnote>
  <w:footnote w:id="19">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Kar zadeva deležnike, je Komisija poudarila, da morajo letalski prevozniki, organizacije za proizvodnjo in vzdrževanje ter osebje z dovoljenji čim prej pridobiti potrebna dovoljenja, potrdila in odobritve. Komisija ponovno tudi poudarja, da morajo podjetja, ki želijo biti priznana za letalske prevoznike EU, sprejeti vse potrebne ukrepe za zagotovitev, da izpolnjujejo to zahtevo 30. marca 2019.</w:t>
      </w:r>
    </w:p>
  </w:footnote>
  <w:footnote w:id="20">
    <w:p>
      <w:pPr>
        <w:pStyle w:val="FootnoteText"/>
        <w:ind w:left="720" w:hanging="720"/>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Splošno izvozno dovoljenje Unije se uporablja za izvoz v Avstralijo, Kanado, na Japonsko, Novo Zelandijo, na Norveško, v Švico, Lihtenštajn in Združene države Amerike.</w:t>
      </w:r>
    </w:p>
  </w:footnote>
  <w:footnote w:id="21">
    <w:p>
      <w:pPr>
        <w:pStyle w:val="FootnoteText"/>
        <w:rPr>
          <w:rFonts w:ascii="Times New Roman" w:hAnsi="Times New Roman"/>
          <w:lang w:val="da-DK"/>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374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sz w:val="20"/>
        <w:lang w:val="en-GB" w:eastAsia="en-GB" w:bidi="ar-SA"/>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WordArt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a:extLst>
                        <a:ext uri="{91240B29-F687-4F45-9708-019B960494DF}">
                          <a14:hiddenLine xmlns:a14="http://schemas.microsoft.com/office/drawing/2010/main" w="9525">
                            <a:solidFill>
                              <a:srgbClr val="000000"/>
                            </a:solidFill>
                            <a:round/>
                            <a:headEnd/>
                            <a:tailEnd/>
                          </a14:hiddenLine>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xmlns:o="urn:schemas-microsoft-com:office:office" xmlns:w14="http://schemas.microsoft.com/office/word/2010/wordml" xmlns:v="urn:schemas-microsoft-com:vml" w14:anchorId="0E06C11C" id="_x0000_t202" coordsize="21600,21600" o:spt="202" path="m,l,21600r21600,l21600,xe">
              <v:stroke joinstyle="miter"/>
              <v:path gradientshapeok="t" o:connecttype="rect"/>
            </v:shapetype>
            <v:shape xmlns:o="urn:schemas-microsoft-com:office:office" xmlns:v="urn:schemas-microsoft-com:vml" id="WordArt 7"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BZ3moRfwIAAPgEAAAO&#10;AAAAAAAAAAAAAAAAAC4CAABkcnMvZTJvRG9jLnhtbFBLAQItABQABgAIAAAAIQAj7kal2AAAAAUB&#10;AAAPAAAAAAAAAAAAAAAAANkEAABkcnMvZG93bnJldi54bWxQSwUGAAAAAAQABADzAAAA3gUAAAAA&#10;" filled="f" stroked="f">
              <v:stroke joinstyle="round"/>
              <o:lock v:ext="edit" selection="t" text="t" shapetype="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sz w:val="20"/>
        <w:lang w:val="en-GB" w:eastAsia="en-GB" w:bidi="ar-SA"/>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 name="WordArt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a:extLst>
                        <a:ext uri="{91240B29-F687-4F45-9708-019B960494DF}">
                          <a14:hiddenLine xmlns:a14="http://schemas.microsoft.com/office/drawing/2010/main" w="9525">
                            <a:solidFill>
                              <a:srgbClr val="000000"/>
                            </a:solidFill>
                            <a:round/>
                            <a:headEnd/>
                            <a:tailEnd/>
                          </a14:hiddenLine>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xmlns:o="urn:schemas-microsoft-com:office:office" xmlns:w14="http://schemas.microsoft.com/office/word/2010/wordml" xmlns:v="urn:schemas-microsoft-com:vml" w14:anchorId="3A0CF519" id="_x0000_t202" coordsize="21600,21600" o:spt="202" path="m,l,21600r21600,l21600,xe">
              <v:stroke joinstyle="miter"/>
              <v:path gradientshapeok="t" o:connecttype="rect"/>
            </v:shapetype>
            <v:shape xmlns:o="urn:schemas-microsoft-com:office:office" xmlns:v="urn:schemas-microsoft-com:vml" id="WordArt 6"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A/spd7fwIAAPgEAAAO&#10;AAAAAAAAAAAAAAAAAC4CAABkcnMvZTJvRG9jLnhtbFBLAQItABQABgAIAAAAIQAj7kal2AAAAAUB&#10;AAAPAAAAAAAAAAAAAAAAANkEAABkcnMvZG93bnJldi54bWxQSwUGAAAAAAQABADzAAAA3gUAAAAA&#10;" filled="f" stroked="f">
              <v:stroke joinstyle="round"/>
              <o:lock v:ext="edit" selection="t" text="t" shapetype="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sz w:val="20"/>
        <w:lang w:val="en-GB" w:eastAsia="en-GB" w:bidi="ar-S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WordArt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a:extLst>
                        <a:ext uri="{91240B29-F687-4F45-9708-019B960494DF}">
                          <a14:hiddenLine xmlns:a14="http://schemas.microsoft.com/office/drawing/2010/main" w="9525">
                            <a:solidFill>
                              <a:srgbClr val="000000"/>
                            </a:solidFill>
                            <a:round/>
                            <a:headEnd/>
                            <a:tailEnd/>
                          </a14:hiddenLine>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xmlns:o="urn:schemas-microsoft-com:office:office" xmlns:w14="http://schemas.microsoft.com/office/word/2010/wordml" xmlns:v="urn:schemas-microsoft-com:vml" w14:anchorId="059B1D76" id="_x0000_t202" coordsize="21600,21600" o:spt="202" path="m,l,21600r21600,l21600,xe">
              <v:stroke joinstyle="miter"/>
              <v:path gradientshapeok="t" o:connecttype="rect"/>
            </v:shapetype>
            <v:shape xmlns:o="urn:schemas-microsoft-com:office:office" xmlns:v="urn:schemas-microsoft-com:vml" id="WordArt 5"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" filled="f" stroked="f">
              <v:stroke joinstyle="round"/>
              <o:lock v:ext="edit" selection="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1E8A"/>
    <w:multiLevelType w:val="hybridMultilevel"/>
    <w:tmpl w:val="7EDEAB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C4E93"/>
    <w:multiLevelType w:val="hybridMultilevel"/>
    <w:tmpl w:val="ED7C5248"/>
    <w:lvl w:ilvl="0" w:tplc="415CB20E">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B20707"/>
    <w:multiLevelType w:val="hybridMultilevel"/>
    <w:tmpl w:val="A4EC8AD2"/>
    <w:lvl w:ilvl="0" w:tplc="3E3AA8C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D74002"/>
    <w:multiLevelType w:val="hybridMultilevel"/>
    <w:tmpl w:val="77AA1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AB7CB5"/>
    <w:multiLevelType w:val="hybridMultilevel"/>
    <w:tmpl w:val="0DA8653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A126792"/>
    <w:multiLevelType w:val="hybridMultilevel"/>
    <w:tmpl w:val="28C0D6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210F9B"/>
    <w:multiLevelType w:val="hybridMultilevel"/>
    <w:tmpl w:val="7AA4440C"/>
    <w:lvl w:ilvl="0" w:tplc="0406000D">
      <w:start w:val="1"/>
      <w:numFmt w:val="bullet"/>
      <w:lvlText w:val=""/>
      <w:lvlJc w:val="left"/>
      <w:pPr>
        <w:ind w:left="720" w:hanging="360"/>
      </w:pPr>
      <w:rPr>
        <w:rFonts w:ascii="Wingdings" w:hAnsi="Wingdings" w:hint="default"/>
        <w:w w:val="100"/>
        <w:sz w:val="20"/>
        <w:szCs w:val="20"/>
        <w:shd w:val="clear" w:color="auto" w:fil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C93A37"/>
    <w:multiLevelType w:val="hybridMultilevel"/>
    <w:tmpl w:val="FB7204CE"/>
    <w:lvl w:ilvl="0" w:tplc="91B65EB6">
      <w:start w:val="1"/>
      <w:numFmt w:val="bullet"/>
      <w:lvlText w:val=""/>
      <w:lvlJc w:val="left"/>
      <w:pPr>
        <w:ind w:left="837" w:hanging="360"/>
      </w:pPr>
      <w:rPr>
        <w:rFonts w:ascii="Symbol" w:eastAsia="Symbol" w:hAnsi="Symbol" w:hint="default"/>
        <w:sz w:val="20"/>
        <w:szCs w:val="20"/>
      </w:rPr>
    </w:lvl>
    <w:lvl w:ilvl="1" w:tplc="0B1200E4">
      <w:start w:val="1"/>
      <w:numFmt w:val="bullet"/>
      <w:lvlText w:val="•"/>
      <w:lvlJc w:val="left"/>
      <w:pPr>
        <w:ind w:left="1328" w:hanging="360"/>
      </w:pPr>
      <w:rPr>
        <w:rFonts w:hint="default"/>
      </w:rPr>
    </w:lvl>
    <w:lvl w:ilvl="2" w:tplc="67940BF6">
      <w:start w:val="1"/>
      <w:numFmt w:val="bullet"/>
      <w:lvlText w:val="•"/>
      <w:lvlJc w:val="left"/>
      <w:pPr>
        <w:ind w:left="1819" w:hanging="360"/>
      </w:pPr>
      <w:rPr>
        <w:rFonts w:hint="default"/>
      </w:rPr>
    </w:lvl>
    <w:lvl w:ilvl="3" w:tplc="4F30418C">
      <w:start w:val="1"/>
      <w:numFmt w:val="bullet"/>
      <w:lvlText w:val="•"/>
      <w:lvlJc w:val="left"/>
      <w:pPr>
        <w:ind w:left="2311" w:hanging="360"/>
      </w:pPr>
      <w:rPr>
        <w:rFonts w:hint="default"/>
      </w:rPr>
    </w:lvl>
    <w:lvl w:ilvl="4" w:tplc="0684663E">
      <w:start w:val="1"/>
      <w:numFmt w:val="bullet"/>
      <w:lvlText w:val="•"/>
      <w:lvlJc w:val="left"/>
      <w:pPr>
        <w:ind w:left="2802" w:hanging="360"/>
      </w:pPr>
      <w:rPr>
        <w:rFonts w:hint="default"/>
      </w:rPr>
    </w:lvl>
    <w:lvl w:ilvl="5" w:tplc="B5D8A86A">
      <w:start w:val="1"/>
      <w:numFmt w:val="bullet"/>
      <w:lvlText w:val="•"/>
      <w:lvlJc w:val="left"/>
      <w:pPr>
        <w:ind w:left="3293" w:hanging="360"/>
      </w:pPr>
      <w:rPr>
        <w:rFonts w:hint="default"/>
      </w:rPr>
    </w:lvl>
    <w:lvl w:ilvl="6" w:tplc="82CEB95A">
      <w:start w:val="1"/>
      <w:numFmt w:val="bullet"/>
      <w:lvlText w:val="•"/>
      <w:lvlJc w:val="left"/>
      <w:pPr>
        <w:ind w:left="3784" w:hanging="360"/>
      </w:pPr>
      <w:rPr>
        <w:rFonts w:hint="default"/>
      </w:rPr>
    </w:lvl>
    <w:lvl w:ilvl="7" w:tplc="2F703F5C">
      <w:start w:val="1"/>
      <w:numFmt w:val="bullet"/>
      <w:lvlText w:val="•"/>
      <w:lvlJc w:val="left"/>
      <w:pPr>
        <w:ind w:left="4275" w:hanging="360"/>
      </w:pPr>
      <w:rPr>
        <w:rFonts w:hint="default"/>
      </w:rPr>
    </w:lvl>
    <w:lvl w:ilvl="8" w:tplc="190A06A2">
      <w:start w:val="1"/>
      <w:numFmt w:val="bullet"/>
      <w:lvlText w:val="•"/>
      <w:lvlJc w:val="left"/>
      <w:pPr>
        <w:ind w:left="4766" w:hanging="360"/>
      </w:pPr>
      <w:rPr>
        <w:rFonts w:hint="default"/>
      </w:rPr>
    </w:lvl>
  </w:abstractNum>
  <w:abstractNum w:abstractNumId="8">
    <w:nsid w:val="23DE2C08"/>
    <w:multiLevelType w:val="hybridMultilevel"/>
    <w:tmpl w:val="F8C2EB56"/>
    <w:lvl w:ilvl="0" w:tplc="D57453C6">
      <w:start w:val="5"/>
      <w:numFmt w:val="decimal"/>
      <w:lvlText w:val="%1."/>
      <w:lvlJc w:val="left"/>
      <w:pPr>
        <w:ind w:left="786"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B143BC"/>
    <w:multiLevelType w:val="hybridMultilevel"/>
    <w:tmpl w:val="1F5A45A2"/>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5B7098B"/>
    <w:multiLevelType w:val="hybridMultilevel"/>
    <w:tmpl w:val="70C6FF5C"/>
    <w:lvl w:ilvl="0" w:tplc="0406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59300CEE">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442773"/>
    <w:multiLevelType w:val="hybridMultilevel"/>
    <w:tmpl w:val="D4FC441E"/>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6CA3D9A"/>
    <w:multiLevelType w:val="hybridMultilevel"/>
    <w:tmpl w:val="FC62E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E76CB3"/>
    <w:multiLevelType w:val="hybridMultilevel"/>
    <w:tmpl w:val="A81CC340"/>
    <w:lvl w:ilvl="0" w:tplc="007A9126">
      <w:start w:val="1"/>
      <w:numFmt w:val="bullet"/>
      <w:lvlText w:val=""/>
      <w:lvlJc w:val="left"/>
      <w:pPr>
        <w:ind w:left="822" w:hanging="360"/>
      </w:pPr>
      <w:rPr>
        <w:rFonts w:ascii="Symbol" w:eastAsia="Symbol" w:hAnsi="Symbol" w:hint="default"/>
        <w:sz w:val="20"/>
        <w:szCs w:val="20"/>
      </w:rPr>
    </w:lvl>
    <w:lvl w:ilvl="1" w:tplc="FEC0A35A">
      <w:start w:val="1"/>
      <w:numFmt w:val="bullet"/>
      <w:lvlText w:val="•"/>
      <w:lvlJc w:val="left"/>
      <w:pPr>
        <w:ind w:left="1314" w:hanging="360"/>
      </w:pPr>
      <w:rPr>
        <w:rFonts w:hint="default"/>
      </w:rPr>
    </w:lvl>
    <w:lvl w:ilvl="2" w:tplc="61F2DC82">
      <w:start w:val="1"/>
      <w:numFmt w:val="bullet"/>
      <w:lvlText w:val="•"/>
      <w:lvlJc w:val="left"/>
      <w:pPr>
        <w:ind w:left="1807" w:hanging="360"/>
      </w:pPr>
      <w:rPr>
        <w:rFonts w:hint="default"/>
      </w:rPr>
    </w:lvl>
    <w:lvl w:ilvl="3" w:tplc="F86AAE34">
      <w:start w:val="1"/>
      <w:numFmt w:val="bullet"/>
      <w:lvlText w:val="•"/>
      <w:lvlJc w:val="left"/>
      <w:pPr>
        <w:ind w:left="2300" w:hanging="360"/>
      </w:pPr>
      <w:rPr>
        <w:rFonts w:hint="default"/>
      </w:rPr>
    </w:lvl>
    <w:lvl w:ilvl="4" w:tplc="B636D728">
      <w:start w:val="1"/>
      <w:numFmt w:val="bullet"/>
      <w:lvlText w:val="•"/>
      <w:lvlJc w:val="left"/>
      <w:pPr>
        <w:ind w:left="2792" w:hanging="360"/>
      </w:pPr>
      <w:rPr>
        <w:rFonts w:hint="default"/>
      </w:rPr>
    </w:lvl>
    <w:lvl w:ilvl="5" w:tplc="B64ACE04">
      <w:start w:val="1"/>
      <w:numFmt w:val="bullet"/>
      <w:lvlText w:val="•"/>
      <w:lvlJc w:val="left"/>
      <w:pPr>
        <w:ind w:left="3285" w:hanging="360"/>
      </w:pPr>
      <w:rPr>
        <w:rFonts w:hint="default"/>
      </w:rPr>
    </w:lvl>
    <w:lvl w:ilvl="6" w:tplc="E3745C3E">
      <w:start w:val="1"/>
      <w:numFmt w:val="bullet"/>
      <w:lvlText w:val="•"/>
      <w:lvlJc w:val="left"/>
      <w:pPr>
        <w:ind w:left="3777" w:hanging="360"/>
      </w:pPr>
      <w:rPr>
        <w:rFonts w:hint="default"/>
      </w:rPr>
    </w:lvl>
    <w:lvl w:ilvl="7" w:tplc="351A9BAC">
      <w:start w:val="1"/>
      <w:numFmt w:val="bullet"/>
      <w:lvlText w:val="•"/>
      <w:lvlJc w:val="left"/>
      <w:pPr>
        <w:ind w:left="4270" w:hanging="360"/>
      </w:pPr>
      <w:rPr>
        <w:rFonts w:hint="default"/>
      </w:rPr>
    </w:lvl>
    <w:lvl w:ilvl="8" w:tplc="8F6A7888">
      <w:start w:val="1"/>
      <w:numFmt w:val="bullet"/>
      <w:lvlText w:val="•"/>
      <w:lvlJc w:val="left"/>
      <w:pPr>
        <w:ind w:left="4763" w:hanging="360"/>
      </w:pPr>
      <w:rPr>
        <w:rFonts w:hint="default"/>
      </w:rPr>
    </w:lvl>
  </w:abstractNum>
  <w:abstractNum w:abstractNumId="14">
    <w:nsid w:val="2DAA114E"/>
    <w:multiLevelType w:val="hybridMultilevel"/>
    <w:tmpl w:val="FCE68DB4"/>
    <w:lvl w:ilvl="0" w:tplc="B3789BEE">
      <w:start w:val="1"/>
      <w:numFmt w:val="bullet"/>
      <w:lvlText w:val=""/>
      <w:lvlJc w:val="left"/>
      <w:pPr>
        <w:ind w:left="822" w:hanging="360"/>
      </w:pPr>
      <w:rPr>
        <w:rFonts w:ascii="Symbol" w:eastAsia="Symbol" w:hAnsi="Symbol" w:hint="default"/>
        <w:sz w:val="20"/>
        <w:szCs w:val="20"/>
      </w:rPr>
    </w:lvl>
    <w:lvl w:ilvl="1" w:tplc="695C7888">
      <w:start w:val="1"/>
      <w:numFmt w:val="bullet"/>
      <w:lvlText w:val="•"/>
      <w:lvlJc w:val="left"/>
      <w:pPr>
        <w:ind w:left="1314" w:hanging="360"/>
      </w:pPr>
      <w:rPr>
        <w:rFonts w:hint="default"/>
      </w:rPr>
    </w:lvl>
    <w:lvl w:ilvl="2" w:tplc="93FA5522">
      <w:start w:val="1"/>
      <w:numFmt w:val="bullet"/>
      <w:lvlText w:val="•"/>
      <w:lvlJc w:val="left"/>
      <w:pPr>
        <w:ind w:left="1807" w:hanging="360"/>
      </w:pPr>
      <w:rPr>
        <w:rFonts w:hint="default"/>
      </w:rPr>
    </w:lvl>
    <w:lvl w:ilvl="3" w:tplc="838AB1F4">
      <w:start w:val="1"/>
      <w:numFmt w:val="bullet"/>
      <w:lvlText w:val="•"/>
      <w:lvlJc w:val="left"/>
      <w:pPr>
        <w:ind w:left="2300" w:hanging="360"/>
      </w:pPr>
      <w:rPr>
        <w:rFonts w:hint="default"/>
      </w:rPr>
    </w:lvl>
    <w:lvl w:ilvl="4" w:tplc="8660836A">
      <w:start w:val="1"/>
      <w:numFmt w:val="bullet"/>
      <w:lvlText w:val="•"/>
      <w:lvlJc w:val="left"/>
      <w:pPr>
        <w:ind w:left="2792" w:hanging="360"/>
      </w:pPr>
      <w:rPr>
        <w:rFonts w:hint="default"/>
      </w:rPr>
    </w:lvl>
    <w:lvl w:ilvl="5" w:tplc="20B0411C">
      <w:start w:val="1"/>
      <w:numFmt w:val="bullet"/>
      <w:lvlText w:val="•"/>
      <w:lvlJc w:val="left"/>
      <w:pPr>
        <w:ind w:left="3285" w:hanging="360"/>
      </w:pPr>
      <w:rPr>
        <w:rFonts w:hint="default"/>
      </w:rPr>
    </w:lvl>
    <w:lvl w:ilvl="6" w:tplc="433A6CE0">
      <w:start w:val="1"/>
      <w:numFmt w:val="bullet"/>
      <w:lvlText w:val="•"/>
      <w:lvlJc w:val="left"/>
      <w:pPr>
        <w:ind w:left="3777" w:hanging="360"/>
      </w:pPr>
      <w:rPr>
        <w:rFonts w:hint="default"/>
      </w:rPr>
    </w:lvl>
    <w:lvl w:ilvl="7" w:tplc="36D4B2A2">
      <w:start w:val="1"/>
      <w:numFmt w:val="bullet"/>
      <w:lvlText w:val="•"/>
      <w:lvlJc w:val="left"/>
      <w:pPr>
        <w:ind w:left="4270" w:hanging="360"/>
      </w:pPr>
      <w:rPr>
        <w:rFonts w:hint="default"/>
      </w:rPr>
    </w:lvl>
    <w:lvl w:ilvl="8" w:tplc="79288C6E">
      <w:start w:val="1"/>
      <w:numFmt w:val="bullet"/>
      <w:lvlText w:val="•"/>
      <w:lvlJc w:val="left"/>
      <w:pPr>
        <w:ind w:left="4763" w:hanging="360"/>
      </w:pPr>
      <w:rPr>
        <w:rFonts w:hint="default"/>
      </w:rPr>
    </w:lvl>
  </w:abstractNum>
  <w:abstractNum w:abstractNumId="15">
    <w:nsid w:val="2F00000B"/>
    <w:multiLevelType w:val="hybridMultilevel"/>
    <w:tmpl w:val="1116FB26"/>
    <w:lvl w:ilvl="0" w:tplc="0406000D">
      <w:start w:val="1"/>
      <w:numFmt w:val="bullet"/>
      <w:lvlText w:val=""/>
      <w:lvlJc w:val="left"/>
      <w:pPr>
        <w:ind w:left="720" w:hanging="360"/>
        <w:jc w:val="both"/>
      </w:pPr>
      <w:rPr>
        <w:rFonts w:ascii="Wingdings" w:hAnsi="Wingdings" w:hint="default"/>
        <w:w w:val="100"/>
        <w:sz w:val="20"/>
        <w:szCs w:val="20"/>
        <w:shd w:val="clear" w:color="auto" w:fill="auto"/>
      </w:rPr>
    </w:lvl>
    <w:lvl w:ilvl="1" w:tplc="779E6894">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72328924">
      <w:start w:val="1"/>
      <w:numFmt w:val="bullet"/>
      <w:lvlText w:val="§"/>
      <w:lvlJc w:val="left"/>
      <w:pPr>
        <w:ind w:left="2160" w:hanging="360"/>
        <w:jc w:val="both"/>
      </w:pPr>
      <w:rPr>
        <w:rFonts w:ascii="Wingdings" w:eastAsia="Wingdings" w:hAnsi="Wingdings"/>
        <w:w w:val="100"/>
        <w:sz w:val="20"/>
        <w:szCs w:val="20"/>
        <w:shd w:val="clear" w:color="auto" w:fill="auto"/>
      </w:rPr>
    </w:lvl>
    <w:lvl w:ilvl="3" w:tplc="93DE21BE">
      <w:start w:val="1"/>
      <w:numFmt w:val="bullet"/>
      <w:lvlText w:val="·"/>
      <w:lvlJc w:val="left"/>
      <w:pPr>
        <w:ind w:left="2880" w:hanging="360"/>
        <w:jc w:val="both"/>
      </w:pPr>
      <w:rPr>
        <w:rFonts w:ascii="Symbol" w:eastAsia="Symbol" w:hAnsi="Symbol"/>
        <w:w w:val="100"/>
        <w:sz w:val="20"/>
        <w:szCs w:val="20"/>
        <w:shd w:val="clear" w:color="auto" w:fill="auto"/>
      </w:rPr>
    </w:lvl>
    <w:lvl w:ilvl="4" w:tplc="DB2A9102">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730860D6">
      <w:start w:val="1"/>
      <w:numFmt w:val="bullet"/>
      <w:lvlText w:val="§"/>
      <w:lvlJc w:val="left"/>
      <w:pPr>
        <w:ind w:left="4320" w:hanging="360"/>
        <w:jc w:val="both"/>
      </w:pPr>
      <w:rPr>
        <w:rFonts w:ascii="Wingdings" w:eastAsia="Wingdings" w:hAnsi="Wingdings"/>
        <w:w w:val="100"/>
        <w:sz w:val="20"/>
        <w:szCs w:val="20"/>
        <w:shd w:val="clear" w:color="auto" w:fill="auto"/>
      </w:rPr>
    </w:lvl>
    <w:lvl w:ilvl="6" w:tplc="4E6866E4">
      <w:start w:val="1"/>
      <w:numFmt w:val="bullet"/>
      <w:lvlText w:val="·"/>
      <w:lvlJc w:val="left"/>
      <w:pPr>
        <w:ind w:left="5040" w:hanging="360"/>
        <w:jc w:val="both"/>
      </w:pPr>
      <w:rPr>
        <w:rFonts w:ascii="Symbol" w:eastAsia="Symbol" w:hAnsi="Symbol"/>
        <w:w w:val="100"/>
        <w:sz w:val="20"/>
        <w:szCs w:val="20"/>
        <w:shd w:val="clear" w:color="auto" w:fill="auto"/>
      </w:rPr>
    </w:lvl>
    <w:lvl w:ilvl="7" w:tplc="D278CAD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FD625644">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6">
    <w:nsid w:val="2F000012"/>
    <w:multiLevelType w:val="hybridMultilevel"/>
    <w:tmpl w:val="3795C8F2"/>
    <w:lvl w:ilvl="0" w:tplc="6FBA9A0A">
      <w:start w:val="1"/>
      <w:numFmt w:val="decimal"/>
      <w:lvlText w:val="%1."/>
      <w:lvlJc w:val="left"/>
      <w:pPr>
        <w:ind w:left="360" w:hanging="360"/>
        <w:jc w:val="both"/>
      </w:pPr>
    </w:lvl>
    <w:lvl w:ilvl="1" w:tplc="0BF415D4">
      <w:start w:val="1"/>
      <w:numFmt w:val="lowerLetter"/>
      <w:lvlText w:val="%2."/>
      <w:lvlJc w:val="left"/>
      <w:pPr>
        <w:ind w:left="1080" w:hanging="360"/>
        <w:jc w:val="both"/>
      </w:pPr>
    </w:lvl>
    <w:lvl w:ilvl="2" w:tplc="CB8C58E6">
      <w:start w:val="1"/>
      <w:numFmt w:val="lowerRoman"/>
      <w:lvlText w:val="%3."/>
      <w:lvlJc w:val="right"/>
      <w:pPr>
        <w:ind w:left="1800" w:hanging="180"/>
        <w:jc w:val="both"/>
      </w:pPr>
    </w:lvl>
    <w:lvl w:ilvl="3" w:tplc="C13EF79E">
      <w:start w:val="1"/>
      <w:numFmt w:val="decimal"/>
      <w:lvlText w:val="%4."/>
      <w:lvlJc w:val="left"/>
      <w:pPr>
        <w:ind w:left="2520" w:hanging="360"/>
        <w:jc w:val="both"/>
      </w:pPr>
    </w:lvl>
    <w:lvl w:ilvl="4" w:tplc="0F92C9C0">
      <w:start w:val="1"/>
      <w:numFmt w:val="lowerLetter"/>
      <w:lvlText w:val="%5."/>
      <w:lvlJc w:val="left"/>
      <w:pPr>
        <w:ind w:left="3240" w:hanging="360"/>
        <w:jc w:val="both"/>
      </w:pPr>
    </w:lvl>
    <w:lvl w:ilvl="5" w:tplc="4BD23052">
      <w:start w:val="1"/>
      <w:numFmt w:val="lowerRoman"/>
      <w:lvlText w:val="%6."/>
      <w:lvlJc w:val="right"/>
      <w:pPr>
        <w:ind w:left="3960" w:hanging="180"/>
        <w:jc w:val="both"/>
      </w:pPr>
    </w:lvl>
    <w:lvl w:ilvl="6" w:tplc="42D439CC">
      <w:start w:val="1"/>
      <w:numFmt w:val="decimal"/>
      <w:lvlText w:val="%7."/>
      <w:lvlJc w:val="left"/>
      <w:pPr>
        <w:ind w:left="4680" w:hanging="360"/>
        <w:jc w:val="both"/>
      </w:pPr>
    </w:lvl>
    <w:lvl w:ilvl="7" w:tplc="926CDB90">
      <w:start w:val="1"/>
      <w:numFmt w:val="lowerLetter"/>
      <w:lvlText w:val="%8."/>
      <w:lvlJc w:val="left"/>
      <w:pPr>
        <w:ind w:left="5400" w:hanging="360"/>
        <w:jc w:val="both"/>
      </w:pPr>
    </w:lvl>
    <w:lvl w:ilvl="8" w:tplc="B77488F0">
      <w:start w:val="1"/>
      <w:numFmt w:val="lowerRoman"/>
      <w:lvlText w:val="%9."/>
      <w:lvlJc w:val="right"/>
      <w:pPr>
        <w:ind w:left="6120" w:hanging="180"/>
        <w:jc w:val="both"/>
      </w:pPr>
    </w:lvl>
  </w:abstractNum>
  <w:abstractNum w:abstractNumId="17">
    <w:nsid w:val="2F000022"/>
    <w:multiLevelType w:val="hybridMultilevel"/>
    <w:tmpl w:val="4D6D2672"/>
    <w:lvl w:ilvl="0" w:tplc="48869F76">
      <w:start w:val="1"/>
      <w:numFmt w:val="bullet"/>
      <w:lvlText w:val="·"/>
      <w:lvlJc w:val="left"/>
      <w:pPr>
        <w:ind w:left="720" w:hanging="360"/>
        <w:jc w:val="both"/>
      </w:pPr>
      <w:rPr>
        <w:rFonts w:ascii="Symbol" w:eastAsia="Symbol" w:hAnsi="Symbol"/>
        <w:w w:val="100"/>
        <w:sz w:val="20"/>
        <w:szCs w:val="20"/>
        <w:shd w:val="clear" w:color="auto" w:fill="auto"/>
      </w:rPr>
    </w:lvl>
    <w:lvl w:ilvl="1" w:tplc="13B8DDB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6A9A2344">
      <w:start w:val="1"/>
      <w:numFmt w:val="bullet"/>
      <w:lvlText w:val="§"/>
      <w:lvlJc w:val="left"/>
      <w:pPr>
        <w:ind w:left="2160" w:hanging="360"/>
        <w:jc w:val="both"/>
      </w:pPr>
      <w:rPr>
        <w:rFonts w:ascii="Wingdings" w:eastAsia="Wingdings" w:hAnsi="Wingdings"/>
        <w:w w:val="100"/>
        <w:sz w:val="20"/>
        <w:szCs w:val="20"/>
        <w:shd w:val="clear" w:color="auto" w:fill="auto"/>
      </w:rPr>
    </w:lvl>
    <w:lvl w:ilvl="3" w:tplc="354C19D2">
      <w:start w:val="1"/>
      <w:numFmt w:val="bullet"/>
      <w:lvlText w:val="·"/>
      <w:lvlJc w:val="left"/>
      <w:pPr>
        <w:ind w:left="2880" w:hanging="360"/>
        <w:jc w:val="both"/>
      </w:pPr>
      <w:rPr>
        <w:rFonts w:ascii="Symbol" w:eastAsia="Symbol" w:hAnsi="Symbol"/>
        <w:w w:val="100"/>
        <w:sz w:val="20"/>
        <w:szCs w:val="20"/>
        <w:shd w:val="clear" w:color="auto" w:fill="auto"/>
      </w:rPr>
    </w:lvl>
    <w:lvl w:ilvl="4" w:tplc="E9C26CE4">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C41E4222">
      <w:start w:val="1"/>
      <w:numFmt w:val="bullet"/>
      <w:lvlText w:val="§"/>
      <w:lvlJc w:val="left"/>
      <w:pPr>
        <w:ind w:left="4320" w:hanging="360"/>
        <w:jc w:val="both"/>
      </w:pPr>
      <w:rPr>
        <w:rFonts w:ascii="Wingdings" w:eastAsia="Wingdings" w:hAnsi="Wingdings"/>
        <w:w w:val="100"/>
        <w:sz w:val="20"/>
        <w:szCs w:val="20"/>
        <w:shd w:val="clear" w:color="auto" w:fill="auto"/>
      </w:rPr>
    </w:lvl>
    <w:lvl w:ilvl="6" w:tplc="832807FC">
      <w:start w:val="1"/>
      <w:numFmt w:val="bullet"/>
      <w:lvlText w:val="·"/>
      <w:lvlJc w:val="left"/>
      <w:pPr>
        <w:ind w:left="5040" w:hanging="360"/>
        <w:jc w:val="both"/>
      </w:pPr>
      <w:rPr>
        <w:rFonts w:ascii="Symbol" w:eastAsia="Symbol" w:hAnsi="Symbol"/>
        <w:w w:val="100"/>
        <w:sz w:val="20"/>
        <w:szCs w:val="20"/>
        <w:shd w:val="clear" w:color="auto" w:fill="auto"/>
      </w:rPr>
    </w:lvl>
    <w:lvl w:ilvl="7" w:tplc="B4B2ADC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21A03A7C">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8">
    <w:nsid w:val="2F000024"/>
    <w:multiLevelType w:val="hybridMultilevel"/>
    <w:tmpl w:val="57DE5DFD"/>
    <w:lvl w:ilvl="0" w:tplc="4ECA2BC2">
      <w:start w:val="1"/>
      <w:numFmt w:val="bullet"/>
      <w:lvlText w:val="·"/>
      <w:lvlJc w:val="left"/>
      <w:pPr>
        <w:ind w:left="780" w:hanging="360"/>
        <w:jc w:val="both"/>
      </w:pPr>
      <w:rPr>
        <w:rFonts w:ascii="Symbol" w:eastAsia="Symbol" w:hAnsi="Symbol"/>
        <w:w w:val="100"/>
        <w:sz w:val="20"/>
        <w:szCs w:val="20"/>
        <w:shd w:val="clear" w:color="auto" w:fill="auto"/>
      </w:rPr>
    </w:lvl>
    <w:lvl w:ilvl="1" w:tplc="32705334">
      <w:start w:val="1"/>
      <w:numFmt w:val="bullet"/>
      <w:lvlText w:val="o"/>
      <w:lvlJc w:val="left"/>
      <w:pPr>
        <w:ind w:left="1500" w:hanging="360"/>
        <w:jc w:val="both"/>
      </w:pPr>
      <w:rPr>
        <w:rFonts w:ascii="Courier New" w:eastAsia="Courier New" w:hAnsi="Courier New"/>
        <w:w w:val="100"/>
        <w:sz w:val="20"/>
        <w:szCs w:val="20"/>
        <w:shd w:val="clear" w:color="auto" w:fill="auto"/>
      </w:rPr>
    </w:lvl>
    <w:lvl w:ilvl="2" w:tplc="8B74730E">
      <w:start w:val="1"/>
      <w:numFmt w:val="bullet"/>
      <w:lvlText w:val="§"/>
      <w:lvlJc w:val="left"/>
      <w:pPr>
        <w:ind w:left="2220" w:hanging="360"/>
        <w:jc w:val="both"/>
      </w:pPr>
      <w:rPr>
        <w:rFonts w:ascii="Wingdings" w:eastAsia="Wingdings" w:hAnsi="Wingdings"/>
        <w:w w:val="100"/>
        <w:sz w:val="20"/>
        <w:szCs w:val="20"/>
        <w:shd w:val="clear" w:color="auto" w:fill="auto"/>
      </w:rPr>
    </w:lvl>
    <w:lvl w:ilvl="3" w:tplc="51BA9F8E">
      <w:start w:val="1"/>
      <w:numFmt w:val="bullet"/>
      <w:lvlText w:val="·"/>
      <w:lvlJc w:val="left"/>
      <w:pPr>
        <w:ind w:left="2940" w:hanging="360"/>
        <w:jc w:val="both"/>
      </w:pPr>
      <w:rPr>
        <w:rFonts w:ascii="Symbol" w:eastAsia="Symbol" w:hAnsi="Symbol"/>
        <w:w w:val="100"/>
        <w:sz w:val="20"/>
        <w:szCs w:val="20"/>
        <w:shd w:val="clear" w:color="auto" w:fill="auto"/>
      </w:rPr>
    </w:lvl>
    <w:lvl w:ilvl="4" w:tplc="7C5A0CBC">
      <w:start w:val="1"/>
      <w:numFmt w:val="bullet"/>
      <w:lvlText w:val="o"/>
      <w:lvlJc w:val="left"/>
      <w:pPr>
        <w:ind w:left="3660" w:hanging="360"/>
        <w:jc w:val="both"/>
      </w:pPr>
      <w:rPr>
        <w:rFonts w:ascii="Courier New" w:eastAsia="Courier New" w:hAnsi="Courier New"/>
        <w:w w:val="100"/>
        <w:sz w:val="20"/>
        <w:szCs w:val="20"/>
        <w:shd w:val="clear" w:color="auto" w:fill="auto"/>
      </w:rPr>
    </w:lvl>
    <w:lvl w:ilvl="5" w:tplc="FC68B310">
      <w:start w:val="1"/>
      <w:numFmt w:val="bullet"/>
      <w:lvlText w:val="§"/>
      <w:lvlJc w:val="left"/>
      <w:pPr>
        <w:ind w:left="4380" w:hanging="360"/>
        <w:jc w:val="both"/>
      </w:pPr>
      <w:rPr>
        <w:rFonts w:ascii="Wingdings" w:eastAsia="Wingdings" w:hAnsi="Wingdings"/>
        <w:w w:val="100"/>
        <w:sz w:val="20"/>
        <w:szCs w:val="20"/>
        <w:shd w:val="clear" w:color="auto" w:fill="auto"/>
      </w:rPr>
    </w:lvl>
    <w:lvl w:ilvl="6" w:tplc="13109602">
      <w:start w:val="1"/>
      <w:numFmt w:val="bullet"/>
      <w:lvlText w:val="·"/>
      <w:lvlJc w:val="left"/>
      <w:pPr>
        <w:ind w:left="5100" w:hanging="360"/>
        <w:jc w:val="both"/>
      </w:pPr>
      <w:rPr>
        <w:rFonts w:ascii="Symbol" w:eastAsia="Symbol" w:hAnsi="Symbol"/>
        <w:w w:val="100"/>
        <w:sz w:val="20"/>
        <w:szCs w:val="20"/>
        <w:shd w:val="clear" w:color="auto" w:fill="auto"/>
      </w:rPr>
    </w:lvl>
    <w:lvl w:ilvl="7" w:tplc="624C5734">
      <w:start w:val="1"/>
      <w:numFmt w:val="bullet"/>
      <w:lvlText w:val="o"/>
      <w:lvlJc w:val="left"/>
      <w:pPr>
        <w:ind w:left="5820" w:hanging="360"/>
        <w:jc w:val="both"/>
      </w:pPr>
      <w:rPr>
        <w:rFonts w:ascii="Courier New" w:eastAsia="Courier New" w:hAnsi="Courier New"/>
        <w:w w:val="100"/>
        <w:sz w:val="20"/>
        <w:szCs w:val="20"/>
        <w:shd w:val="clear" w:color="auto" w:fill="auto"/>
      </w:rPr>
    </w:lvl>
    <w:lvl w:ilvl="8" w:tplc="D91EE372">
      <w:start w:val="1"/>
      <w:numFmt w:val="bullet"/>
      <w:lvlText w:val="§"/>
      <w:lvlJc w:val="left"/>
      <w:pPr>
        <w:ind w:left="6540" w:hanging="360"/>
        <w:jc w:val="both"/>
      </w:pPr>
      <w:rPr>
        <w:rFonts w:ascii="Wingdings" w:eastAsia="Wingdings" w:hAnsi="Wingdings"/>
        <w:w w:val="100"/>
        <w:sz w:val="20"/>
        <w:szCs w:val="20"/>
        <w:shd w:val="clear" w:color="auto" w:fill="auto"/>
      </w:rPr>
    </w:lvl>
  </w:abstractNum>
  <w:abstractNum w:abstractNumId="19">
    <w:nsid w:val="2F00002F"/>
    <w:multiLevelType w:val="hybridMultilevel"/>
    <w:tmpl w:val="41633036"/>
    <w:lvl w:ilvl="0" w:tplc="32D6B342">
      <w:start w:val="1"/>
      <w:numFmt w:val="bullet"/>
      <w:lvlText w:val="Ø"/>
      <w:lvlJc w:val="left"/>
      <w:pPr>
        <w:ind w:left="720" w:hanging="360"/>
        <w:jc w:val="both"/>
      </w:pPr>
      <w:rPr>
        <w:rFonts w:ascii="Wingdings" w:eastAsia="Wingdings" w:hAnsi="Wingdings"/>
        <w:w w:val="100"/>
        <w:sz w:val="20"/>
        <w:szCs w:val="20"/>
        <w:shd w:val="clear" w:color="auto" w:fill="auto"/>
      </w:rPr>
    </w:lvl>
    <w:lvl w:ilvl="1" w:tplc="58F29FD4">
      <w:start w:val="1"/>
      <w:numFmt w:val="lowerLetter"/>
      <w:lvlText w:val="%2."/>
      <w:lvlJc w:val="left"/>
      <w:pPr>
        <w:ind w:left="1440" w:hanging="360"/>
        <w:jc w:val="both"/>
      </w:pPr>
    </w:lvl>
    <w:lvl w:ilvl="2" w:tplc="39FE156E">
      <w:start w:val="1"/>
      <w:numFmt w:val="lowerRoman"/>
      <w:lvlText w:val="%3."/>
      <w:lvlJc w:val="right"/>
      <w:pPr>
        <w:ind w:left="2160" w:hanging="180"/>
        <w:jc w:val="both"/>
      </w:pPr>
    </w:lvl>
    <w:lvl w:ilvl="3" w:tplc="A14EBC4C">
      <w:start w:val="1"/>
      <w:numFmt w:val="decimal"/>
      <w:lvlText w:val="%4."/>
      <w:lvlJc w:val="left"/>
      <w:pPr>
        <w:ind w:left="2880" w:hanging="360"/>
        <w:jc w:val="both"/>
      </w:pPr>
    </w:lvl>
    <w:lvl w:ilvl="4" w:tplc="2A6E34FA">
      <w:start w:val="1"/>
      <w:numFmt w:val="lowerLetter"/>
      <w:lvlText w:val="%5."/>
      <w:lvlJc w:val="left"/>
      <w:pPr>
        <w:ind w:left="3600" w:hanging="360"/>
        <w:jc w:val="both"/>
      </w:pPr>
    </w:lvl>
    <w:lvl w:ilvl="5" w:tplc="EAE27978">
      <w:start w:val="1"/>
      <w:numFmt w:val="lowerRoman"/>
      <w:lvlText w:val="%6."/>
      <w:lvlJc w:val="right"/>
      <w:pPr>
        <w:ind w:left="4320" w:hanging="180"/>
        <w:jc w:val="both"/>
      </w:pPr>
    </w:lvl>
    <w:lvl w:ilvl="6" w:tplc="805A73FC">
      <w:start w:val="1"/>
      <w:numFmt w:val="decimal"/>
      <w:lvlText w:val="%7."/>
      <w:lvlJc w:val="left"/>
      <w:pPr>
        <w:ind w:left="5040" w:hanging="360"/>
        <w:jc w:val="both"/>
      </w:pPr>
    </w:lvl>
    <w:lvl w:ilvl="7" w:tplc="03B6A842">
      <w:start w:val="1"/>
      <w:numFmt w:val="lowerLetter"/>
      <w:lvlText w:val="%8."/>
      <w:lvlJc w:val="left"/>
      <w:pPr>
        <w:ind w:left="5760" w:hanging="360"/>
        <w:jc w:val="both"/>
      </w:pPr>
    </w:lvl>
    <w:lvl w:ilvl="8" w:tplc="7DCECFF0">
      <w:start w:val="1"/>
      <w:numFmt w:val="lowerRoman"/>
      <w:lvlText w:val="%9."/>
      <w:lvlJc w:val="right"/>
      <w:pPr>
        <w:ind w:left="6480" w:hanging="180"/>
        <w:jc w:val="both"/>
      </w:pPr>
    </w:lvl>
  </w:abstractNum>
  <w:abstractNum w:abstractNumId="20">
    <w:nsid w:val="405362A1"/>
    <w:multiLevelType w:val="hybridMultilevel"/>
    <w:tmpl w:val="189A4D3C"/>
    <w:lvl w:ilvl="0" w:tplc="753E6B9A">
      <w:start w:val="1"/>
      <w:numFmt w:val="bullet"/>
      <w:lvlText w:val=""/>
      <w:lvlJc w:val="left"/>
      <w:pPr>
        <w:ind w:left="822" w:hanging="360"/>
      </w:pPr>
      <w:rPr>
        <w:rFonts w:ascii="Symbol" w:eastAsia="Symbol" w:hAnsi="Symbol" w:hint="default"/>
        <w:sz w:val="20"/>
        <w:szCs w:val="20"/>
      </w:rPr>
    </w:lvl>
    <w:lvl w:ilvl="1" w:tplc="76B20318">
      <w:start w:val="1"/>
      <w:numFmt w:val="bullet"/>
      <w:lvlText w:val="•"/>
      <w:lvlJc w:val="left"/>
      <w:pPr>
        <w:ind w:left="1314" w:hanging="360"/>
      </w:pPr>
      <w:rPr>
        <w:rFonts w:hint="default"/>
      </w:rPr>
    </w:lvl>
    <w:lvl w:ilvl="2" w:tplc="1BC6DD0E">
      <w:start w:val="1"/>
      <w:numFmt w:val="bullet"/>
      <w:lvlText w:val="•"/>
      <w:lvlJc w:val="left"/>
      <w:pPr>
        <w:ind w:left="1807" w:hanging="360"/>
      </w:pPr>
      <w:rPr>
        <w:rFonts w:hint="default"/>
      </w:rPr>
    </w:lvl>
    <w:lvl w:ilvl="3" w:tplc="DD221D90">
      <w:start w:val="1"/>
      <w:numFmt w:val="bullet"/>
      <w:lvlText w:val="•"/>
      <w:lvlJc w:val="left"/>
      <w:pPr>
        <w:ind w:left="2300" w:hanging="360"/>
      </w:pPr>
      <w:rPr>
        <w:rFonts w:hint="default"/>
      </w:rPr>
    </w:lvl>
    <w:lvl w:ilvl="4" w:tplc="8CECB3A2">
      <w:start w:val="1"/>
      <w:numFmt w:val="bullet"/>
      <w:lvlText w:val="•"/>
      <w:lvlJc w:val="left"/>
      <w:pPr>
        <w:ind w:left="2792" w:hanging="360"/>
      </w:pPr>
      <w:rPr>
        <w:rFonts w:hint="default"/>
      </w:rPr>
    </w:lvl>
    <w:lvl w:ilvl="5" w:tplc="F9CA8236">
      <w:start w:val="1"/>
      <w:numFmt w:val="bullet"/>
      <w:lvlText w:val="•"/>
      <w:lvlJc w:val="left"/>
      <w:pPr>
        <w:ind w:left="3285" w:hanging="360"/>
      </w:pPr>
      <w:rPr>
        <w:rFonts w:hint="default"/>
      </w:rPr>
    </w:lvl>
    <w:lvl w:ilvl="6" w:tplc="F2E837B0">
      <w:start w:val="1"/>
      <w:numFmt w:val="bullet"/>
      <w:lvlText w:val="•"/>
      <w:lvlJc w:val="left"/>
      <w:pPr>
        <w:ind w:left="3777" w:hanging="360"/>
      </w:pPr>
      <w:rPr>
        <w:rFonts w:hint="default"/>
      </w:rPr>
    </w:lvl>
    <w:lvl w:ilvl="7" w:tplc="E42028A2">
      <w:start w:val="1"/>
      <w:numFmt w:val="bullet"/>
      <w:lvlText w:val="•"/>
      <w:lvlJc w:val="left"/>
      <w:pPr>
        <w:ind w:left="4270" w:hanging="360"/>
      </w:pPr>
      <w:rPr>
        <w:rFonts w:hint="default"/>
      </w:rPr>
    </w:lvl>
    <w:lvl w:ilvl="8" w:tplc="2E32A776">
      <w:start w:val="1"/>
      <w:numFmt w:val="bullet"/>
      <w:lvlText w:val="•"/>
      <w:lvlJc w:val="left"/>
      <w:pPr>
        <w:ind w:left="4763" w:hanging="360"/>
      </w:pPr>
      <w:rPr>
        <w:rFonts w:hint="default"/>
      </w:rPr>
    </w:lvl>
  </w:abstractNum>
  <w:abstractNum w:abstractNumId="21">
    <w:nsid w:val="40814570"/>
    <w:multiLevelType w:val="hybridMultilevel"/>
    <w:tmpl w:val="1B3ADCA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B2E2219E">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A32A4B"/>
    <w:multiLevelType w:val="hybridMultilevel"/>
    <w:tmpl w:val="4594D5A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9FE68B4"/>
    <w:multiLevelType w:val="hybridMultilevel"/>
    <w:tmpl w:val="15248EDE"/>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0A0589E"/>
    <w:multiLevelType w:val="hybridMultilevel"/>
    <w:tmpl w:val="D4EABB88"/>
    <w:lvl w:ilvl="0" w:tplc="E4E011CC">
      <w:start w:val="1"/>
      <w:numFmt w:val="bullet"/>
      <w:lvlText w:val=""/>
      <w:lvlJc w:val="left"/>
      <w:pPr>
        <w:ind w:left="837" w:hanging="360"/>
      </w:pPr>
      <w:rPr>
        <w:rFonts w:ascii="Symbol" w:eastAsia="Symbol" w:hAnsi="Symbol" w:hint="default"/>
        <w:sz w:val="20"/>
        <w:szCs w:val="20"/>
      </w:rPr>
    </w:lvl>
    <w:lvl w:ilvl="1" w:tplc="3A8A2E2C">
      <w:start w:val="1"/>
      <w:numFmt w:val="bullet"/>
      <w:lvlText w:val="•"/>
      <w:lvlJc w:val="left"/>
      <w:pPr>
        <w:ind w:left="1328" w:hanging="360"/>
      </w:pPr>
      <w:rPr>
        <w:rFonts w:hint="default"/>
      </w:rPr>
    </w:lvl>
    <w:lvl w:ilvl="2" w:tplc="C6FA162C">
      <w:start w:val="1"/>
      <w:numFmt w:val="bullet"/>
      <w:lvlText w:val="•"/>
      <w:lvlJc w:val="left"/>
      <w:pPr>
        <w:ind w:left="1819" w:hanging="360"/>
      </w:pPr>
      <w:rPr>
        <w:rFonts w:hint="default"/>
      </w:rPr>
    </w:lvl>
    <w:lvl w:ilvl="3" w:tplc="FB84A93C">
      <w:start w:val="1"/>
      <w:numFmt w:val="bullet"/>
      <w:lvlText w:val="•"/>
      <w:lvlJc w:val="left"/>
      <w:pPr>
        <w:ind w:left="2311" w:hanging="360"/>
      </w:pPr>
      <w:rPr>
        <w:rFonts w:hint="default"/>
      </w:rPr>
    </w:lvl>
    <w:lvl w:ilvl="4" w:tplc="D666BC68">
      <w:start w:val="1"/>
      <w:numFmt w:val="bullet"/>
      <w:lvlText w:val="•"/>
      <w:lvlJc w:val="left"/>
      <w:pPr>
        <w:ind w:left="2802" w:hanging="360"/>
      </w:pPr>
      <w:rPr>
        <w:rFonts w:hint="default"/>
      </w:rPr>
    </w:lvl>
    <w:lvl w:ilvl="5" w:tplc="61EC0F04">
      <w:start w:val="1"/>
      <w:numFmt w:val="bullet"/>
      <w:lvlText w:val="•"/>
      <w:lvlJc w:val="left"/>
      <w:pPr>
        <w:ind w:left="3293" w:hanging="360"/>
      </w:pPr>
      <w:rPr>
        <w:rFonts w:hint="default"/>
      </w:rPr>
    </w:lvl>
    <w:lvl w:ilvl="6" w:tplc="8BEC7D84">
      <w:start w:val="1"/>
      <w:numFmt w:val="bullet"/>
      <w:lvlText w:val="•"/>
      <w:lvlJc w:val="left"/>
      <w:pPr>
        <w:ind w:left="3784" w:hanging="360"/>
      </w:pPr>
      <w:rPr>
        <w:rFonts w:hint="default"/>
      </w:rPr>
    </w:lvl>
    <w:lvl w:ilvl="7" w:tplc="BE94E0FE">
      <w:start w:val="1"/>
      <w:numFmt w:val="bullet"/>
      <w:lvlText w:val="•"/>
      <w:lvlJc w:val="left"/>
      <w:pPr>
        <w:ind w:left="4275" w:hanging="360"/>
      </w:pPr>
      <w:rPr>
        <w:rFonts w:hint="default"/>
      </w:rPr>
    </w:lvl>
    <w:lvl w:ilvl="8" w:tplc="FB54898C">
      <w:start w:val="1"/>
      <w:numFmt w:val="bullet"/>
      <w:lvlText w:val="•"/>
      <w:lvlJc w:val="left"/>
      <w:pPr>
        <w:ind w:left="4766" w:hanging="360"/>
      </w:pPr>
      <w:rPr>
        <w:rFonts w:hint="default"/>
      </w:rPr>
    </w:lvl>
  </w:abstractNum>
  <w:abstractNum w:abstractNumId="25">
    <w:nsid w:val="51892F82"/>
    <w:multiLevelType w:val="multilevel"/>
    <w:tmpl w:val="AE8CA1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9666EDD"/>
    <w:multiLevelType w:val="hybridMultilevel"/>
    <w:tmpl w:val="C2E2D7EC"/>
    <w:lvl w:ilvl="0" w:tplc="FA9615A8">
      <w:start w:val="1"/>
      <w:numFmt w:val="bullet"/>
      <w:lvlText w:val=""/>
      <w:lvlJc w:val="left"/>
      <w:pPr>
        <w:ind w:left="822" w:hanging="360"/>
      </w:pPr>
      <w:rPr>
        <w:rFonts w:ascii="Symbol" w:eastAsia="Symbol" w:hAnsi="Symbol" w:hint="default"/>
        <w:sz w:val="20"/>
        <w:szCs w:val="20"/>
      </w:rPr>
    </w:lvl>
    <w:lvl w:ilvl="1" w:tplc="11DEC7D6">
      <w:start w:val="1"/>
      <w:numFmt w:val="bullet"/>
      <w:lvlText w:val="•"/>
      <w:lvlJc w:val="left"/>
      <w:pPr>
        <w:ind w:left="1314" w:hanging="360"/>
      </w:pPr>
      <w:rPr>
        <w:rFonts w:hint="default"/>
      </w:rPr>
    </w:lvl>
    <w:lvl w:ilvl="2" w:tplc="F9BC24EA">
      <w:start w:val="1"/>
      <w:numFmt w:val="bullet"/>
      <w:lvlText w:val="•"/>
      <w:lvlJc w:val="left"/>
      <w:pPr>
        <w:ind w:left="1807" w:hanging="360"/>
      </w:pPr>
      <w:rPr>
        <w:rFonts w:hint="default"/>
      </w:rPr>
    </w:lvl>
    <w:lvl w:ilvl="3" w:tplc="A8A651A6">
      <w:start w:val="1"/>
      <w:numFmt w:val="bullet"/>
      <w:lvlText w:val="•"/>
      <w:lvlJc w:val="left"/>
      <w:pPr>
        <w:ind w:left="2300" w:hanging="360"/>
      </w:pPr>
      <w:rPr>
        <w:rFonts w:hint="default"/>
      </w:rPr>
    </w:lvl>
    <w:lvl w:ilvl="4" w:tplc="DFF69166">
      <w:start w:val="1"/>
      <w:numFmt w:val="bullet"/>
      <w:lvlText w:val="•"/>
      <w:lvlJc w:val="left"/>
      <w:pPr>
        <w:ind w:left="2792" w:hanging="360"/>
      </w:pPr>
      <w:rPr>
        <w:rFonts w:hint="default"/>
      </w:rPr>
    </w:lvl>
    <w:lvl w:ilvl="5" w:tplc="77685444">
      <w:start w:val="1"/>
      <w:numFmt w:val="bullet"/>
      <w:lvlText w:val="•"/>
      <w:lvlJc w:val="left"/>
      <w:pPr>
        <w:ind w:left="3285" w:hanging="360"/>
      </w:pPr>
      <w:rPr>
        <w:rFonts w:hint="default"/>
      </w:rPr>
    </w:lvl>
    <w:lvl w:ilvl="6" w:tplc="2AE034AA">
      <w:start w:val="1"/>
      <w:numFmt w:val="bullet"/>
      <w:lvlText w:val="•"/>
      <w:lvlJc w:val="left"/>
      <w:pPr>
        <w:ind w:left="3777" w:hanging="360"/>
      </w:pPr>
      <w:rPr>
        <w:rFonts w:hint="default"/>
      </w:rPr>
    </w:lvl>
    <w:lvl w:ilvl="7" w:tplc="A7527772">
      <w:start w:val="1"/>
      <w:numFmt w:val="bullet"/>
      <w:lvlText w:val="•"/>
      <w:lvlJc w:val="left"/>
      <w:pPr>
        <w:ind w:left="4270" w:hanging="360"/>
      </w:pPr>
      <w:rPr>
        <w:rFonts w:hint="default"/>
      </w:rPr>
    </w:lvl>
    <w:lvl w:ilvl="8" w:tplc="BB2AD232">
      <w:start w:val="1"/>
      <w:numFmt w:val="bullet"/>
      <w:lvlText w:val="•"/>
      <w:lvlJc w:val="left"/>
      <w:pPr>
        <w:ind w:left="4763" w:hanging="360"/>
      </w:pPr>
      <w:rPr>
        <w:rFonts w:hint="default"/>
      </w:rPr>
    </w:lvl>
  </w:abstractNum>
  <w:abstractNum w:abstractNumId="27">
    <w:nsid w:val="5BD36A94"/>
    <w:multiLevelType w:val="hybridMultilevel"/>
    <w:tmpl w:val="8228DD16"/>
    <w:lvl w:ilvl="0" w:tplc="57D04E1A">
      <w:start w:val="3"/>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28">
    <w:nsid w:val="64027D2E"/>
    <w:multiLevelType w:val="hybridMultilevel"/>
    <w:tmpl w:val="3336E4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96C2463"/>
    <w:multiLevelType w:val="hybridMultilevel"/>
    <w:tmpl w:val="20689D4A"/>
    <w:lvl w:ilvl="0" w:tplc="85FED7B2">
      <w:start w:val="1"/>
      <w:numFmt w:val="bullet"/>
      <w:lvlText w:val=""/>
      <w:lvlJc w:val="left"/>
      <w:pPr>
        <w:ind w:left="837" w:hanging="360"/>
      </w:pPr>
      <w:rPr>
        <w:rFonts w:ascii="Symbol" w:eastAsia="Symbol" w:hAnsi="Symbol" w:hint="default"/>
        <w:sz w:val="20"/>
        <w:szCs w:val="20"/>
      </w:rPr>
    </w:lvl>
    <w:lvl w:ilvl="1" w:tplc="4E4AEA7A">
      <w:start w:val="1"/>
      <w:numFmt w:val="bullet"/>
      <w:lvlText w:val="•"/>
      <w:lvlJc w:val="left"/>
      <w:pPr>
        <w:ind w:left="1328" w:hanging="360"/>
      </w:pPr>
      <w:rPr>
        <w:rFonts w:hint="default"/>
      </w:rPr>
    </w:lvl>
    <w:lvl w:ilvl="2" w:tplc="D0A60460">
      <w:start w:val="1"/>
      <w:numFmt w:val="bullet"/>
      <w:lvlText w:val="•"/>
      <w:lvlJc w:val="left"/>
      <w:pPr>
        <w:ind w:left="1819" w:hanging="360"/>
      </w:pPr>
      <w:rPr>
        <w:rFonts w:hint="default"/>
      </w:rPr>
    </w:lvl>
    <w:lvl w:ilvl="3" w:tplc="50565586">
      <w:start w:val="1"/>
      <w:numFmt w:val="bullet"/>
      <w:lvlText w:val="•"/>
      <w:lvlJc w:val="left"/>
      <w:pPr>
        <w:ind w:left="2311" w:hanging="360"/>
      </w:pPr>
      <w:rPr>
        <w:rFonts w:hint="default"/>
      </w:rPr>
    </w:lvl>
    <w:lvl w:ilvl="4" w:tplc="4F40C57E">
      <w:start w:val="1"/>
      <w:numFmt w:val="bullet"/>
      <w:lvlText w:val="•"/>
      <w:lvlJc w:val="left"/>
      <w:pPr>
        <w:ind w:left="2802" w:hanging="360"/>
      </w:pPr>
      <w:rPr>
        <w:rFonts w:hint="default"/>
      </w:rPr>
    </w:lvl>
    <w:lvl w:ilvl="5" w:tplc="E560424A">
      <w:start w:val="1"/>
      <w:numFmt w:val="bullet"/>
      <w:lvlText w:val="•"/>
      <w:lvlJc w:val="left"/>
      <w:pPr>
        <w:ind w:left="3293" w:hanging="360"/>
      </w:pPr>
      <w:rPr>
        <w:rFonts w:hint="default"/>
      </w:rPr>
    </w:lvl>
    <w:lvl w:ilvl="6" w:tplc="5DE46E90">
      <w:start w:val="1"/>
      <w:numFmt w:val="bullet"/>
      <w:lvlText w:val="•"/>
      <w:lvlJc w:val="left"/>
      <w:pPr>
        <w:ind w:left="3784" w:hanging="360"/>
      </w:pPr>
      <w:rPr>
        <w:rFonts w:hint="default"/>
      </w:rPr>
    </w:lvl>
    <w:lvl w:ilvl="7" w:tplc="F628FECC">
      <w:start w:val="1"/>
      <w:numFmt w:val="bullet"/>
      <w:lvlText w:val="•"/>
      <w:lvlJc w:val="left"/>
      <w:pPr>
        <w:ind w:left="4275" w:hanging="360"/>
      </w:pPr>
      <w:rPr>
        <w:rFonts w:hint="default"/>
      </w:rPr>
    </w:lvl>
    <w:lvl w:ilvl="8" w:tplc="5F5CCFC8">
      <w:start w:val="1"/>
      <w:numFmt w:val="bullet"/>
      <w:lvlText w:val="•"/>
      <w:lvlJc w:val="left"/>
      <w:pPr>
        <w:ind w:left="4766" w:hanging="360"/>
      </w:pPr>
      <w:rPr>
        <w:rFonts w:hint="default"/>
      </w:rPr>
    </w:lvl>
  </w:abstractNum>
  <w:abstractNum w:abstractNumId="30">
    <w:nsid w:val="6C233DA2"/>
    <w:multiLevelType w:val="hybridMultilevel"/>
    <w:tmpl w:val="5186F232"/>
    <w:lvl w:ilvl="0" w:tplc="01462338">
      <w:start w:val="1"/>
      <w:numFmt w:val="bullet"/>
      <w:lvlText w:val=""/>
      <w:lvlJc w:val="left"/>
      <w:pPr>
        <w:ind w:left="837" w:hanging="360"/>
      </w:pPr>
      <w:rPr>
        <w:rFonts w:ascii="Symbol" w:eastAsia="Symbol" w:hAnsi="Symbol" w:hint="default"/>
        <w:sz w:val="20"/>
        <w:szCs w:val="20"/>
      </w:rPr>
    </w:lvl>
    <w:lvl w:ilvl="1" w:tplc="96CCA3F2">
      <w:start w:val="1"/>
      <w:numFmt w:val="bullet"/>
      <w:lvlText w:val="•"/>
      <w:lvlJc w:val="left"/>
      <w:pPr>
        <w:ind w:left="1328" w:hanging="360"/>
      </w:pPr>
      <w:rPr>
        <w:rFonts w:hint="default"/>
      </w:rPr>
    </w:lvl>
    <w:lvl w:ilvl="2" w:tplc="11F67A38">
      <w:start w:val="1"/>
      <w:numFmt w:val="bullet"/>
      <w:lvlText w:val="•"/>
      <w:lvlJc w:val="left"/>
      <w:pPr>
        <w:ind w:left="1819" w:hanging="360"/>
      </w:pPr>
      <w:rPr>
        <w:rFonts w:hint="default"/>
      </w:rPr>
    </w:lvl>
    <w:lvl w:ilvl="3" w:tplc="3DFA2070">
      <w:start w:val="1"/>
      <w:numFmt w:val="bullet"/>
      <w:lvlText w:val="•"/>
      <w:lvlJc w:val="left"/>
      <w:pPr>
        <w:ind w:left="2311" w:hanging="360"/>
      </w:pPr>
      <w:rPr>
        <w:rFonts w:hint="default"/>
      </w:rPr>
    </w:lvl>
    <w:lvl w:ilvl="4" w:tplc="DE0866FC">
      <w:start w:val="1"/>
      <w:numFmt w:val="bullet"/>
      <w:lvlText w:val="•"/>
      <w:lvlJc w:val="left"/>
      <w:pPr>
        <w:ind w:left="2802" w:hanging="360"/>
      </w:pPr>
      <w:rPr>
        <w:rFonts w:hint="default"/>
      </w:rPr>
    </w:lvl>
    <w:lvl w:ilvl="5" w:tplc="4710B3E2">
      <w:start w:val="1"/>
      <w:numFmt w:val="bullet"/>
      <w:lvlText w:val="•"/>
      <w:lvlJc w:val="left"/>
      <w:pPr>
        <w:ind w:left="3293" w:hanging="360"/>
      </w:pPr>
      <w:rPr>
        <w:rFonts w:hint="default"/>
      </w:rPr>
    </w:lvl>
    <w:lvl w:ilvl="6" w:tplc="5300BB36">
      <w:start w:val="1"/>
      <w:numFmt w:val="bullet"/>
      <w:lvlText w:val="•"/>
      <w:lvlJc w:val="left"/>
      <w:pPr>
        <w:ind w:left="3784" w:hanging="360"/>
      </w:pPr>
      <w:rPr>
        <w:rFonts w:hint="default"/>
      </w:rPr>
    </w:lvl>
    <w:lvl w:ilvl="7" w:tplc="849E1368">
      <w:start w:val="1"/>
      <w:numFmt w:val="bullet"/>
      <w:lvlText w:val="•"/>
      <w:lvlJc w:val="left"/>
      <w:pPr>
        <w:ind w:left="4275" w:hanging="360"/>
      </w:pPr>
      <w:rPr>
        <w:rFonts w:hint="default"/>
      </w:rPr>
    </w:lvl>
    <w:lvl w:ilvl="8" w:tplc="C0B69BB2">
      <w:start w:val="1"/>
      <w:numFmt w:val="bullet"/>
      <w:lvlText w:val="•"/>
      <w:lvlJc w:val="left"/>
      <w:pPr>
        <w:ind w:left="4766" w:hanging="360"/>
      </w:pPr>
      <w:rPr>
        <w:rFonts w:hint="default"/>
      </w:rPr>
    </w:lvl>
  </w:abstractNum>
  <w:abstractNum w:abstractNumId="31">
    <w:nsid w:val="6CE843B2"/>
    <w:multiLevelType w:val="hybridMultilevel"/>
    <w:tmpl w:val="1F6CDDDC"/>
    <w:lvl w:ilvl="0" w:tplc="CFCA365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7A1D7B"/>
    <w:multiLevelType w:val="hybridMultilevel"/>
    <w:tmpl w:val="8326E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7F3B74"/>
    <w:multiLevelType w:val="hybridMultilevel"/>
    <w:tmpl w:val="1664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8947EF"/>
    <w:multiLevelType w:val="hybridMultilevel"/>
    <w:tmpl w:val="D166AFFE"/>
    <w:lvl w:ilvl="0" w:tplc="4DB6D934">
      <w:start w:val="1"/>
      <w:numFmt w:val="bullet"/>
      <w:lvlText w:val=""/>
      <w:lvlJc w:val="left"/>
      <w:pPr>
        <w:ind w:left="822" w:hanging="360"/>
      </w:pPr>
      <w:rPr>
        <w:rFonts w:ascii="Symbol" w:eastAsia="Symbol" w:hAnsi="Symbol" w:hint="default"/>
        <w:sz w:val="20"/>
        <w:szCs w:val="20"/>
      </w:rPr>
    </w:lvl>
    <w:lvl w:ilvl="1" w:tplc="61685A7A">
      <w:start w:val="1"/>
      <w:numFmt w:val="bullet"/>
      <w:lvlText w:val="•"/>
      <w:lvlJc w:val="left"/>
      <w:pPr>
        <w:ind w:left="1314" w:hanging="360"/>
      </w:pPr>
      <w:rPr>
        <w:rFonts w:hint="default"/>
      </w:rPr>
    </w:lvl>
    <w:lvl w:ilvl="2" w:tplc="4E6E5FB8">
      <w:start w:val="1"/>
      <w:numFmt w:val="bullet"/>
      <w:lvlText w:val="•"/>
      <w:lvlJc w:val="left"/>
      <w:pPr>
        <w:ind w:left="1807" w:hanging="360"/>
      </w:pPr>
      <w:rPr>
        <w:rFonts w:hint="default"/>
      </w:rPr>
    </w:lvl>
    <w:lvl w:ilvl="3" w:tplc="A96051E0">
      <w:start w:val="1"/>
      <w:numFmt w:val="bullet"/>
      <w:lvlText w:val="•"/>
      <w:lvlJc w:val="left"/>
      <w:pPr>
        <w:ind w:left="2300" w:hanging="360"/>
      </w:pPr>
      <w:rPr>
        <w:rFonts w:hint="default"/>
      </w:rPr>
    </w:lvl>
    <w:lvl w:ilvl="4" w:tplc="54E40526">
      <w:start w:val="1"/>
      <w:numFmt w:val="bullet"/>
      <w:lvlText w:val="•"/>
      <w:lvlJc w:val="left"/>
      <w:pPr>
        <w:ind w:left="2792" w:hanging="360"/>
      </w:pPr>
      <w:rPr>
        <w:rFonts w:hint="default"/>
      </w:rPr>
    </w:lvl>
    <w:lvl w:ilvl="5" w:tplc="D466089E">
      <w:start w:val="1"/>
      <w:numFmt w:val="bullet"/>
      <w:lvlText w:val="•"/>
      <w:lvlJc w:val="left"/>
      <w:pPr>
        <w:ind w:left="3285" w:hanging="360"/>
      </w:pPr>
      <w:rPr>
        <w:rFonts w:hint="default"/>
      </w:rPr>
    </w:lvl>
    <w:lvl w:ilvl="6" w:tplc="DB74A708">
      <w:start w:val="1"/>
      <w:numFmt w:val="bullet"/>
      <w:lvlText w:val="•"/>
      <w:lvlJc w:val="left"/>
      <w:pPr>
        <w:ind w:left="3777" w:hanging="360"/>
      </w:pPr>
      <w:rPr>
        <w:rFonts w:hint="default"/>
      </w:rPr>
    </w:lvl>
    <w:lvl w:ilvl="7" w:tplc="6128C99E">
      <w:start w:val="1"/>
      <w:numFmt w:val="bullet"/>
      <w:lvlText w:val="•"/>
      <w:lvlJc w:val="left"/>
      <w:pPr>
        <w:ind w:left="4270" w:hanging="360"/>
      </w:pPr>
      <w:rPr>
        <w:rFonts w:hint="default"/>
      </w:rPr>
    </w:lvl>
    <w:lvl w:ilvl="8" w:tplc="2FD458D6">
      <w:start w:val="1"/>
      <w:numFmt w:val="bullet"/>
      <w:lvlText w:val="•"/>
      <w:lvlJc w:val="left"/>
      <w:pPr>
        <w:ind w:left="4763" w:hanging="360"/>
      </w:pPr>
      <w:rPr>
        <w:rFonts w:hint="default"/>
      </w:rPr>
    </w:lvl>
  </w:abstractNum>
  <w:abstractNum w:abstractNumId="35">
    <w:nsid w:val="728F350E"/>
    <w:multiLevelType w:val="hybridMultilevel"/>
    <w:tmpl w:val="E4D42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BC6CC7"/>
    <w:multiLevelType w:val="hybridMultilevel"/>
    <w:tmpl w:val="C3BEFDF8"/>
    <w:lvl w:ilvl="0" w:tplc="AC12CDC4">
      <w:start w:val="1"/>
      <w:numFmt w:val="bullet"/>
      <w:lvlText w:val=""/>
      <w:lvlJc w:val="left"/>
      <w:pPr>
        <w:ind w:left="837" w:hanging="360"/>
      </w:pPr>
      <w:rPr>
        <w:rFonts w:ascii="Symbol" w:eastAsia="Symbol" w:hAnsi="Symbol" w:hint="default"/>
        <w:sz w:val="20"/>
        <w:szCs w:val="20"/>
      </w:rPr>
    </w:lvl>
    <w:lvl w:ilvl="1" w:tplc="7BB8AA76">
      <w:start w:val="1"/>
      <w:numFmt w:val="bullet"/>
      <w:lvlText w:val="•"/>
      <w:lvlJc w:val="left"/>
      <w:pPr>
        <w:ind w:left="1328" w:hanging="360"/>
      </w:pPr>
      <w:rPr>
        <w:rFonts w:hint="default"/>
      </w:rPr>
    </w:lvl>
    <w:lvl w:ilvl="2" w:tplc="F684E530">
      <w:start w:val="1"/>
      <w:numFmt w:val="bullet"/>
      <w:lvlText w:val="•"/>
      <w:lvlJc w:val="left"/>
      <w:pPr>
        <w:ind w:left="1819" w:hanging="360"/>
      </w:pPr>
      <w:rPr>
        <w:rFonts w:hint="default"/>
      </w:rPr>
    </w:lvl>
    <w:lvl w:ilvl="3" w:tplc="FDB01404">
      <w:start w:val="1"/>
      <w:numFmt w:val="bullet"/>
      <w:lvlText w:val="•"/>
      <w:lvlJc w:val="left"/>
      <w:pPr>
        <w:ind w:left="2311" w:hanging="360"/>
      </w:pPr>
      <w:rPr>
        <w:rFonts w:hint="default"/>
      </w:rPr>
    </w:lvl>
    <w:lvl w:ilvl="4" w:tplc="2A9ADFA8">
      <w:start w:val="1"/>
      <w:numFmt w:val="bullet"/>
      <w:lvlText w:val="•"/>
      <w:lvlJc w:val="left"/>
      <w:pPr>
        <w:ind w:left="2802" w:hanging="360"/>
      </w:pPr>
      <w:rPr>
        <w:rFonts w:hint="default"/>
      </w:rPr>
    </w:lvl>
    <w:lvl w:ilvl="5" w:tplc="DCB6D8DE">
      <w:start w:val="1"/>
      <w:numFmt w:val="bullet"/>
      <w:lvlText w:val="•"/>
      <w:lvlJc w:val="left"/>
      <w:pPr>
        <w:ind w:left="3293" w:hanging="360"/>
      </w:pPr>
      <w:rPr>
        <w:rFonts w:hint="default"/>
      </w:rPr>
    </w:lvl>
    <w:lvl w:ilvl="6" w:tplc="4CAAA8FC">
      <w:start w:val="1"/>
      <w:numFmt w:val="bullet"/>
      <w:lvlText w:val="•"/>
      <w:lvlJc w:val="left"/>
      <w:pPr>
        <w:ind w:left="3784" w:hanging="360"/>
      </w:pPr>
      <w:rPr>
        <w:rFonts w:hint="default"/>
      </w:rPr>
    </w:lvl>
    <w:lvl w:ilvl="7" w:tplc="64769AD6">
      <w:start w:val="1"/>
      <w:numFmt w:val="bullet"/>
      <w:lvlText w:val="•"/>
      <w:lvlJc w:val="left"/>
      <w:pPr>
        <w:ind w:left="4275" w:hanging="360"/>
      </w:pPr>
      <w:rPr>
        <w:rFonts w:hint="default"/>
      </w:rPr>
    </w:lvl>
    <w:lvl w:ilvl="8" w:tplc="A50C4C4A">
      <w:start w:val="1"/>
      <w:numFmt w:val="bullet"/>
      <w:lvlText w:val="•"/>
      <w:lvlJc w:val="left"/>
      <w:pPr>
        <w:ind w:left="4766" w:hanging="360"/>
      </w:pPr>
      <w:rPr>
        <w:rFonts w:hint="default"/>
      </w:rPr>
    </w:lvl>
  </w:abstractNum>
  <w:abstractNum w:abstractNumId="37">
    <w:nsid w:val="764740A8"/>
    <w:multiLevelType w:val="hybridMultilevel"/>
    <w:tmpl w:val="81C85900"/>
    <w:lvl w:ilvl="0" w:tplc="C2BE7B3E">
      <w:start w:val="1"/>
      <w:numFmt w:val="bullet"/>
      <w:lvlText w:val=""/>
      <w:lvlJc w:val="left"/>
      <w:pPr>
        <w:ind w:left="837" w:hanging="360"/>
      </w:pPr>
      <w:rPr>
        <w:rFonts w:ascii="Symbol" w:eastAsia="Symbol" w:hAnsi="Symbol" w:hint="default"/>
        <w:sz w:val="20"/>
        <w:szCs w:val="20"/>
      </w:rPr>
    </w:lvl>
    <w:lvl w:ilvl="1" w:tplc="7A908526">
      <w:start w:val="1"/>
      <w:numFmt w:val="bullet"/>
      <w:lvlText w:val="•"/>
      <w:lvlJc w:val="left"/>
      <w:pPr>
        <w:ind w:left="1328" w:hanging="360"/>
      </w:pPr>
      <w:rPr>
        <w:rFonts w:hint="default"/>
      </w:rPr>
    </w:lvl>
    <w:lvl w:ilvl="2" w:tplc="865C116E">
      <w:start w:val="1"/>
      <w:numFmt w:val="bullet"/>
      <w:lvlText w:val="•"/>
      <w:lvlJc w:val="left"/>
      <w:pPr>
        <w:ind w:left="1819" w:hanging="360"/>
      </w:pPr>
      <w:rPr>
        <w:rFonts w:hint="default"/>
      </w:rPr>
    </w:lvl>
    <w:lvl w:ilvl="3" w:tplc="E690BB72">
      <w:start w:val="1"/>
      <w:numFmt w:val="bullet"/>
      <w:lvlText w:val="•"/>
      <w:lvlJc w:val="left"/>
      <w:pPr>
        <w:ind w:left="2311" w:hanging="360"/>
      </w:pPr>
      <w:rPr>
        <w:rFonts w:hint="default"/>
      </w:rPr>
    </w:lvl>
    <w:lvl w:ilvl="4" w:tplc="A82E73B0">
      <w:start w:val="1"/>
      <w:numFmt w:val="bullet"/>
      <w:lvlText w:val="•"/>
      <w:lvlJc w:val="left"/>
      <w:pPr>
        <w:ind w:left="2802" w:hanging="360"/>
      </w:pPr>
      <w:rPr>
        <w:rFonts w:hint="default"/>
      </w:rPr>
    </w:lvl>
    <w:lvl w:ilvl="5" w:tplc="965CD92E">
      <w:start w:val="1"/>
      <w:numFmt w:val="bullet"/>
      <w:lvlText w:val="•"/>
      <w:lvlJc w:val="left"/>
      <w:pPr>
        <w:ind w:left="3293" w:hanging="360"/>
      </w:pPr>
      <w:rPr>
        <w:rFonts w:hint="default"/>
      </w:rPr>
    </w:lvl>
    <w:lvl w:ilvl="6" w:tplc="5D00447E">
      <w:start w:val="1"/>
      <w:numFmt w:val="bullet"/>
      <w:lvlText w:val="•"/>
      <w:lvlJc w:val="left"/>
      <w:pPr>
        <w:ind w:left="3784" w:hanging="360"/>
      </w:pPr>
      <w:rPr>
        <w:rFonts w:hint="default"/>
      </w:rPr>
    </w:lvl>
    <w:lvl w:ilvl="7" w:tplc="089A683C">
      <w:start w:val="1"/>
      <w:numFmt w:val="bullet"/>
      <w:lvlText w:val="•"/>
      <w:lvlJc w:val="left"/>
      <w:pPr>
        <w:ind w:left="4275" w:hanging="360"/>
      </w:pPr>
      <w:rPr>
        <w:rFonts w:hint="default"/>
      </w:rPr>
    </w:lvl>
    <w:lvl w:ilvl="8" w:tplc="2A7C3836">
      <w:start w:val="1"/>
      <w:numFmt w:val="bullet"/>
      <w:lvlText w:val="•"/>
      <w:lvlJc w:val="left"/>
      <w:pPr>
        <w:ind w:left="4766" w:hanging="360"/>
      </w:pPr>
      <w:rPr>
        <w:rFonts w:hint="default"/>
      </w:rPr>
    </w:lvl>
  </w:abstractNum>
  <w:abstractNum w:abstractNumId="38">
    <w:nsid w:val="7D213592"/>
    <w:multiLevelType w:val="hybridMultilevel"/>
    <w:tmpl w:val="A852F52E"/>
    <w:lvl w:ilvl="0" w:tplc="760647C4">
      <w:start w:val="1"/>
      <w:numFmt w:val="bullet"/>
      <w:lvlText w:val=""/>
      <w:lvlJc w:val="left"/>
      <w:pPr>
        <w:ind w:left="822" w:hanging="360"/>
      </w:pPr>
      <w:rPr>
        <w:rFonts w:ascii="Symbol" w:eastAsia="Symbol" w:hAnsi="Symbol" w:hint="default"/>
        <w:sz w:val="20"/>
        <w:szCs w:val="20"/>
      </w:rPr>
    </w:lvl>
    <w:lvl w:ilvl="1" w:tplc="777C3988">
      <w:start w:val="1"/>
      <w:numFmt w:val="bullet"/>
      <w:lvlText w:val="•"/>
      <w:lvlJc w:val="left"/>
      <w:pPr>
        <w:ind w:left="1314" w:hanging="360"/>
      </w:pPr>
      <w:rPr>
        <w:rFonts w:hint="default"/>
      </w:rPr>
    </w:lvl>
    <w:lvl w:ilvl="2" w:tplc="9D5AEF6C">
      <w:start w:val="1"/>
      <w:numFmt w:val="bullet"/>
      <w:lvlText w:val="•"/>
      <w:lvlJc w:val="left"/>
      <w:pPr>
        <w:ind w:left="1807" w:hanging="360"/>
      </w:pPr>
      <w:rPr>
        <w:rFonts w:hint="default"/>
      </w:rPr>
    </w:lvl>
    <w:lvl w:ilvl="3" w:tplc="96769268">
      <w:start w:val="1"/>
      <w:numFmt w:val="bullet"/>
      <w:lvlText w:val="•"/>
      <w:lvlJc w:val="left"/>
      <w:pPr>
        <w:ind w:left="2300" w:hanging="360"/>
      </w:pPr>
      <w:rPr>
        <w:rFonts w:hint="default"/>
      </w:rPr>
    </w:lvl>
    <w:lvl w:ilvl="4" w:tplc="1954E970">
      <w:start w:val="1"/>
      <w:numFmt w:val="bullet"/>
      <w:lvlText w:val="•"/>
      <w:lvlJc w:val="left"/>
      <w:pPr>
        <w:ind w:left="2792" w:hanging="360"/>
      </w:pPr>
      <w:rPr>
        <w:rFonts w:hint="default"/>
      </w:rPr>
    </w:lvl>
    <w:lvl w:ilvl="5" w:tplc="2D7094C6">
      <w:start w:val="1"/>
      <w:numFmt w:val="bullet"/>
      <w:lvlText w:val="•"/>
      <w:lvlJc w:val="left"/>
      <w:pPr>
        <w:ind w:left="3285" w:hanging="360"/>
      </w:pPr>
      <w:rPr>
        <w:rFonts w:hint="default"/>
      </w:rPr>
    </w:lvl>
    <w:lvl w:ilvl="6" w:tplc="1D48B446">
      <w:start w:val="1"/>
      <w:numFmt w:val="bullet"/>
      <w:lvlText w:val="•"/>
      <w:lvlJc w:val="left"/>
      <w:pPr>
        <w:ind w:left="3777" w:hanging="360"/>
      </w:pPr>
      <w:rPr>
        <w:rFonts w:hint="default"/>
      </w:rPr>
    </w:lvl>
    <w:lvl w:ilvl="7" w:tplc="850CB8A4">
      <w:start w:val="1"/>
      <w:numFmt w:val="bullet"/>
      <w:lvlText w:val="•"/>
      <w:lvlJc w:val="left"/>
      <w:pPr>
        <w:ind w:left="4270" w:hanging="360"/>
      </w:pPr>
      <w:rPr>
        <w:rFonts w:hint="default"/>
      </w:rPr>
    </w:lvl>
    <w:lvl w:ilvl="8" w:tplc="11A2F50E">
      <w:start w:val="1"/>
      <w:numFmt w:val="bullet"/>
      <w:lvlText w:val="•"/>
      <w:lvlJc w:val="left"/>
      <w:pPr>
        <w:ind w:left="4763" w:hanging="360"/>
      </w:pPr>
      <w:rPr>
        <w:rFonts w:hint="default"/>
      </w:rPr>
    </w:lvl>
  </w:abstractNum>
  <w:num w:numId="1">
    <w:abstractNumId w:val="16"/>
  </w:num>
  <w:num w:numId="2">
    <w:abstractNumId w:val="17"/>
  </w:num>
  <w:num w:numId="3">
    <w:abstractNumId w:val="19"/>
  </w:num>
  <w:num w:numId="4">
    <w:abstractNumId w:val="15"/>
  </w:num>
  <w:num w:numId="5">
    <w:abstractNumId w:val="18"/>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8"/>
  </w:num>
  <w:num w:numId="13">
    <w:abstractNumId w:val="38"/>
  </w:num>
  <w:num w:numId="14">
    <w:abstractNumId w:val="26"/>
  </w:num>
  <w:num w:numId="15">
    <w:abstractNumId w:val="7"/>
  </w:num>
  <w:num w:numId="16">
    <w:abstractNumId w:val="29"/>
  </w:num>
  <w:num w:numId="17">
    <w:abstractNumId w:val="34"/>
  </w:num>
  <w:num w:numId="18">
    <w:abstractNumId w:val="20"/>
  </w:num>
  <w:num w:numId="19">
    <w:abstractNumId w:val="37"/>
  </w:num>
  <w:num w:numId="20">
    <w:abstractNumId w:val="30"/>
  </w:num>
  <w:num w:numId="21">
    <w:abstractNumId w:val="24"/>
  </w:num>
  <w:num w:numId="22">
    <w:abstractNumId w:val="13"/>
  </w:num>
  <w:num w:numId="23">
    <w:abstractNumId w:val="14"/>
  </w:num>
  <w:num w:numId="24">
    <w:abstractNumId w:val="36"/>
  </w:num>
  <w:num w:numId="25">
    <w:abstractNumId w:val="10"/>
  </w:num>
  <w:num w:numId="26">
    <w:abstractNumId w:val="5"/>
  </w:num>
  <w:num w:numId="27">
    <w:abstractNumId w:val="1"/>
  </w:num>
  <w:num w:numId="28">
    <w:abstractNumId w:val="2"/>
  </w:num>
  <w:num w:numId="29">
    <w:abstractNumId w:val="31"/>
  </w:num>
  <w:num w:numId="30">
    <w:abstractNumId w:val="28"/>
  </w:num>
  <w:num w:numId="31">
    <w:abstractNumId w:val="33"/>
  </w:num>
  <w:num w:numId="32">
    <w:abstractNumId w:val="21"/>
  </w:num>
  <w:num w:numId="33">
    <w:abstractNumId w:val="6"/>
  </w:num>
  <w:num w:numId="34">
    <w:abstractNumId w:val="11"/>
  </w:num>
  <w:num w:numId="35">
    <w:abstractNumId w:val="4"/>
  </w:num>
  <w:num w:numId="36">
    <w:abstractNumId w:val="23"/>
  </w:num>
  <w:num w:numId="37">
    <w:abstractNumId w:val="22"/>
  </w:num>
  <w:num w:numId="38">
    <w:abstractNumId w:val="32"/>
  </w:num>
  <w:num w:numId="39">
    <w:abstractNumId w:val="3"/>
  </w:num>
  <w:num w:numId="40">
    <w:abstractNumId w:val="35"/>
  </w:num>
  <w:num w:numId="41">
    <w:abstractNumId w:val="12"/>
  </w:num>
  <w:num w:numId="42">
    <w:abstractNumId w:val="9"/>
  </w:num>
  <w:num w:numId="4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a-DK" w:vendorID="64" w:dllVersion="131078" w:nlCheck="1" w:checkStyle="0"/>
  <w:revisionView w:markup="0"/>
  <w:defaultTabStop w:val="720"/>
  <w:hyphenationZone w:val="425"/>
  <w:displayHorizontalDrawingGridEvery w:val="0"/>
  <w:displayVerticalDrawingGridEvery w:val="2"/>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32DCB98-76EE-464D-BF5A-0F2AB21934A9"/>
    <w:docVar w:name="LW_COVERPAGE_TYPE" w:val="1"/>
    <w:docVar w:name="LW_CROSSREFERENCE" w:val="&lt;UNUSED&gt;"/>
    <w:docVar w:name="LW_DocType" w:val="NORMAL"/>
    <w:docVar w:name="LW_EMISSION" w:val="19.12.2018"/>
    <w:docVar w:name="LW_EMISSION_ISODATE" w:val="2018-12-19"/>
    <w:docVar w:name="LW_EMISSION_LOCATION" w:val="BRX"/>
    <w:docVar w:name="LW_EMISSION_PREFIX" w:val="Bruselj, "/>
    <w:docVar w:name="LW_EMISSION_SUFFIX" w:val=" "/>
    <w:docVar w:name="LW_ID_DOCTYPE_NONLW" w:val="CP-009"/>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8) 8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gt;Priprave na izstop Zdru\u382?enega kraljestva iz Evropske unije 30. marca 2019&lt;/FMT&gt;&lt;FMT:Font=Calibri CE&gt;: izvajanje na\u269?rta Komisije za nepredvidljive razmere&lt;/FMT&gt;_x000b_"/>
    <w:docVar w:name="LW_TYPE.DOC.CP" w:val="SPORO\u268?ILO KOMISIJE"/>
    <w:docVar w:name="LW_TYPE.DOC.CP.USERTEXT" w:val="EVROPSKEMU PARLAMENTU, EVROPSKEMU SVETU, SVETU, EVROPSKI CENTRALNI BANKI, EVROPSKEMU EKONOMSKO-SOCIALNEMU ODBORU, ODBORU REGIJ IN EVROPSKI INVESTICIJSKI BANKI"/>
  </w:docVar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sl-SI"/>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8"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7"/>
    <w:qFormat/>
    <w:pPr>
      <w:ind w:left="99"/>
      <w:outlineLvl w:val="0"/>
    </w:pPr>
    <w:rPr>
      <w:rFonts w:ascii="Times New Roman" w:eastAsia="Times New Roman" w:hAnsi="Times New Roman"/>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w w:val="100"/>
      <w:sz w:val="20"/>
      <w:szCs w:val="20"/>
      <w:shd w:val="clear" w:color="auto" w:fill="auto"/>
    </w:rPr>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
    <w:basedOn w:val="Normal"/>
    <w:link w:val="ListParagraphChar"/>
    <w:uiPriority w:val="34"/>
    <w:qFormat/>
    <w:pPr>
      <w:ind w:left="720"/>
    </w:pPr>
  </w:style>
  <w:style w:type="table" w:styleId="TableGrid">
    <w:name w:val="Table Grid"/>
    <w:basedOn w:val="TableNormal"/>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w w:val="100"/>
      <w:sz w:val="20"/>
      <w:szCs w:val="20"/>
      <w:shd w:val="clear" w:color="000000" w:fill="auto"/>
    </w:rPr>
  </w:style>
  <w:style w:type="paragraph" w:customStyle="1" w:styleId="Pagedecouverture">
    <w:name w:val="Page de couverture"/>
    <w:basedOn w:val="Normal"/>
    <w:next w:val="Normal"/>
    <w:pPr>
      <w:jc w:val="both"/>
    </w:pPr>
    <w:rPr>
      <w:rFonts w:ascii="Times New Roman" w:eastAsia="Times New Roman" w:hAnsi="Times New Roman"/>
      <w:sz w:val="24"/>
      <w:szCs w:val="24"/>
    </w:rPr>
  </w:style>
  <w:style w:type="paragraph" w:styleId="Header">
    <w:name w:val="header"/>
    <w:basedOn w:val="Normal"/>
    <w:link w:val="HeaderChar"/>
    <w:unhideWhenUsed/>
    <w:pPr>
      <w:tabs>
        <w:tab w:val="center" w:pos="4536"/>
        <w:tab w:val="right" w:pos="9072"/>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jc w:val="center"/>
    </w:pPr>
    <w:rPr>
      <w:rFonts w:ascii="Times New Roman" w:eastAsia="Times New Roman" w:hAnsi="Times New Roman"/>
      <w:b/>
      <w:sz w:val="24"/>
      <w:szCs w:val="24"/>
    </w:rPr>
  </w:style>
  <w:style w:type="paragraph" w:customStyle="1" w:styleId="Titreobjet">
    <w:name w:val="Titre objet"/>
    <w:basedOn w:val="Normal"/>
    <w:next w:val="Normal"/>
    <w:pPr>
      <w:jc w:val="center"/>
    </w:pPr>
    <w:rPr>
      <w:rFonts w:ascii="Times New Roman" w:eastAsia="Times New Roman" w:hAnsi="Times New Roman"/>
      <w:b/>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sz w:val="24"/>
    </w:rPr>
  </w:style>
  <w:style w:type="character" w:customStyle="1" w:styleId="TypedudocumentChar">
    <w:name w:val="Type du document Char"/>
    <w:basedOn w:val="DefaultParagraphFont"/>
    <w:link w:val="Typedudocument"/>
    <w:rPr>
      <w:rFonts w:ascii="Times New Roman" w:eastAsia="Times New Roman" w:hAnsi="Times New Roman"/>
      <w:b/>
      <w:w w:val="100"/>
      <w:sz w:val="24"/>
      <w:szCs w:val="24"/>
      <w:shd w:val="clear" w:color="auto" w:fill="auto"/>
    </w:rPr>
  </w:style>
  <w:style w:type="character" w:customStyle="1" w:styleId="FooterCoverPageChar">
    <w:name w:val="Footer Cover Page Char"/>
    <w:basedOn w:val="TypedudocumentChar"/>
    <w:link w:val="FooterCoverPage"/>
    <w:rPr>
      <w:rFonts w:ascii="Times New Roman" w:eastAsia="Times New Roman" w:hAnsi="Times New Roman"/>
      <w:b w:val="0"/>
      <w:w w:val="100"/>
      <w:sz w:val="24"/>
      <w:szCs w:val="24"/>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TypedudocumentChar"/>
    <w:link w:val="FooterSensitivity"/>
    <w:rPr>
      <w:rFonts w:ascii="Times New Roman" w:eastAsia="Times New Roman" w:hAnsi="Times New Roman"/>
      <w:b/>
      <w:w w:val="100"/>
      <w:sz w:val="32"/>
      <w:szCs w:val="24"/>
      <w:shd w:val="clear" w:color="auto" w:fill="auto"/>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TypedudocumentChar"/>
    <w:link w:val="HeaderCoverPage"/>
    <w:rPr>
      <w:rFonts w:ascii="Times New Roman" w:eastAsia="Times New Roman" w:hAnsi="Times New Roman"/>
      <w:b w:val="0"/>
      <w:w w:val="100"/>
      <w:sz w:val="24"/>
      <w:szCs w:val="24"/>
      <w:shd w:val="clear" w:color="auto" w:fill="auto"/>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TypedudocumentChar"/>
    <w:link w:val="HeaderSensitivity"/>
    <w:rPr>
      <w:rFonts w:ascii="Times New Roman" w:eastAsia="Times New Roman" w:hAnsi="Times New Roman"/>
      <w:b/>
      <w:w w:val="100"/>
      <w:sz w:val="32"/>
      <w:szCs w:val="24"/>
      <w:shd w:val="clear" w:color="auto" w:fill="auto"/>
    </w:rPr>
  </w:style>
  <w:style w:type="paragraph" w:styleId="NormalWeb">
    <w:name w:val="Normal (Web)"/>
    <w:basedOn w:val="Normal"/>
    <w:uiPriority w:val="99"/>
    <w:unhideWhenUsed/>
    <w:rPr>
      <w:rFonts w:ascii="Times New Roman" w:eastAsia="Times New Roman" w:hAnsi="Times New Roman"/>
      <w:sz w:val="24"/>
      <w:szCs w:val="24"/>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rPr>
      <w:w w:val="100"/>
      <w:sz w:val="20"/>
      <w:szCs w:val="20"/>
      <w:shd w:val="clear" w:color="auto" w:fill="auto"/>
    </w:rPr>
  </w:style>
  <w:style w:type="character" w:styleId="FootnoteReference">
    <w:name w:val="footnote reference"/>
    <w:basedOn w:val="DefaultParagraphFont"/>
    <w:unhideWhenUsed/>
    <w:rPr>
      <w:w w:val="100"/>
      <w:sz w:val="20"/>
      <w:szCs w:val="20"/>
      <w:shd w:val="clear" w:color="auto" w:fill="auto"/>
      <w:vertAlign w:val="superscript"/>
    </w:rPr>
  </w:style>
  <w:style w:type="character" w:styleId="Hyperlink">
    <w:name w:val="Hyperlink"/>
    <w:basedOn w:val="DefaultParagraphFont"/>
    <w:unhideWhenUsed/>
    <w:rPr>
      <w:color w:val="0000FF" w:themeColor="hyperlink"/>
      <w:w w:val="100"/>
      <w:sz w:val="20"/>
      <w:szCs w:val="20"/>
      <w:u w:val="single"/>
      <w:shd w:val="clear" w:color="auto" w:fill="auto"/>
    </w:r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style>
  <w:style w:type="paragraph" w:customStyle="1" w:styleId="Briefingtext">
    <w:name w:val="Briefing text"/>
    <w:basedOn w:val="Normal"/>
    <w:link w:val="BriefingtextChar"/>
    <w:pPr>
      <w:jc w:val="both"/>
    </w:pPr>
    <w:rPr>
      <w:rFonts w:ascii="Arial" w:eastAsia="Arial" w:hAnsi="Arial"/>
      <w:sz w:val="20"/>
      <w:szCs w:val="20"/>
    </w:rPr>
  </w:style>
  <w:style w:type="character" w:customStyle="1" w:styleId="BriefingtextChar">
    <w:name w:val="Briefing text Char"/>
    <w:link w:val="Briefingtext"/>
    <w:rPr>
      <w:rFonts w:ascii="Arial" w:eastAsia="Arial" w:hAnsi="Arial"/>
      <w:w w:val="100"/>
      <w:sz w:val="20"/>
      <w:szCs w:val="20"/>
      <w:shd w:val="clear" w:color="auto" w:fill="auto"/>
    </w:rPr>
  </w:style>
  <w:style w:type="paragraph" w:customStyle="1" w:styleId="Default">
    <w:name w:val="Default"/>
    <w:pPr>
      <w:autoSpaceDE w:val="0"/>
      <w:autoSpaceDN w:val="0"/>
    </w:pPr>
    <w:rPr>
      <w:rFonts w:ascii="Times New Roman" w:eastAsia="Times New Roman" w:hAnsi="Times New Roman"/>
      <w:color w:val="000000"/>
      <w:sz w:val="24"/>
      <w:szCs w:val="24"/>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customStyle="1" w:styleId="statut">
    <w:name w:val="statut"/>
    <w:basedOn w:val="Normal"/>
    <w:rPr>
      <w:rFonts w:ascii="Times New Roman" w:eastAsia="Times New Roman" w:hAnsi="Times New Roman"/>
      <w:sz w:val="24"/>
      <w:szCs w:val="24"/>
    </w:rPr>
  </w:style>
  <w:style w:type="character" w:customStyle="1" w:styleId="truncate">
    <w:name w:val="truncate"/>
    <w:basedOn w:val="DefaultParagraphFont"/>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w w:val="100"/>
      <w:sz w:val="20"/>
      <w:szCs w:val="20"/>
      <w:shd w:val="clear" w:color="auto" w:fill="auto"/>
    </w:rPr>
  </w:style>
  <w:style w:type="character" w:styleId="FollowedHyperlink">
    <w:name w:val="FollowedHyperlink"/>
    <w:basedOn w:val="DefaultParagraphFont"/>
    <w:semiHidden/>
    <w:unhideWhenUsed/>
    <w:rPr>
      <w:color w:val="800080" w:themeColor="followedHyperlink"/>
      <w:w w:val="100"/>
      <w:sz w:val="20"/>
      <w:szCs w:val="20"/>
      <w:u w:val="single"/>
      <w:shd w:val="clear" w:color="auto" w:fill="auto"/>
    </w:rPr>
  </w:style>
  <w:style w:type="character" w:customStyle="1" w:styleId="UnresolvedMention">
    <w:name w:val="Unresolved Mention"/>
    <w:basedOn w:val="DefaultParagraphFont"/>
    <w:semiHidden/>
    <w:unhideWhenUsed/>
    <w:rPr>
      <w:color w:val="605E5C"/>
      <w:w w:val="100"/>
      <w:sz w:val="20"/>
      <w:szCs w:val="20"/>
      <w:shd w:val="clear" w:color="000000" w:fill="E1DFDD"/>
    </w:rPr>
  </w:style>
  <w:style w:type="paragraph" w:styleId="Revision">
    <w:name w:val="Revision"/>
    <w:semiHidden/>
  </w:style>
  <w:style w:type="character" w:customStyle="1" w:styleId="Heading1Char">
    <w:name w:val="Heading 1 Char"/>
    <w:basedOn w:val="DefaultParagraphFont"/>
    <w:link w:val="Heading1"/>
    <w:rPr>
      <w:rFonts w:ascii="Times New Roman" w:eastAsia="Times New Roman" w:hAnsi="Times New Roman"/>
      <w:w w:val="100"/>
      <w:sz w:val="24"/>
      <w:szCs w:val="24"/>
      <w:u w:val="single"/>
      <w:shd w:val="clear" w:color="auto" w:fill="auto"/>
    </w:rPr>
  </w:style>
  <w:style w:type="paragraph" w:customStyle="1" w:styleId="TableParagraph">
    <w:name w:val="Table Paragraph"/>
    <w:basedOn w:val="Normal"/>
    <w:uiPriority w:val="1"/>
    <w:qFormat/>
    <w:rPr>
      <w:sz w:val="20"/>
      <w:szCs w:val="20"/>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sl-SI"/>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8"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7"/>
    <w:qFormat/>
    <w:pPr>
      <w:ind w:left="99"/>
      <w:outlineLvl w:val="0"/>
    </w:pPr>
    <w:rPr>
      <w:rFonts w:ascii="Times New Roman" w:eastAsia="Times New Roman" w:hAnsi="Times New Roman"/>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w w:val="100"/>
      <w:sz w:val="20"/>
      <w:szCs w:val="20"/>
      <w:shd w:val="clear" w:color="auto" w:fill="auto"/>
    </w:rPr>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
    <w:basedOn w:val="Normal"/>
    <w:link w:val="ListParagraphChar"/>
    <w:uiPriority w:val="34"/>
    <w:qFormat/>
    <w:pPr>
      <w:ind w:left="720"/>
    </w:pPr>
  </w:style>
  <w:style w:type="table" w:styleId="TableGrid">
    <w:name w:val="Table Grid"/>
    <w:basedOn w:val="TableNormal"/>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w w:val="100"/>
      <w:sz w:val="20"/>
      <w:szCs w:val="20"/>
      <w:shd w:val="clear" w:color="000000" w:fill="auto"/>
    </w:rPr>
  </w:style>
  <w:style w:type="paragraph" w:customStyle="1" w:styleId="Pagedecouverture">
    <w:name w:val="Page de couverture"/>
    <w:basedOn w:val="Normal"/>
    <w:next w:val="Normal"/>
    <w:pPr>
      <w:jc w:val="both"/>
    </w:pPr>
    <w:rPr>
      <w:rFonts w:ascii="Times New Roman" w:eastAsia="Times New Roman" w:hAnsi="Times New Roman"/>
      <w:sz w:val="24"/>
      <w:szCs w:val="24"/>
    </w:rPr>
  </w:style>
  <w:style w:type="paragraph" w:styleId="Header">
    <w:name w:val="header"/>
    <w:basedOn w:val="Normal"/>
    <w:link w:val="HeaderChar"/>
    <w:unhideWhenUsed/>
    <w:pPr>
      <w:tabs>
        <w:tab w:val="center" w:pos="4536"/>
        <w:tab w:val="right" w:pos="9072"/>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jc w:val="center"/>
    </w:pPr>
    <w:rPr>
      <w:rFonts w:ascii="Times New Roman" w:eastAsia="Times New Roman" w:hAnsi="Times New Roman"/>
      <w:b/>
      <w:sz w:val="24"/>
      <w:szCs w:val="24"/>
    </w:rPr>
  </w:style>
  <w:style w:type="paragraph" w:customStyle="1" w:styleId="Titreobjet">
    <w:name w:val="Titre objet"/>
    <w:basedOn w:val="Normal"/>
    <w:next w:val="Normal"/>
    <w:pPr>
      <w:jc w:val="center"/>
    </w:pPr>
    <w:rPr>
      <w:rFonts w:ascii="Times New Roman" w:eastAsia="Times New Roman" w:hAnsi="Times New Roman"/>
      <w:b/>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sz w:val="24"/>
    </w:rPr>
  </w:style>
  <w:style w:type="character" w:customStyle="1" w:styleId="TypedudocumentChar">
    <w:name w:val="Type du document Char"/>
    <w:basedOn w:val="DefaultParagraphFont"/>
    <w:link w:val="Typedudocument"/>
    <w:rPr>
      <w:rFonts w:ascii="Times New Roman" w:eastAsia="Times New Roman" w:hAnsi="Times New Roman"/>
      <w:b/>
      <w:w w:val="100"/>
      <w:sz w:val="24"/>
      <w:szCs w:val="24"/>
      <w:shd w:val="clear" w:color="auto" w:fill="auto"/>
    </w:rPr>
  </w:style>
  <w:style w:type="character" w:customStyle="1" w:styleId="FooterCoverPageChar">
    <w:name w:val="Footer Cover Page Char"/>
    <w:basedOn w:val="TypedudocumentChar"/>
    <w:link w:val="FooterCoverPage"/>
    <w:rPr>
      <w:rFonts w:ascii="Times New Roman" w:eastAsia="Times New Roman" w:hAnsi="Times New Roman"/>
      <w:b w:val="0"/>
      <w:w w:val="100"/>
      <w:sz w:val="24"/>
      <w:szCs w:val="24"/>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TypedudocumentChar"/>
    <w:link w:val="FooterSensitivity"/>
    <w:rPr>
      <w:rFonts w:ascii="Times New Roman" w:eastAsia="Times New Roman" w:hAnsi="Times New Roman"/>
      <w:b/>
      <w:w w:val="100"/>
      <w:sz w:val="32"/>
      <w:szCs w:val="24"/>
      <w:shd w:val="clear" w:color="auto" w:fill="auto"/>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TypedudocumentChar"/>
    <w:link w:val="HeaderCoverPage"/>
    <w:rPr>
      <w:rFonts w:ascii="Times New Roman" w:eastAsia="Times New Roman" w:hAnsi="Times New Roman"/>
      <w:b w:val="0"/>
      <w:w w:val="100"/>
      <w:sz w:val="24"/>
      <w:szCs w:val="24"/>
      <w:shd w:val="clear" w:color="auto" w:fill="auto"/>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TypedudocumentChar"/>
    <w:link w:val="HeaderSensitivity"/>
    <w:rPr>
      <w:rFonts w:ascii="Times New Roman" w:eastAsia="Times New Roman" w:hAnsi="Times New Roman"/>
      <w:b/>
      <w:w w:val="100"/>
      <w:sz w:val="32"/>
      <w:szCs w:val="24"/>
      <w:shd w:val="clear" w:color="auto" w:fill="auto"/>
    </w:rPr>
  </w:style>
  <w:style w:type="paragraph" w:styleId="NormalWeb">
    <w:name w:val="Normal (Web)"/>
    <w:basedOn w:val="Normal"/>
    <w:uiPriority w:val="99"/>
    <w:unhideWhenUsed/>
    <w:rPr>
      <w:rFonts w:ascii="Times New Roman" w:eastAsia="Times New Roman" w:hAnsi="Times New Roman"/>
      <w:sz w:val="24"/>
      <w:szCs w:val="24"/>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rPr>
      <w:w w:val="100"/>
      <w:sz w:val="20"/>
      <w:szCs w:val="20"/>
      <w:shd w:val="clear" w:color="auto" w:fill="auto"/>
    </w:rPr>
  </w:style>
  <w:style w:type="character" w:styleId="FootnoteReference">
    <w:name w:val="footnote reference"/>
    <w:basedOn w:val="DefaultParagraphFont"/>
    <w:unhideWhenUsed/>
    <w:rPr>
      <w:w w:val="100"/>
      <w:sz w:val="20"/>
      <w:szCs w:val="20"/>
      <w:shd w:val="clear" w:color="auto" w:fill="auto"/>
      <w:vertAlign w:val="superscript"/>
    </w:rPr>
  </w:style>
  <w:style w:type="character" w:styleId="Hyperlink">
    <w:name w:val="Hyperlink"/>
    <w:basedOn w:val="DefaultParagraphFont"/>
    <w:unhideWhenUsed/>
    <w:rPr>
      <w:color w:val="0000FF" w:themeColor="hyperlink"/>
      <w:w w:val="100"/>
      <w:sz w:val="20"/>
      <w:szCs w:val="20"/>
      <w:u w:val="single"/>
      <w:shd w:val="clear" w:color="auto" w:fill="auto"/>
    </w:r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style>
  <w:style w:type="paragraph" w:customStyle="1" w:styleId="Briefingtext">
    <w:name w:val="Briefing text"/>
    <w:basedOn w:val="Normal"/>
    <w:link w:val="BriefingtextChar"/>
    <w:pPr>
      <w:jc w:val="both"/>
    </w:pPr>
    <w:rPr>
      <w:rFonts w:ascii="Arial" w:eastAsia="Arial" w:hAnsi="Arial"/>
      <w:sz w:val="20"/>
      <w:szCs w:val="20"/>
    </w:rPr>
  </w:style>
  <w:style w:type="character" w:customStyle="1" w:styleId="BriefingtextChar">
    <w:name w:val="Briefing text Char"/>
    <w:link w:val="Briefingtext"/>
    <w:rPr>
      <w:rFonts w:ascii="Arial" w:eastAsia="Arial" w:hAnsi="Arial"/>
      <w:w w:val="100"/>
      <w:sz w:val="20"/>
      <w:szCs w:val="20"/>
      <w:shd w:val="clear" w:color="auto" w:fill="auto"/>
    </w:rPr>
  </w:style>
  <w:style w:type="paragraph" w:customStyle="1" w:styleId="Default">
    <w:name w:val="Default"/>
    <w:pPr>
      <w:autoSpaceDE w:val="0"/>
      <w:autoSpaceDN w:val="0"/>
    </w:pPr>
    <w:rPr>
      <w:rFonts w:ascii="Times New Roman" w:eastAsia="Times New Roman" w:hAnsi="Times New Roman"/>
      <w:color w:val="000000"/>
      <w:sz w:val="24"/>
      <w:szCs w:val="24"/>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customStyle="1" w:styleId="statut">
    <w:name w:val="statut"/>
    <w:basedOn w:val="Normal"/>
    <w:rPr>
      <w:rFonts w:ascii="Times New Roman" w:eastAsia="Times New Roman" w:hAnsi="Times New Roman"/>
      <w:sz w:val="24"/>
      <w:szCs w:val="24"/>
    </w:rPr>
  </w:style>
  <w:style w:type="character" w:customStyle="1" w:styleId="truncate">
    <w:name w:val="truncate"/>
    <w:basedOn w:val="DefaultParagraphFont"/>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w w:val="100"/>
      <w:sz w:val="20"/>
      <w:szCs w:val="20"/>
      <w:shd w:val="clear" w:color="auto" w:fill="auto"/>
    </w:rPr>
  </w:style>
  <w:style w:type="character" w:styleId="FollowedHyperlink">
    <w:name w:val="FollowedHyperlink"/>
    <w:basedOn w:val="DefaultParagraphFont"/>
    <w:semiHidden/>
    <w:unhideWhenUsed/>
    <w:rPr>
      <w:color w:val="800080" w:themeColor="followedHyperlink"/>
      <w:w w:val="100"/>
      <w:sz w:val="20"/>
      <w:szCs w:val="20"/>
      <w:u w:val="single"/>
      <w:shd w:val="clear" w:color="auto" w:fill="auto"/>
    </w:rPr>
  </w:style>
  <w:style w:type="character" w:customStyle="1" w:styleId="UnresolvedMention">
    <w:name w:val="Unresolved Mention"/>
    <w:basedOn w:val="DefaultParagraphFont"/>
    <w:semiHidden/>
    <w:unhideWhenUsed/>
    <w:rPr>
      <w:color w:val="605E5C"/>
      <w:w w:val="100"/>
      <w:sz w:val="20"/>
      <w:szCs w:val="20"/>
      <w:shd w:val="clear" w:color="000000" w:fill="E1DFDD"/>
    </w:rPr>
  </w:style>
  <w:style w:type="paragraph" w:styleId="Revision">
    <w:name w:val="Revision"/>
    <w:semiHidden/>
  </w:style>
  <w:style w:type="character" w:customStyle="1" w:styleId="Heading1Char">
    <w:name w:val="Heading 1 Char"/>
    <w:basedOn w:val="DefaultParagraphFont"/>
    <w:link w:val="Heading1"/>
    <w:rPr>
      <w:rFonts w:ascii="Times New Roman" w:eastAsia="Times New Roman" w:hAnsi="Times New Roman"/>
      <w:w w:val="100"/>
      <w:sz w:val="24"/>
      <w:szCs w:val="24"/>
      <w:u w:val="single"/>
      <w:shd w:val="clear" w:color="auto" w:fill="auto"/>
    </w:rPr>
  </w:style>
  <w:style w:type="paragraph" w:customStyle="1" w:styleId="TableParagraph">
    <w:name w:val="Table Paragraph"/>
    <w:basedOn w:val="Normal"/>
    <w:uiPriority w:val="1"/>
    <w:qFormat/>
    <w:rPr>
      <w:sz w:val="20"/>
      <w:szCs w:val="20"/>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636">
      <w:bodyDiv w:val="1"/>
      <w:marLeft w:val="0"/>
      <w:marRight w:val="0"/>
      <w:marTop w:val="0"/>
      <w:marBottom w:val="0"/>
      <w:divBdr>
        <w:top w:val="none" w:sz="0" w:space="0" w:color="auto"/>
        <w:left w:val="none" w:sz="0" w:space="0" w:color="auto"/>
        <w:bottom w:val="none" w:sz="0" w:space="0" w:color="auto"/>
        <w:right w:val="none" w:sz="0" w:space="0" w:color="auto"/>
      </w:divBdr>
    </w:div>
    <w:div w:id="178323959">
      <w:bodyDiv w:val="1"/>
      <w:marLeft w:val="0"/>
      <w:marRight w:val="0"/>
      <w:marTop w:val="0"/>
      <w:marBottom w:val="0"/>
      <w:divBdr>
        <w:top w:val="none" w:sz="0" w:space="0" w:color="auto"/>
        <w:left w:val="none" w:sz="0" w:space="0" w:color="auto"/>
        <w:bottom w:val="none" w:sz="0" w:space="0" w:color="auto"/>
        <w:right w:val="none" w:sz="0" w:space="0" w:color="auto"/>
      </w:divBdr>
    </w:div>
    <w:div w:id="516967949">
      <w:bodyDiv w:val="1"/>
      <w:marLeft w:val="0"/>
      <w:marRight w:val="0"/>
      <w:marTop w:val="0"/>
      <w:marBottom w:val="0"/>
      <w:divBdr>
        <w:top w:val="none" w:sz="0" w:space="0" w:color="auto"/>
        <w:left w:val="none" w:sz="0" w:space="0" w:color="auto"/>
        <w:bottom w:val="none" w:sz="0" w:space="0" w:color="auto"/>
        <w:right w:val="none" w:sz="0" w:space="0" w:color="auto"/>
      </w:divBdr>
      <w:divsChild>
        <w:div w:id="1567766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567244">
              <w:marLeft w:val="0"/>
              <w:marRight w:val="0"/>
              <w:marTop w:val="0"/>
              <w:marBottom w:val="0"/>
              <w:divBdr>
                <w:top w:val="none" w:sz="0" w:space="0" w:color="auto"/>
                <w:left w:val="none" w:sz="0" w:space="0" w:color="auto"/>
                <w:bottom w:val="none" w:sz="0" w:space="0" w:color="auto"/>
                <w:right w:val="none" w:sz="0" w:space="0" w:color="auto"/>
              </w:divBdr>
              <w:divsChild>
                <w:div w:id="839388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72459">
                      <w:marLeft w:val="0"/>
                      <w:marRight w:val="0"/>
                      <w:marTop w:val="0"/>
                      <w:marBottom w:val="0"/>
                      <w:divBdr>
                        <w:top w:val="none" w:sz="0" w:space="0" w:color="auto"/>
                        <w:left w:val="none" w:sz="0" w:space="0" w:color="auto"/>
                        <w:bottom w:val="none" w:sz="0" w:space="0" w:color="auto"/>
                        <w:right w:val="none" w:sz="0" w:space="0" w:color="auto"/>
                      </w:divBdr>
                      <w:divsChild>
                        <w:div w:id="126812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512390">
                              <w:marLeft w:val="0"/>
                              <w:marRight w:val="0"/>
                              <w:marTop w:val="0"/>
                              <w:marBottom w:val="0"/>
                              <w:divBdr>
                                <w:top w:val="none" w:sz="0" w:space="0" w:color="auto"/>
                                <w:left w:val="none" w:sz="0" w:space="0" w:color="auto"/>
                                <w:bottom w:val="none" w:sz="0" w:space="0" w:color="auto"/>
                                <w:right w:val="none" w:sz="0" w:space="0" w:color="auto"/>
                              </w:divBdr>
                              <w:divsChild>
                                <w:div w:id="120538025">
                                  <w:marLeft w:val="0"/>
                                  <w:marRight w:val="0"/>
                                  <w:marTop w:val="0"/>
                                  <w:marBottom w:val="0"/>
                                  <w:divBdr>
                                    <w:top w:val="none" w:sz="0" w:space="0" w:color="auto"/>
                                    <w:left w:val="none" w:sz="0" w:space="0" w:color="auto"/>
                                    <w:bottom w:val="none" w:sz="0" w:space="0" w:color="auto"/>
                                    <w:right w:val="none" w:sz="0" w:space="0" w:color="auto"/>
                                  </w:divBdr>
                                  <w:divsChild>
                                    <w:div w:id="1248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212181">
                                          <w:marLeft w:val="0"/>
                                          <w:marRight w:val="0"/>
                                          <w:marTop w:val="0"/>
                                          <w:marBottom w:val="0"/>
                                          <w:divBdr>
                                            <w:top w:val="none" w:sz="0" w:space="0" w:color="auto"/>
                                            <w:left w:val="none" w:sz="0" w:space="0" w:color="auto"/>
                                            <w:bottom w:val="none" w:sz="0" w:space="0" w:color="auto"/>
                                            <w:right w:val="none" w:sz="0" w:space="0" w:color="auto"/>
                                          </w:divBdr>
                                          <w:divsChild>
                                            <w:div w:id="65613696">
                                              <w:marLeft w:val="0"/>
                                              <w:marRight w:val="0"/>
                                              <w:marTop w:val="0"/>
                                              <w:marBottom w:val="0"/>
                                              <w:divBdr>
                                                <w:top w:val="none" w:sz="0" w:space="0" w:color="auto"/>
                                                <w:left w:val="none" w:sz="0" w:space="0" w:color="auto"/>
                                                <w:bottom w:val="none" w:sz="0" w:space="0" w:color="auto"/>
                                                <w:right w:val="none" w:sz="0" w:space="0" w:color="auto"/>
                                              </w:divBdr>
                                              <w:divsChild>
                                                <w:div w:id="1093280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415155">
                                                      <w:marLeft w:val="0"/>
                                                      <w:marRight w:val="0"/>
                                                      <w:marTop w:val="0"/>
                                                      <w:marBottom w:val="0"/>
                                                      <w:divBdr>
                                                        <w:top w:val="none" w:sz="0" w:space="0" w:color="auto"/>
                                                        <w:left w:val="none" w:sz="0" w:space="0" w:color="auto"/>
                                                        <w:bottom w:val="none" w:sz="0" w:space="0" w:color="auto"/>
                                                        <w:right w:val="none" w:sz="0" w:space="0" w:color="auto"/>
                                                      </w:divBdr>
                                                      <w:divsChild>
                                                        <w:div w:id="810243861">
                                                          <w:marLeft w:val="0"/>
                                                          <w:marRight w:val="0"/>
                                                          <w:marTop w:val="0"/>
                                                          <w:marBottom w:val="0"/>
                                                          <w:divBdr>
                                                            <w:top w:val="none" w:sz="0" w:space="0" w:color="auto"/>
                                                            <w:left w:val="none" w:sz="0" w:space="0" w:color="auto"/>
                                                            <w:bottom w:val="none" w:sz="0" w:space="0" w:color="auto"/>
                                                            <w:right w:val="none" w:sz="0" w:space="0" w:color="auto"/>
                                                          </w:divBdr>
                                                          <w:divsChild>
                                                            <w:div w:id="144399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722">
                                                                  <w:marLeft w:val="0"/>
                                                                  <w:marRight w:val="0"/>
                                                                  <w:marTop w:val="0"/>
                                                                  <w:marBottom w:val="0"/>
                                                                  <w:divBdr>
                                                                    <w:top w:val="none" w:sz="0" w:space="0" w:color="auto"/>
                                                                    <w:left w:val="none" w:sz="0" w:space="0" w:color="auto"/>
                                                                    <w:bottom w:val="none" w:sz="0" w:space="0" w:color="auto"/>
                                                                    <w:right w:val="none" w:sz="0" w:space="0" w:color="auto"/>
                                                                  </w:divBdr>
                                                                  <w:divsChild>
                                                                    <w:div w:id="3401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461813">
                                                                          <w:marLeft w:val="0"/>
                                                                          <w:marRight w:val="0"/>
                                                                          <w:marTop w:val="0"/>
                                                                          <w:marBottom w:val="0"/>
                                                                          <w:divBdr>
                                                                            <w:top w:val="none" w:sz="0" w:space="0" w:color="auto"/>
                                                                            <w:left w:val="none" w:sz="0" w:space="0" w:color="auto"/>
                                                                            <w:bottom w:val="none" w:sz="0" w:space="0" w:color="auto"/>
                                                                            <w:right w:val="none" w:sz="0" w:space="0" w:color="auto"/>
                                                                          </w:divBdr>
                                                                          <w:divsChild>
                                                                            <w:div w:id="1928684355">
                                                                              <w:marLeft w:val="0"/>
                                                                              <w:marRight w:val="0"/>
                                                                              <w:marTop w:val="0"/>
                                                                              <w:marBottom w:val="0"/>
                                                                              <w:divBdr>
                                                                                <w:top w:val="none" w:sz="0" w:space="0" w:color="auto"/>
                                                                                <w:left w:val="none" w:sz="0" w:space="0" w:color="auto"/>
                                                                                <w:bottom w:val="none" w:sz="0" w:space="0" w:color="auto"/>
                                                                                <w:right w:val="none" w:sz="0" w:space="0" w:color="auto"/>
                                                                              </w:divBdr>
                                                                              <w:divsChild>
                                                                                <w:div w:id="920675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709973">
                                                                                      <w:marLeft w:val="0"/>
                                                                                      <w:marRight w:val="0"/>
                                                                                      <w:marTop w:val="0"/>
                                                                                      <w:marBottom w:val="0"/>
                                                                                      <w:divBdr>
                                                                                        <w:top w:val="none" w:sz="0" w:space="0" w:color="auto"/>
                                                                                        <w:left w:val="none" w:sz="0" w:space="0" w:color="auto"/>
                                                                                        <w:bottom w:val="none" w:sz="0" w:space="0" w:color="auto"/>
                                                                                        <w:right w:val="none" w:sz="0" w:space="0" w:color="auto"/>
                                                                                      </w:divBdr>
                                                                                      <w:divsChild>
                                                                                        <w:div w:id="793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724852">
      <w:bodyDiv w:val="1"/>
      <w:marLeft w:val="0"/>
      <w:marRight w:val="0"/>
      <w:marTop w:val="0"/>
      <w:marBottom w:val="0"/>
      <w:divBdr>
        <w:top w:val="none" w:sz="0" w:space="0" w:color="auto"/>
        <w:left w:val="none" w:sz="0" w:space="0" w:color="auto"/>
        <w:bottom w:val="none" w:sz="0" w:space="0" w:color="auto"/>
        <w:right w:val="none" w:sz="0" w:space="0" w:color="auto"/>
      </w:divBdr>
    </w:div>
    <w:div w:id="733236319">
      <w:bodyDiv w:val="1"/>
      <w:marLeft w:val="0"/>
      <w:marRight w:val="0"/>
      <w:marTop w:val="0"/>
      <w:marBottom w:val="0"/>
      <w:divBdr>
        <w:top w:val="none" w:sz="0" w:space="0" w:color="auto"/>
        <w:left w:val="none" w:sz="0" w:space="0" w:color="auto"/>
        <w:bottom w:val="none" w:sz="0" w:space="0" w:color="auto"/>
        <w:right w:val="none" w:sz="0" w:space="0" w:color="auto"/>
      </w:divBdr>
    </w:div>
    <w:div w:id="742603878">
      <w:bodyDiv w:val="1"/>
      <w:marLeft w:val="0"/>
      <w:marRight w:val="0"/>
      <w:marTop w:val="0"/>
      <w:marBottom w:val="0"/>
      <w:divBdr>
        <w:top w:val="none" w:sz="0" w:space="0" w:color="auto"/>
        <w:left w:val="none" w:sz="0" w:space="0" w:color="auto"/>
        <w:bottom w:val="none" w:sz="0" w:space="0" w:color="auto"/>
        <w:right w:val="none" w:sz="0" w:space="0" w:color="auto"/>
      </w:divBdr>
      <w:divsChild>
        <w:div w:id="50266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055596">
              <w:marLeft w:val="0"/>
              <w:marRight w:val="0"/>
              <w:marTop w:val="0"/>
              <w:marBottom w:val="0"/>
              <w:divBdr>
                <w:top w:val="none" w:sz="0" w:space="0" w:color="auto"/>
                <w:left w:val="none" w:sz="0" w:space="0" w:color="auto"/>
                <w:bottom w:val="none" w:sz="0" w:space="0" w:color="auto"/>
                <w:right w:val="none" w:sz="0" w:space="0" w:color="auto"/>
              </w:divBdr>
              <w:divsChild>
                <w:div w:id="90803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528374">
                      <w:marLeft w:val="0"/>
                      <w:marRight w:val="0"/>
                      <w:marTop w:val="0"/>
                      <w:marBottom w:val="0"/>
                      <w:divBdr>
                        <w:top w:val="none" w:sz="0" w:space="0" w:color="auto"/>
                        <w:left w:val="none" w:sz="0" w:space="0" w:color="auto"/>
                        <w:bottom w:val="none" w:sz="0" w:space="0" w:color="auto"/>
                        <w:right w:val="none" w:sz="0" w:space="0" w:color="auto"/>
                      </w:divBdr>
                      <w:divsChild>
                        <w:div w:id="105345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885458">
                              <w:marLeft w:val="0"/>
                              <w:marRight w:val="0"/>
                              <w:marTop w:val="0"/>
                              <w:marBottom w:val="0"/>
                              <w:divBdr>
                                <w:top w:val="none" w:sz="0" w:space="0" w:color="auto"/>
                                <w:left w:val="none" w:sz="0" w:space="0" w:color="auto"/>
                                <w:bottom w:val="none" w:sz="0" w:space="0" w:color="auto"/>
                                <w:right w:val="none" w:sz="0" w:space="0" w:color="auto"/>
                              </w:divBdr>
                              <w:divsChild>
                                <w:div w:id="1419714326">
                                  <w:marLeft w:val="0"/>
                                  <w:marRight w:val="0"/>
                                  <w:marTop w:val="0"/>
                                  <w:marBottom w:val="0"/>
                                  <w:divBdr>
                                    <w:top w:val="none" w:sz="0" w:space="0" w:color="auto"/>
                                    <w:left w:val="none" w:sz="0" w:space="0" w:color="auto"/>
                                    <w:bottom w:val="none" w:sz="0" w:space="0" w:color="auto"/>
                                    <w:right w:val="none" w:sz="0" w:space="0" w:color="auto"/>
                                  </w:divBdr>
                                  <w:divsChild>
                                    <w:div w:id="56980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278739">
                                          <w:marLeft w:val="0"/>
                                          <w:marRight w:val="0"/>
                                          <w:marTop w:val="0"/>
                                          <w:marBottom w:val="0"/>
                                          <w:divBdr>
                                            <w:top w:val="none" w:sz="0" w:space="0" w:color="auto"/>
                                            <w:left w:val="none" w:sz="0" w:space="0" w:color="auto"/>
                                            <w:bottom w:val="none" w:sz="0" w:space="0" w:color="auto"/>
                                            <w:right w:val="none" w:sz="0" w:space="0" w:color="auto"/>
                                          </w:divBdr>
                                          <w:divsChild>
                                            <w:div w:id="1706520875">
                                              <w:marLeft w:val="0"/>
                                              <w:marRight w:val="0"/>
                                              <w:marTop w:val="0"/>
                                              <w:marBottom w:val="0"/>
                                              <w:divBdr>
                                                <w:top w:val="none" w:sz="0" w:space="0" w:color="auto"/>
                                                <w:left w:val="none" w:sz="0" w:space="0" w:color="auto"/>
                                                <w:bottom w:val="none" w:sz="0" w:space="0" w:color="auto"/>
                                                <w:right w:val="none" w:sz="0" w:space="0" w:color="auto"/>
                                              </w:divBdr>
                                              <w:divsChild>
                                                <w:div w:id="131363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498993">
                                                      <w:marLeft w:val="0"/>
                                                      <w:marRight w:val="0"/>
                                                      <w:marTop w:val="0"/>
                                                      <w:marBottom w:val="0"/>
                                                      <w:divBdr>
                                                        <w:top w:val="none" w:sz="0" w:space="0" w:color="auto"/>
                                                        <w:left w:val="none" w:sz="0" w:space="0" w:color="auto"/>
                                                        <w:bottom w:val="none" w:sz="0" w:space="0" w:color="auto"/>
                                                        <w:right w:val="none" w:sz="0" w:space="0" w:color="auto"/>
                                                      </w:divBdr>
                                                      <w:divsChild>
                                                        <w:div w:id="917061915">
                                                          <w:marLeft w:val="0"/>
                                                          <w:marRight w:val="0"/>
                                                          <w:marTop w:val="0"/>
                                                          <w:marBottom w:val="0"/>
                                                          <w:divBdr>
                                                            <w:top w:val="none" w:sz="0" w:space="0" w:color="auto"/>
                                                            <w:left w:val="none" w:sz="0" w:space="0" w:color="auto"/>
                                                            <w:bottom w:val="none" w:sz="0" w:space="0" w:color="auto"/>
                                                            <w:right w:val="none" w:sz="0" w:space="0" w:color="auto"/>
                                                          </w:divBdr>
                                                          <w:divsChild>
                                                            <w:div w:id="1849712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511098">
                                                                  <w:marLeft w:val="0"/>
                                                                  <w:marRight w:val="0"/>
                                                                  <w:marTop w:val="0"/>
                                                                  <w:marBottom w:val="0"/>
                                                                  <w:divBdr>
                                                                    <w:top w:val="none" w:sz="0" w:space="0" w:color="auto"/>
                                                                    <w:left w:val="none" w:sz="0" w:space="0" w:color="auto"/>
                                                                    <w:bottom w:val="none" w:sz="0" w:space="0" w:color="auto"/>
                                                                    <w:right w:val="none" w:sz="0" w:space="0" w:color="auto"/>
                                                                  </w:divBdr>
                                                                  <w:divsChild>
                                                                    <w:div w:id="9475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6862076">
      <w:bodyDiv w:val="1"/>
      <w:marLeft w:val="0"/>
      <w:marRight w:val="0"/>
      <w:marTop w:val="0"/>
      <w:marBottom w:val="0"/>
      <w:divBdr>
        <w:top w:val="none" w:sz="0" w:space="0" w:color="auto"/>
        <w:left w:val="none" w:sz="0" w:space="0" w:color="auto"/>
        <w:bottom w:val="none" w:sz="0" w:space="0" w:color="auto"/>
        <w:right w:val="none" w:sz="0" w:space="0" w:color="auto"/>
      </w:divBdr>
    </w:div>
    <w:div w:id="952395444">
      <w:bodyDiv w:val="1"/>
      <w:marLeft w:val="0"/>
      <w:marRight w:val="0"/>
      <w:marTop w:val="0"/>
      <w:marBottom w:val="0"/>
      <w:divBdr>
        <w:top w:val="none" w:sz="0" w:space="0" w:color="auto"/>
        <w:left w:val="none" w:sz="0" w:space="0" w:color="auto"/>
        <w:bottom w:val="none" w:sz="0" w:space="0" w:color="auto"/>
        <w:right w:val="none" w:sz="0" w:space="0" w:color="auto"/>
      </w:divBdr>
    </w:div>
    <w:div w:id="1024215242">
      <w:bodyDiv w:val="1"/>
      <w:marLeft w:val="0"/>
      <w:marRight w:val="0"/>
      <w:marTop w:val="0"/>
      <w:marBottom w:val="0"/>
      <w:divBdr>
        <w:top w:val="none" w:sz="0" w:space="0" w:color="auto"/>
        <w:left w:val="none" w:sz="0" w:space="0" w:color="auto"/>
        <w:bottom w:val="none" w:sz="0" w:space="0" w:color="auto"/>
        <w:right w:val="none" w:sz="0" w:space="0" w:color="auto"/>
      </w:divBdr>
    </w:div>
    <w:div w:id="1286741045">
      <w:bodyDiv w:val="1"/>
      <w:marLeft w:val="0"/>
      <w:marRight w:val="0"/>
      <w:marTop w:val="0"/>
      <w:marBottom w:val="0"/>
      <w:divBdr>
        <w:top w:val="none" w:sz="0" w:space="0" w:color="auto"/>
        <w:left w:val="none" w:sz="0" w:space="0" w:color="auto"/>
        <w:bottom w:val="none" w:sz="0" w:space="0" w:color="auto"/>
        <w:right w:val="none" w:sz="0" w:space="0" w:color="auto"/>
      </w:divBdr>
    </w:div>
    <w:div w:id="1456101522">
      <w:bodyDiv w:val="1"/>
      <w:marLeft w:val="0"/>
      <w:marRight w:val="0"/>
      <w:marTop w:val="0"/>
      <w:marBottom w:val="0"/>
      <w:divBdr>
        <w:top w:val="none" w:sz="0" w:space="0" w:color="auto"/>
        <w:left w:val="none" w:sz="0" w:space="0" w:color="auto"/>
        <w:bottom w:val="none" w:sz="0" w:space="0" w:color="auto"/>
        <w:right w:val="none" w:sz="0" w:space="0" w:color="auto"/>
      </w:divBdr>
    </w:div>
    <w:div w:id="1461528814">
      <w:bodyDiv w:val="1"/>
      <w:marLeft w:val="0"/>
      <w:marRight w:val="0"/>
      <w:marTop w:val="0"/>
      <w:marBottom w:val="0"/>
      <w:divBdr>
        <w:top w:val="none" w:sz="0" w:space="0" w:color="auto"/>
        <w:left w:val="none" w:sz="0" w:space="0" w:color="auto"/>
        <w:bottom w:val="none" w:sz="0" w:space="0" w:color="auto"/>
        <w:right w:val="none" w:sz="0" w:space="0" w:color="auto"/>
      </w:divBdr>
    </w:div>
    <w:div w:id="1500734004">
      <w:bodyDiv w:val="1"/>
      <w:marLeft w:val="0"/>
      <w:marRight w:val="0"/>
      <w:marTop w:val="0"/>
      <w:marBottom w:val="0"/>
      <w:divBdr>
        <w:top w:val="none" w:sz="0" w:space="0" w:color="auto"/>
        <w:left w:val="none" w:sz="0" w:space="0" w:color="auto"/>
        <w:bottom w:val="none" w:sz="0" w:space="0" w:color="auto"/>
        <w:right w:val="none" w:sz="0" w:space="0" w:color="auto"/>
      </w:divBdr>
    </w:div>
    <w:div w:id="1772965609">
      <w:bodyDiv w:val="1"/>
      <w:marLeft w:val="0"/>
      <w:marRight w:val="0"/>
      <w:marTop w:val="0"/>
      <w:marBottom w:val="0"/>
      <w:divBdr>
        <w:top w:val="none" w:sz="0" w:space="0" w:color="auto"/>
        <w:left w:val="none" w:sz="0" w:space="0" w:color="auto"/>
        <w:bottom w:val="none" w:sz="0" w:space="0" w:color="auto"/>
        <w:right w:val="none" w:sz="0" w:space="0" w:color="auto"/>
      </w:divBdr>
    </w:div>
    <w:div w:id="1778795366">
      <w:bodyDiv w:val="1"/>
      <w:marLeft w:val="0"/>
      <w:marRight w:val="0"/>
      <w:marTop w:val="0"/>
      <w:marBottom w:val="0"/>
      <w:divBdr>
        <w:top w:val="none" w:sz="0" w:space="0" w:color="auto"/>
        <w:left w:val="none" w:sz="0" w:space="0" w:color="auto"/>
        <w:bottom w:val="none" w:sz="0" w:space="0" w:color="auto"/>
        <w:right w:val="none" w:sz="0" w:space="0" w:color="auto"/>
      </w:divBdr>
      <w:divsChild>
        <w:div w:id="164465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912859">
              <w:marLeft w:val="0"/>
              <w:marRight w:val="0"/>
              <w:marTop w:val="0"/>
              <w:marBottom w:val="0"/>
              <w:divBdr>
                <w:top w:val="none" w:sz="0" w:space="0" w:color="auto"/>
                <w:left w:val="none" w:sz="0" w:space="0" w:color="auto"/>
                <w:bottom w:val="none" w:sz="0" w:space="0" w:color="auto"/>
                <w:right w:val="none" w:sz="0" w:space="0" w:color="auto"/>
              </w:divBdr>
              <w:divsChild>
                <w:div w:id="1699818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199373">
                      <w:marLeft w:val="0"/>
                      <w:marRight w:val="0"/>
                      <w:marTop w:val="0"/>
                      <w:marBottom w:val="0"/>
                      <w:divBdr>
                        <w:top w:val="none" w:sz="0" w:space="0" w:color="auto"/>
                        <w:left w:val="none" w:sz="0" w:space="0" w:color="auto"/>
                        <w:bottom w:val="none" w:sz="0" w:space="0" w:color="auto"/>
                        <w:right w:val="none" w:sz="0" w:space="0" w:color="auto"/>
                      </w:divBdr>
                      <w:divsChild>
                        <w:div w:id="121368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95958">
                              <w:marLeft w:val="0"/>
                              <w:marRight w:val="0"/>
                              <w:marTop w:val="0"/>
                              <w:marBottom w:val="0"/>
                              <w:divBdr>
                                <w:top w:val="none" w:sz="0" w:space="0" w:color="auto"/>
                                <w:left w:val="none" w:sz="0" w:space="0" w:color="auto"/>
                                <w:bottom w:val="none" w:sz="0" w:space="0" w:color="auto"/>
                                <w:right w:val="none" w:sz="0" w:space="0" w:color="auto"/>
                              </w:divBdr>
                              <w:divsChild>
                                <w:div w:id="959917612">
                                  <w:marLeft w:val="0"/>
                                  <w:marRight w:val="0"/>
                                  <w:marTop w:val="0"/>
                                  <w:marBottom w:val="0"/>
                                  <w:divBdr>
                                    <w:top w:val="none" w:sz="0" w:space="0" w:color="auto"/>
                                    <w:left w:val="none" w:sz="0" w:space="0" w:color="auto"/>
                                    <w:bottom w:val="none" w:sz="0" w:space="0" w:color="auto"/>
                                    <w:right w:val="none" w:sz="0" w:space="0" w:color="auto"/>
                                  </w:divBdr>
                                  <w:divsChild>
                                    <w:div w:id="45004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658381">
                                          <w:marLeft w:val="0"/>
                                          <w:marRight w:val="0"/>
                                          <w:marTop w:val="0"/>
                                          <w:marBottom w:val="0"/>
                                          <w:divBdr>
                                            <w:top w:val="none" w:sz="0" w:space="0" w:color="auto"/>
                                            <w:left w:val="none" w:sz="0" w:space="0" w:color="auto"/>
                                            <w:bottom w:val="none" w:sz="0" w:space="0" w:color="auto"/>
                                            <w:right w:val="none" w:sz="0" w:space="0" w:color="auto"/>
                                          </w:divBdr>
                                          <w:divsChild>
                                            <w:div w:id="14155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973658">
      <w:bodyDiv w:val="1"/>
      <w:marLeft w:val="0"/>
      <w:marRight w:val="0"/>
      <w:marTop w:val="0"/>
      <w:marBottom w:val="0"/>
      <w:divBdr>
        <w:top w:val="none" w:sz="0" w:space="0" w:color="auto"/>
        <w:left w:val="none" w:sz="0" w:space="0" w:color="auto"/>
        <w:bottom w:val="none" w:sz="0" w:space="0" w:color="auto"/>
        <w:right w:val="none" w:sz="0" w:space="0" w:color="auto"/>
      </w:divBdr>
    </w:div>
    <w:div w:id="204062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publications/communication-preparing-withdrawal-united-kingdom-european-union-30-march-2019-contingency-action-plan-13-11-2018_sl" TargetMode="External"/><Relationship Id="rId7" Type="http://schemas.openxmlformats.org/officeDocument/2006/relationships/hyperlink" Target="https://ec.europa.eu/info/brexit/brexit-preparedness/preparedness-notices_sl" TargetMode="External"/><Relationship Id="rId2" Type="http://schemas.openxmlformats.org/officeDocument/2006/relationships/hyperlink" Target="https://ec.europa.eu/info/publications/preparing-withdrawal-united-kingdom-european-union-30-march-2019_sl" TargetMode="External"/><Relationship Id="rId1" Type="http://schemas.openxmlformats.org/officeDocument/2006/relationships/hyperlink" Target="https://www.consilium.europa.eu/media/37530/13-euco-art50-conclusions-sl.pdf" TargetMode="External"/><Relationship Id="rId6" Type="http://schemas.openxmlformats.org/officeDocument/2006/relationships/hyperlink" Target="https://www.consilium.europa.eu/media/37103/25-special-euco-final-conclusions-en.pdf" TargetMode="External"/><Relationship Id="rId5" Type="http://schemas.openxmlformats.org/officeDocument/2006/relationships/hyperlink" Target="https://ec.europa.eu/commission/sites/beta-political/files/draft_withdrawal_agreement_0.pdf" TargetMode="External"/><Relationship Id="rId4" Type="http://schemas.openxmlformats.org/officeDocument/2006/relationships/hyperlink" Target="https://ec.europa.eu/commission/sites/beta-political/files/joint_repor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32B4E-5ABC-4CC4-9047-E1986C371722}">
  <ds:schemaRefs>
    <ds:schemaRef ds:uri="http://schemas.microsoft.com/sharepoint/v3/contenttype/forms"/>
  </ds:schemaRefs>
</ds:datastoreItem>
</file>

<file path=customXml/itemProps2.xml><?xml version="1.0" encoding="utf-8"?>
<ds:datastoreItem xmlns:ds="http://schemas.openxmlformats.org/officeDocument/2006/customXml" ds:itemID="{54FF4756-F373-4525-B8C5-B7802769AC1A}">
  <ds:schemaRefs>
    <ds:schemaRef ds:uri="office.server.policy"/>
  </ds:schemaRefs>
</ds:datastoreItem>
</file>

<file path=customXml/itemProps3.xml><?xml version="1.0" encoding="utf-8"?>
<ds:datastoreItem xmlns:ds="http://schemas.openxmlformats.org/officeDocument/2006/customXml" ds:itemID="{59EABB90-9A49-4981-9081-644CE982C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8F9C86-11F2-4776-80E9-AEDB4511FF2A}">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173920-bf43-43cc-9123-1897e847dfc2"/>
    <ds:schemaRef ds:uri="http://purl.org/dc/elements/1.1/"/>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9570331E-B400-4571-8745-02AB76B9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3550</Words>
  <Characters>20772</Characters>
  <Application>Microsoft Office Word</Application>
  <DocSecurity>0</DocSecurity>
  <Lines>324</Lines>
  <Paragraphs>99</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Manager/>
  <Company/>
  <LinksUpToDate>false</LinksUpToDate>
  <CharactersWithSpaces>24223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21</cp:revision>
  <cp:lastPrinted>2018-12-17T18:24:00Z</cp:lastPrinted>
  <dcterms:created xsi:type="dcterms:W3CDTF">2018-12-19T10:24:00Z</dcterms:created>
  <dcterms:modified xsi:type="dcterms:W3CDTF">2018-12-21T11:14:00Z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ContentTypeId">
    <vt:lpwstr>0x010100258AA79CEB83498886A3A0868112325000D33D44CF0C8FEB45875F235DEEF2E1B9</vt:lpwstr>
  </property>
  <property fmtid="{D5CDD505-2E9C-101B-9397-08002B2CF9AE}" pid="6" name="Last edited using">
    <vt:lpwstr>LW 6.0.1, Build 20180503</vt:lpwstr>
  </property>
  <property fmtid="{D5CDD505-2E9C-101B-9397-08002B2CF9AE}" pid="7" name="Created using">
    <vt:lpwstr>LW 6.0.1, Build 20180503</vt:lpwstr>
  </property>
  <property fmtid="{D5CDD505-2E9C-101B-9397-08002B2CF9AE}" pid="8" name="DocStatus">
    <vt:lpwstr>Green</vt:lpwstr>
  </property>
</Properties>
</file>