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F80A9C64-38C5-45A6-AB38-455E62620901" style="width:450.75pt;height:39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rPr>
          <w:noProof/>
        </w:rPr>
      </w:pPr>
      <w:r>
        <w:rPr>
          <w:noProof/>
        </w:rPr>
        <w:t xml:space="preserve">A csatolt javaslat az egyrészről az Európai Közösség és tagállamai, másrészről a Koreai Köztársaság közötti, a polgári globális navigációs műholdrendszerről (GNSS) szóló együttműködési megállapodáshoz csatolt, a Bolgár Köztársaság, a Horvát Köztársaság és Románia Európai Unióhoz történő csatlakozásának figyelembevételéről szóló jegyzőkönyv megkötését támogató jogi eszköz. </w:t>
      </w:r>
    </w:p>
    <w:p>
      <w:pPr>
        <w:rPr>
          <w:noProof/>
          <w:color w:val="000000"/>
        </w:rPr>
      </w:pPr>
      <w:r>
        <w:rPr>
          <w:noProof/>
          <w:color w:val="000000"/>
        </w:rPr>
        <w:t>A Bolgár Köztársaság, a Horvát Köztársaság és Románia csatlakozási okmányával összhangban a három tagállam az említett megállapodásokhoz csatolt jegyzőkönyv útján csatlakozik az Európai Unió és tagállamai által aláírt vagy megkötött nemzetközi megállapodásokhoz.</w:t>
      </w:r>
    </w:p>
    <w:p>
      <w:pPr>
        <w:rPr>
          <w:noProof/>
        </w:rPr>
      </w:pPr>
      <w:r>
        <w:rPr>
          <w:noProof/>
        </w:rPr>
        <w:t>Az egyrészről az Európai Közösség és tagállamai, másrészről a Koreai Köztársaság közötti, a polgári globális navigációs műholdrendszerről (GNSS) szóló együttműködési megállapodást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(a továbbiakban: megállapodás) 2006. szeptember 9-én írták alá, és 2016. július 1-jén lépett hatályba. </w:t>
      </w:r>
    </w:p>
    <w:p>
      <w:pPr>
        <w:rPr>
          <w:noProof/>
        </w:rPr>
      </w:pPr>
      <w:r>
        <w:rPr>
          <w:noProof/>
        </w:rPr>
        <w:t>A Bolgár Köztársaság, Románia és a Horvát Köztársaság Európai Unióhoz történő csatlakozásának figyelembevétele céljából a megállapodáshoz csatolt jegyzőkönyv aláírásáról szóló, [....]-i tanácsi határozatot követően a jegyzőkönyv [...]-án/-én aláírásra került a Koreai Köztársaság képviselőjével.</w:t>
      </w:r>
    </w:p>
    <w:p>
      <w:p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A javasolt jegyzőkönyv alapján a Bolgár Köztársaság, a Horvát Köztársaság és Románia a megállapodás szerződő feleivé válnak, és az kötelezi az EU-t, hogy bocsássa rendelkezésre a megállapodás hiteles bolgár, horvát és román nyelvű változatát. 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A JAVASLAT JOGI ELEMEI</w:t>
      </w:r>
    </w:p>
    <w:p>
      <w:pPr>
        <w:rPr>
          <w:noProof/>
        </w:rPr>
      </w:pPr>
      <w:r>
        <w:rPr>
          <w:noProof/>
        </w:rPr>
        <w:t>A Bizottság javasolja a Tanácsnak, hogy a jegyzőkönyv aláírására tekintettel adjon felhatalmazást az egyrészről az Európai Közösség és tagállamai, másrészről a Koreai Köztársaság közötti, a polgári globális navigációs műholdrendszerről (GNSS) szóló együttműködési megállapodáshoz csatolt, a Bolgár Köztársaság, a Horvát Köztársaság és Románia Európai Unióhoz történő csatlakozásának figyelembevételéről szóló jegyzőkönyvnek az Európai Unió és tagállamai nevében történő megkötésére.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2018/0429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 xml:space="preserve">az egyrészről az Európai Közösség és tagállamai, másrészről a Koreai Köztársaság közötti, a polgári globális navigációs műholdrendszerről (GNSS) szóló együttműködési megállapodáshoz csatolt, a Bolgár Köztársaság, a Horvát Köztársaság és Románia Európai Unióhoz történő csatlakozásának figyelembevételéről szóló jegyzőkönyvnek az Európai Unió és tagállamai nevében történő megkötéséről 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 xml:space="preserve">tekintettel az Európai Unió működéséről szóló szerződésre és különösen annak 172. cikkére, összefüggésben 218. cikke (6) bekezdésének a) pontjával, </w:t>
      </w:r>
    </w:p>
    <w:p>
      <w:pPr>
        <w:rPr>
          <w:noProof/>
        </w:rPr>
      </w:pPr>
      <w:r>
        <w:rPr>
          <w:noProof/>
        </w:rPr>
        <w:t>tekintettel a Bolgár Köztársaság, Románia és a Horvát Köztársaság csatlakozási okmányaira és különösen azok 6. cikkének (2) bekezdésére,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tekintettel az Európai Parlament egyetértésére,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Az egyrészről az Európai Közösség és tagállamai, másrészről a Koreai Köztársaság közötti, a polgári globális navigációs műholdrendszerről (GNSS) szóló együttműködési megállapodást (a továbbiakban: megállapodás) 2006. szeptember 9-én írták alá, és 2016. július 1-jén lépett hatályba.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Bulgária és Románia 2007. január 1-jén, Horvátország pedig 2013. július 1-jén az Unió tagállamává vált.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Bulgária, Románia és Horvátország csatlakozási okmányai 6. cikkének (2) bekezdése alapján az egyrészről az Európai Közösség és tagállamai, másrészről a Koreai Köztársaság közötti, a polgári globális navigációs műholdrendszerről (GNSS) szóló együttműködési megállapodáshoz való csatlakozásról a megállapodáshoz csatolt jegyzőkönyv (a továbbiakban: jegyzőkönyv) útján kell megállapodni. A csatlakozási okmány 6. cikke (2) bekezdésének megfelelően a csatlakozásra egyszerűsített eljárás alkalmazandó, amely szerint a tagállamok nevében egyhangúlag eljáró Tanács és az érintett harmadik országok jegyzőkönyvet kötnek.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Tanács 2006. október 23-án és 2012. szeptember 14-én felhatalmazta a Bizottságot, hogy az Európai Unió és tagállamai által kötött nemzetközi megállapodások jegyzőkönyveinek megkötésére irányuló tárgyalásokat kezdjen az érintett harmadik országokkal.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 Koreával folytatott tárgyalások szóbeli jegyzékváltás útján sikeresen lezárultak.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Az</w:t>
      </w:r>
      <w:r>
        <w:t xml:space="preserve"> </w:t>
      </w:r>
      <w:r>
        <w:rPr>
          <w:noProof/>
        </w:rPr>
        <w:t>[XXX] tanácsi határozatnak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megfelelően a</w:t>
      </w:r>
      <w:r>
        <w:t xml:space="preserve"> </w:t>
      </w:r>
      <w:r>
        <w:rPr>
          <w:noProof/>
        </w:rPr>
        <w:t>jegyzőkönyvet</w:t>
      </w:r>
      <w:r>
        <w:t xml:space="preserve"> </w:t>
      </w:r>
      <w:r>
        <w:rPr>
          <w:noProof/>
        </w:rPr>
        <w:t>-án/-én aláírták, későbbi időpontban történő megkötésére figyelemmel.</w:t>
      </w:r>
    </w:p>
    <w:p>
      <w:pPr>
        <w:pStyle w:val="ManualConsidrant"/>
        <w:rPr>
          <w:noProof/>
        </w:rPr>
      </w:pPr>
      <w:r>
        <w:lastRenderedPageBreak/>
        <w:t>(7)</w:t>
      </w:r>
      <w:r>
        <w:tab/>
      </w:r>
      <w:r>
        <w:rPr>
          <w:noProof/>
        </w:rPr>
        <w:t>A jegyzőkönyvet ezért az Unió és tagállamai nevében jóvá kell hagyni,</w:t>
      </w:r>
    </w:p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Az egyrészről az Európai Közösség és tagállamai, másrészről a Koreai Köztársaság közötti, a polgári globális navigációs műholdrendszerről (GNSS) szóló együttműködési megállapodáshoz csatolt, a Bolgár Köztársaság, a Horvát Köztársaság és Románia Európai Unióhoz történő csatlakozásának figyelembevételéről szóló jegyzőkönyvet a Tanács az Unió és tagállamai nevében jóváhagyja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  <w:r>
        <w:t xml:space="preserve"> 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>A Tanács elnöke kijelöli a jegyzőkönyv 4. cikkében</w:t>
      </w:r>
      <w:r>
        <w:t xml:space="preserve"> </w:t>
      </w:r>
      <w:r>
        <w:rPr>
          <w:noProof/>
        </w:rPr>
        <w:t>előírt értesítésnek</w:t>
      </w:r>
      <w:r>
        <w:t xml:space="preserve"> </w:t>
      </w:r>
      <w:r>
        <w:rPr>
          <w:noProof/>
        </w:rPr>
        <w:t>az Európai Unió és tagállamai nevében történő megtételére jogosult személyt annak kifejezésére, hogy az Európai Unió és tagállamai a jegyzőkönyvet magukra nézve kötelezőnek ismerik el.</w:t>
      </w:r>
    </w:p>
    <w:p>
      <w:pPr>
        <w:pStyle w:val="Titrearticle"/>
        <w:rPr>
          <w:noProof/>
        </w:rPr>
      </w:pPr>
      <w:r>
        <w:rPr>
          <w:noProof/>
        </w:rPr>
        <w:t>3. cikk</w:t>
      </w:r>
    </w:p>
    <w:p>
      <w:pPr>
        <w:keepNext/>
        <w:keepLines/>
        <w:rPr>
          <w:noProof/>
        </w:rPr>
      </w:pPr>
      <w:r>
        <w:rPr>
          <w:noProof/>
        </w:rPr>
        <w:t xml:space="preserve">Ez a határozat az elfogadásának napján lép hatályba. 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HL L 288., 2006.10.19., 31. 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 Tanács határozata az egyrészről az Európai Közösség és tagállamai, másrészről a Koreai Köztársaság közötti, a polgári globális navigációs műholdrendszerről (GNSS) szóló együttműködési megállapodáshoz csatolt, a Bolgár Köztársaság, a Horvát Köztársaság és Románia Európai Unióhoz történő csatlakozásának figyelembevételéről szóló jegyzőkönyvnek az Európai Unió és tagállamai nevében történő aláírásáról (HL L , , .o.).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A jegyzőkönyv szövegét az aláírásáról szóló határozattal együtt tették közzé az </w:t>
      </w:r>
      <w:r>
        <w:rPr>
          <w:i/>
        </w:rPr>
        <w:t>Európai Unió Hivatalos Lapjában</w:t>
      </w:r>
      <w:r>
        <w:t xml:space="preserve"> (HL L […], […], […].o.).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F26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C4ABF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9A83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5CCA9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3A01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E4A7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45CF9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3DAF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20 12:56:1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80A9C64-38C5-45A6-AB38-455E62620901"/>
    <w:docVar w:name="LW_COVERPAGE_TYPE" w:val="1"/>
    <w:docVar w:name="LW_CROSSREFERENCE" w:val="&lt;UNUSED&gt;"/>
    <w:docVar w:name="LW_DocType" w:val="COM"/>
    <w:docVar w:name="LW_EMISSION" w:val="2019.1.4."/>
    <w:docVar w:name="LW_EMISSION_ISODATE" w:val="2019-01-04"/>
    <w:docVar w:name="LW_EMISSION_LOCATION" w:val="BRX"/>
    <w:docVar w:name="LW_EMISSION_PREFIX" w:val="Brüsszel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429"/>
    <w:docVar w:name="LW_REF.II.NEW.CP_YEAR" w:val="2018"/>
    <w:docVar w:name="LW_REF.INST.NEW" w:val="COM"/>
    <w:docVar w:name="LW_REF.INST.NEW_ADOPTED" w:val="final"/>
    <w:docVar w:name="LW_REF.INST.NEW_TEXT" w:val="(2018) 8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gyrészr\u337?l az Európai Közösség és tagállamai, másrészr\u337?l a Koreai Köztársaság közötti, a polgári globális navigációs m\u369?holdrendszerr\u337?l (GNSS) szóló együttm\u369?ködési megállapodáshoz csatolt, a Bolgár Köztársaság, a Horvát Köztársaság és Románia Európai Unióhoz történ\u337? csatlakozásának figyelembevételér\u337?l szóló jegyz\u337?könyvnek az Európai Unió és tagállamai nevében történ\u337? megkötésér\u337?l 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7B63AA-2CAE-4619-9047-370006A6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4</Pages>
  <Words>651</Words>
  <Characters>4564</Characters>
  <Application>Microsoft Office Word</Application>
  <DocSecurity>0</DocSecurity>
  <Lines>87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cp:lastPrinted>2018-07-06T15:47:00Z</cp:lastPrinted>
  <dcterms:created xsi:type="dcterms:W3CDTF">2018-11-20T17:16:00Z</dcterms:created>
  <dcterms:modified xsi:type="dcterms:W3CDTF">2018-12-20T11:56:00Z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