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D2A9AE2-B4A6-44EF-BE51-AF38B14E53DF"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rPr>
          <w:noProof/>
        </w:rPr>
      </w:pPr>
      <w:r>
        <w:rPr>
          <w:noProof/>
        </w:rPr>
        <w:t>Det bifogade förslaget utgör det rättsliga instrumentet för undertecknandet av ett protokoll till samarbetsavtalet om ett civilt globalt system för satellitnavigering (Global Navigation Satellite System – GNSS) mellan Europeiska gemenskapen och dess medlemsstater, å ena sidan, och Republiken Korea, å andra sidan, med anledning av Republiken Bulgariens, Republiken Kroatiens och Rumäniens anslutning till Europeiska unionen.</w:t>
      </w:r>
    </w:p>
    <w:p>
      <w:pPr>
        <w:rPr>
          <w:noProof/>
        </w:rPr>
      </w:pPr>
      <w:r>
        <w:rPr>
          <w:noProof/>
        </w:rPr>
        <w:t>Enligt Republiken Bulgariens, Republiken Kroatiens och Rumäniens anslutningsakter ska de tre medlemsstaterna ansluta sig till internationella avtal som undertecknats eller ingåtts av Europeiska unionen och dess medlemsstater genom ett protokoll till dessa avtal.</w:t>
      </w:r>
    </w:p>
    <w:p>
      <w:pPr>
        <w:rPr>
          <w:noProof/>
        </w:rPr>
      </w:pPr>
      <w:r>
        <w:rPr>
          <w:noProof/>
        </w:rPr>
        <w:t>Den 23 oktober 2006 och den 14 september 2012 bemyndigade rådet kommissionen att inleda förhandlingar med berörda tredjeländer om relevanta protokoll för Republiken Bulgariens, Republiken Kroatiens och Rumäniens anslutning.</w:t>
      </w:r>
    </w:p>
    <w:p>
      <w:pPr>
        <w:rPr>
          <w:noProof/>
        </w:rPr>
      </w:pPr>
      <w:r>
        <w:rPr>
          <w:noProof/>
        </w:rPr>
        <w:t xml:space="preserve">Samarbetsavtalet om ett civilt globalt system för satellitnavigering (Global Navigation Satellite System – GNSS) mellan Europeiska gemenskapen och dess medlemsstater, å ena sidan, och Republiken Korea, å andra sidan, undertecknades den 9 september 2006 och trädde i kraft den 1 juli 2016. </w:t>
      </w:r>
    </w:p>
    <w:p>
      <w:pPr>
        <w:autoSpaceDE w:val="0"/>
        <w:autoSpaceDN w:val="0"/>
        <w:adjustRightInd w:val="0"/>
        <w:rPr>
          <w:noProof/>
        </w:rPr>
      </w:pPr>
      <w:r>
        <w:rPr>
          <w:noProof/>
        </w:rPr>
        <w:t xml:space="preserve">Förhandlingarna med Republiken Korea slutfördes framgångsrikt genom att verbalnoter utväxlades. </w:t>
      </w:r>
    </w:p>
    <w:p>
      <w:pPr>
        <w:rPr>
          <w:noProof/>
        </w:rPr>
      </w:pPr>
      <w:r>
        <w:rPr>
          <w:noProof/>
        </w:rPr>
        <w:t>Kommissionen bedömer att resultatet av förhandlingarna är tillfredsställande och uppmanar rådet att underteckna protokollet på Europeiska unionens och dess medlemsstaters vägnar. Efter det att protokollet undertecknats bör det ingås av rådet på Europeiska unionens och dess medlemsstaters vägnar.</w:t>
      </w:r>
    </w:p>
    <w:p>
      <w:pPr>
        <w:pStyle w:val="ManualHeading1"/>
        <w:rPr>
          <w:noProof/>
        </w:rPr>
      </w:pPr>
      <w:r>
        <w:rPr>
          <w:noProof/>
        </w:rPr>
        <w:t>2.</w:t>
      </w:r>
      <w:r>
        <w:rPr>
          <w:noProof/>
        </w:rPr>
        <w:tab/>
        <w:t>FÖRSLAGETS RÄTTSLIGA ASPEKTER</w:t>
      </w:r>
    </w:p>
    <w:p>
      <w:pPr>
        <w:autoSpaceDE w:val="0"/>
        <w:autoSpaceDN w:val="0"/>
        <w:adjustRightInd w:val="0"/>
        <w:rPr>
          <w:noProof/>
          <w:color w:val="000000"/>
        </w:rPr>
      </w:pPr>
      <w:r>
        <w:rPr>
          <w:noProof/>
          <w:color w:val="000000"/>
        </w:rPr>
        <w:t xml:space="preserve">Genom det föreslagna protokollet blir Republiken Bulgarien, Republiken Kroatien och Rumänien avtalsslutande parter i avtalet och åtar sig EU att tillhandahålla en giltig version av avtalet på bulgariska, kroatiska och rumänska. </w:t>
      </w:r>
    </w:p>
    <w:p>
      <w:pPr>
        <w:rPr>
          <w:noProof/>
        </w:rPr>
      </w:pPr>
      <w:r>
        <w:rPr>
          <w:noProof/>
        </w:rPr>
        <w:t>Kommissionen föreslår att rådet bemyndigar undertecknandet, på Europeiska unionens och dess medlemsstaters vägnar, av ett protokoll till samarbetsavtalet om ett civilt globalt system för satellitnavigering (Global Navigation Satellite System – GNSS) mellan Europeiska gemenskapen och dess medlemsstater, å ena sidan, och Republiken Korea, å andra sidan, med anledning av Republiken Bulgarien, Republiken Kroatien och Rumäniens anslutning till Europeiska unionen.</w:t>
      </w:r>
    </w:p>
    <w:p>
      <w:pPr>
        <w:rPr>
          <w:noProof/>
        </w:rPr>
      </w:pPr>
      <w:r>
        <w:rPr>
          <w:noProof/>
        </w:rPr>
        <w:t>Efter undertecknandet av protokollet kommer ett andra förslag, om ingåendet av protokollet, att behandlas av rådet vid lämplig tidpunkt.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2018/0430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 xml:space="preserve">om undertecknande på Europeiska unionens och dess medlemsstaters vägnar av protokollet till samarbetsavtalet om ett civilt globalt system för satellitnavigering (Global Navigation Satellite System – GNSS) mellan Europeiska gemenskapen och dess medlemsstater, å ena sidan, och Republiken Korea, å andra sidan, med anledning av Republiken Bulgariens, Republiken Kroatiens och Rumäniens anslutning till Europeiska unionen </w:t>
      </w:r>
    </w:p>
    <w:p>
      <w:pPr>
        <w:pStyle w:val="Institutionquiagit"/>
        <w:rPr>
          <w:noProof/>
        </w:rPr>
      </w:pPr>
      <w:r>
        <w:rPr>
          <w:noProof/>
        </w:rPr>
        <w:t>EUROPEISKA UNIONENS RÅD HAR ANTAGIT DETTA BESLUT</w:t>
      </w:r>
    </w:p>
    <w:p>
      <w:pPr>
        <w:rPr>
          <w:noProof/>
        </w:rPr>
      </w:pPr>
      <w:r>
        <w:rPr>
          <w:noProof/>
        </w:rPr>
        <w:t xml:space="preserve">med beaktande av fördraget om Europeiska unionens funktionssätt, särskilt artikel 172 jämförd med artikel 218.5, </w:t>
      </w:r>
    </w:p>
    <w:p>
      <w:pPr>
        <w:rPr>
          <w:noProof/>
        </w:rPr>
      </w:pPr>
      <w:r>
        <w:rPr>
          <w:noProof/>
        </w:rPr>
        <w:t>med beaktande av Republiken Bulgariens, Republiken Kroatiens och Rumäniens anslutningsakt, särskilt artikel 6.2,</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Samarbetsavtalet om ett civilt globalt system för satellitnavigering (Global Navigation Satellite System – GNSS) mellan Europeiska gemenskapen och dess medlemsstater, å ena sidan, och Republiken Korea, å andra sidan (nedan kallat </w:t>
      </w:r>
      <w:r>
        <w:rPr>
          <w:i/>
          <w:noProof/>
        </w:rPr>
        <w:t>avtalet</w:t>
      </w:r>
      <w:r>
        <w:rPr>
          <w:noProof/>
        </w:rPr>
        <w:t>), undertecknades den 9 september 2006 och trädde i kraft den 1 juli 2016.</w:t>
      </w:r>
    </w:p>
    <w:p>
      <w:pPr>
        <w:pStyle w:val="ManualConsidrant"/>
        <w:rPr>
          <w:noProof/>
        </w:rPr>
      </w:pPr>
      <w:r>
        <w:t>(2)</w:t>
      </w:r>
      <w:r>
        <w:tab/>
      </w:r>
      <w:r>
        <w:rPr>
          <w:noProof/>
        </w:rPr>
        <w:t xml:space="preserve">Bulgarien och Rumänien anslöt sig till unionen den 1 januari 2007 och Kroatien den 1 juli 2013. </w:t>
      </w:r>
    </w:p>
    <w:p>
      <w:pPr>
        <w:pStyle w:val="ManualConsidrant"/>
        <w:rPr>
          <w:noProof/>
        </w:rPr>
      </w:pPr>
      <w:r>
        <w:t>(3)</w:t>
      </w:r>
      <w:r>
        <w:tab/>
      </w:r>
      <w:r>
        <w:rPr>
          <w:noProof/>
        </w:rPr>
        <w:t xml:space="preserve">Enligt artikel 6.2 i Bulgariens, Kroatiens och Rumäniens anslutningsakter ska en anslutning till avtalet godkännas genom ett protokoll till det avtalet (nedan kallat </w:t>
      </w:r>
      <w:r>
        <w:rPr>
          <w:i/>
          <w:noProof/>
        </w:rPr>
        <w:t>protokollet</w:t>
      </w:r>
      <w:r>
        <w:rPr>
          <w:noProof/>
        </w:rPr>
        <w:t>). Enligt artikel 6.2 i anslutningsakten ska ett förenklat förfarande tillämpas vid sådana anslutningar, genom att ett protokoll ingås mellan rådet, som därvid ska besluta enhälligt på medlemsstaternas vägnar, och de berörda tredjeländerna.</w:t>
      </w:r>
    </w:p>
    <w:p>
      <w:pPr>
        <w:pStyle w:val="ManualConsidrant"/>
        <w:rPr>
          <w:noProof/>
        </w:rPr>
      </w:pPr>
      <w:r>
        <w:t>(4)</w:t>
      </w:r>
      <w:r>
        <w:tab/>
      </w:r>
      <w:r>
        <w:rPr>
          <w:noProof/>
        </w:rPr>
        <w:t xml:space="preserve">Den 23 oktober 2006 och den 14 september 2012 bemyndigade rådet kommissionen att inleda förhandlingar med berörda tredjeländer i syfte att ingå protokoll till internationella avtal som unionen och dess medlemsstater slutit. </w:t>
      </w:r>
    </w:p>
    <w:p>
      <w:pPr>
        <w:pStyle w:val="ManualConsidrant"/>
        <w:rPr>
          <w:noProof/>
        </w:rPr>
      </w:pPr>
      <w:r>
        <w:t>(5)</w:t>
      </w:r>
      <w:r>
        <w:tab/>
      </w:r>
      <w:r>
        <w:rPr>
          <w:noProof/>
        </w:rPr>
        <w:t>Förhandlingarna med Korea slutfördes framgångsrikt genom att verbalnoter utväxlades.</w:t>
      </w:r>
    </w:p>
    <w:p>
      <w:pPr>
        <w:pStyle w:val="ManualConsidrant"/>
        <w:rPr>
          <w:noProof/>
        </w:rPr>
      </w:pPr>
      <w:r>
        <w:t>(6)</w:t>
      </w:r>
      <w:r>
        <w:tab/>
      </w:r>
      <w:r>
        <w:rPr>
          <w:noProof/>
        </w:rPr>
        <w:t xml:space="preserve">Protokollet bör därför undertecknas på Europeiska unionens och dess medlemsstaters vägnar, med förbehåll för att det ingås vid en senare tidpunkt. </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 xml:space="preserve">Undertecknande av protokollet till samarbetsavtalet om ett civilt globalt system för satellitnavigering (Global Navigation Satellite System – GNSS) mellan Europeiska </w:t>
      </w:r>
      <w:r>
        <w:rPr>
          <w:noProof/>
        </w:rPr>
        <w:lastRenderedPageBreak/>
        <w:t>gemenskapen och dess medlemsstater, å ena sidan, och Republiken Korea, å andra sidan, med anledning av Republiken Bulgariens, Republiken Kroatiens och Rumäniens anslutning till Europeiska unionen godkänns härmed på unionens och dess medlemsstaters vägnar, med förbehåll för att protokollet ingås.</w:t>
      </w:r>
    </w:p>
    <w:p>
      <w:pPr>
        <w:rPr>
          <w:noProof/>
        </w:rPr>
      </w:pPr>
      <w:r>
        <w:rPr>
          <w:noProof/>
        </w:rPr>
        <w:t>Texten till protokollet åtföljer detta beslut.</w:t>
      </w:r>
    </w:p>
    <w:p>
      <w:pPr>
        <w:pStyle w:val="Titrearticle"/>
        <w:rPr>
          <w:noProof/>
        </w:rPr>
      </w:pPr>
      <w:r>
        <w:rPr>
          <w:noProof/>
        </w:rPr>
        <w:t xml:space="preserve">Artikel 2 </w:t>
      </w:r>
    </w:p>
    <w:p>
      <w:pPr>
        <w:rPr>
          <w:noProof/>
        </w:rPr>
      </w:pPr>
      <w:r>
        <w:rPr>
          <w:noProof/>
        </w:rPr>
        <w:t xml:space="preserve">Rådets generalsekretariat ska utfärda det instrument som ger den eller de personer som anges av avtalets förhandlare full befogenhet att underteckna protokollet på unionens och dess medlemsstaters vägnar, med förehåll att protokollet ingås. </w:t>
      </w:r>
    </w:p>
    <w:p>
      <w:pPr>
        <w:pStyle w:val="Titrearticle"/>
        <w:rPr>
          <w:noProof/>
        </w:rPr>
      </w:pPr>
      <w:r>
        <w:rPr>
          <w:noProof/>
        </w:rPr>
        <w:t>Artikel 3</w:t>
      </w:r>
    </w:p>
    <w:p>
      <w:pPr>
        <w:keepNext/>
        <w:keepLines/>
        <w:rPr>
          <w:noProof/>
        </w:rPr>
      </w:pPr>
      <w:r>
        <w:rPr>
          <w:noProof/>
        </w:rPr>
        <w:t>Detta beslut träder i kraft samma dag som det antas.</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8E54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D8D5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72F8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6692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4C7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4E04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82028A"/>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CD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2:50: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D2A9AE2-B4A6-44EF-BE51-AF38B14E53DF"/>
    <w:docVar w:name="LW_COVERPAGE_TYPE" w:val="1"/>
    <w:docVar w:name="LW_CROSSREFERENCE" w:val="&lt;UNUSED&gt;"/>
    <w:docVar w:name="LW_DocType" w:val="COM"/>
    <w:docVar w:name="LW_EMISSION" w:val="4.1.2019"/>
    <w:docVar w:name="LW_EMISSION_ISODATE" w:val="2019-01-04"/>
    <w:docVar w:name="LW_EMISSION_LOCATION" w:val="BRX"/>
    <w:docVar w:name="LW_EMISSION_PREFIX" w:val="Bryssel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430"/>
    <w:docVar w:name="LW_REF.II.NEW.CP_YEAR" w:val="2018"/>
    <w:docVar w:name="LW_REF.INST.NEW" w:val="COM"/>
    <w:docVar w:name="LW_REF.INST.NEW_ADOPTED" w:val="final"/>
    <w:docVar w:name="LW_REF.INST.NEW_TEXT" w:val="(2018)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undertecknande på Europeiska unionens och dess medlemsstaters vägnar av protokollet till samarbetsavtalet om ett civilt globalt system för satellitnavigering (Global Navigation Satellite System \u8211? GNSS) mellan Europeiska gemenskapen och dess medlemsstater, å ena sidan, och Republiken Korea, å andra sidan, med anledning av Republiken Bulgariens, Republiken Kroatiens och Rumäniens anslutning till Europeiska unionen "/>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AB451A-8782-40E8-985A-385EA94F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739</Words>
  <Characters>4804</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2018-10-17T08:23:00Z</cp:lastPrinted>
  <dcterms:created xsi:type="dcterms:W3CDTF">2018-11-23T08:06:00Z</dcterms:created>
  <dcterms:modified xsi:type="dcterms:W3CDTF">2018-12-20T11:50:00Z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