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B438B3BB-B400-4100-8CAE-6D1BE38A13EB" style="width:450.75pt;height:395.2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pBdr>
          <w:top w:val="nil"/>
          <w:left w:val="nil"/>
          <w:bottom w:val="nil"/>
          <w:right w:val="nil"/>
          <w:between w:val="nil"/>
          <w:bar w:val="nil"/>
        </w:pBdr>
        <w:spacing w:before="0" w:after="240"/>
        <w:rPr>
          <w:rFonts w:eastAsia="Arial Unicode MS"/>
          <w:noProof/>
        </w:rPr>
      </w:pPr>
      <w:r>
        <w:rPr>
          <w:noProof/>
        </w:rPr>
        <w:t>Yhdistynyt kuningaskunta ilmoitti 29. maaliskuuta 2017 aikomuksestaan erota unionista Euroopan unionista tehdyn sopimuksen 50 artiklan mukaisesti. Tämä tarkoittaa sitä, että jos erosopimusta</w:t>
      </w:r>
      <w:r>
        <w:rPr>
          <w:rStyle w:val="FootnoteReference"/>
          <w:noProof/>
        </w:rPr>
        <w:footnoteReference w:id="1"/>
      </w:r>
      <w:r>
        <w:rPr>
          <w:noProof/>
        </w:rPr>
        <w:t xml:space="preserve"> ei ratifioida, unionin primaari- ja sekundaarilainsäädäntöä lakataan soveltamasta Yhdistyneeseen kuningaskuntaan 30. maaliskuuta 2019 (jäljempänä ”eropäivä”). Tämän seurauksena Yhdistyneestä kuningaskunnasta tulee kolmas maa.</w:t>
      </w:r>
    </w:p>
    <w:p>
      <w:pPr>
        <w:pBdr>
          <w:top w:val="nil"/>
          <w:left w:val="nil"/>
          <w:bottom w:val="nil"/>
          <w:right w:val="nil"/>
          <w:between w:val="nil"/>
          <w:bar w:val="nil"/>
        </w:pBdr>
        <w:spacing w:before="0" w:after="240"/>
        <w:rPr>
          <w:rFonts w:eastAsia="Arial Unicode MS"/>
          <w:noProof/>
        </w:rPr>
      </w:pPr>
      <w:r>
        <w:rPr>
          <w:noProof/>
        </w:rPr>
        <w:t>Kansainvälistä lentoliikennettä ei voida harjoittaa ilman asianomaisten valtioiden nimenomaista lupaa, mikä johtuu siitä, että valtioilla on täydellinen ja yksinomainen suvereniteetti oman alueensa yläpuolella olevaan ilmatilaan. Yleensä valtiot organisoivat keskinäisen lentoliikenteensä tekemällä kahdenvälisiä lentoliikennesopimuksia, joissa vahvistetaan vastavuoroisesti myönnettävät erityisoikeudet ja niiden käyttöehdot. Liikenneoikeudet ja niiden käyttöön suoraan liittyvät palvelut on nimenomaisesti jätetty palvelukaupan yleissopimuksen soveltamisalan ulkopuolelle</w:t>
      </w:r>
      <w:r>
        <w:rPr>
          <w:rStyle w:val="FootnoteReference"/>
          <w:noProof/>
        </w:rPr>
        <w:footnoteReference w:id="2"/>
      </w:r>
      <w:r>
        <w:rPr>
          <w:noProof/>
        </w:rPr>
        <w:t>.</w:t>
      </w:r>
    </w:p>
    <w:p>
      <w:pPr>
        <w:pBdr>
          <w:top w:val="nil"/>
          <w:left w:val="nil"/>
          <w:bottom w:val="nil"/>
          <w:right w:val="nil"/>
          <w:between w:val="nil"/>
          <w:bar w:val="nil"/>
        </w:pBdr>
        <w:spacing w:before="0" w:after="240"/>
        <w:rPr>
          <w:rFonts w:eastAsia="Arial Unicode MS"/>
          <w:noProof/>
        </w:rPr>
      </w:pPr>
      <w:r>
        <w:rPr>
          <w:noProof/>
        </w:rPr>
        <w:t xml:space="preserve">Unionissa jäsenvaltioiden lentoliikenteen harjoittajien (unionin lentoliikenteen harjoittajien) vapaus harjoittaa EU:n sisäistä lentoliikennettä perustuu yksinomaan lentoliikenteen harjoittamisen yhteisistä säännöistä yhteisössä 24 päivänä syyskuuta 2008 annettuun Euroopan parlamentin ja neuvoston asetukseen (EY) N:o 1008/2008, jossa vahvistetaan myös kyseisiä lentoliikenteen harjoittajia koskevat lupasäännöt. </w:t>
      </w:r>
    </w:p>
    <w:p>
      <w:pPr>
        <w:pBdr>
          <w:top w:val="nil"/>
          <w:left w:val="nil"/>
          <w:bottom w:val="nil"/>
          <w:right w:val="nil"/>
          <w:between w:val="nil"/>
          <w:bar w:val="nil"/>
        </w:pBdr>
        <w:spacing w:before="0" w:after="240"/>
        <w:rPr>
          <w:rFonts w:eastAsia="Arial Unicode MS"/>
          <w:noProof/>
        </w:rPr>
      </w:pPr>
      <w:r>
        <w:rPr>
          <w:noProof/>
        </w:rPr>
        <w:t xml:space="preserve">Jollei erosopimus sisällä päinvastaisia määräyksiä, Yhdistyneen kuningaskunnan ja jäsenvaltioiden välisen lentoliikenteen sääntely kyseisellä asetuksella lakkaa eron yhteydessä. Sen jälkeen tietyt lentoliikenteen harjoittajat eivät myöskään täytä enää asetuksessa säädettyjä edellytyksiä, joilla ne hyväksyttäisiin unionin lentoliikenteen harjoittajiksi, koska niiden liikenneluvan on myöntänyt Yhdistynyt kuningaskunta, niiden pääasiallinen toimipaikka sijaitsee Yhdistyneessä kuningaskunnassa tai ne ovat Yhdistyneen kuningaskunnan tai sen kansalaisten enemmistöomistuksessa tai tosiasiallisessa määräysvallassa. </w:t>
      </w:r>
    </w:p>
    <w:p>
      <w:pPr>
        <w:pBdr>
          <w:top w:val="nil"/>
          <w:left w:val="nil"/>
          <w:bottom w:val="nil"/>
          <w:right w:val="nil"/>
          <w:between w:val="nil"/>
          <w:bar w:val="nil"/>
        </w:pBdr>
        <w:spacing w:before="0" w:after="240"/>
        <w:rPr>
          <w:rFonts w:eastAsia="Arial Unicode MS"/>
          <w:noProof/>
        </w:rPr>
      </w:pPr>
      <w:r>
        <w:rPr>
          <w:noProof/>
        </w:rPr>
        <w:t>Jollei erosopimus sisällä päinvastaisia määräyksiä, tästä seuraa, että näiden lentoliikenteen harjoittajien Yhdistyneen kuningaskunnan ja jäsenvaltioiden välillä harjoittamalle lentoliikenteelle ei ole enää olemassa oikeusperustaa 30. maaliskuuta 2019 alkaen. Kaikissa edellä kuvatuissa tilanteissa lentoliikenteen harjoittajat menettäisivät liikennelupansa unionissa, jolloin niillä ei olisi enää oikeutta harjoittaa unionin sisäistä lentoliikennettä.</w:t>
      </w:r>
    </w:p>
    <w:p>
      <w:pPr>
        <w:pBdr>
          <w:top w:val="nil"/>
          <w:left w:val="nil"/>
          <w:bottom w:val="nil"/>
          <w:right w:val="nil"/>
          <w:between w:val="nil"/>
          <w:bar w:val="nil"/>
        </w:pBdr>
        <w:spacing w:before="0" w:after="240"/>
        <w:rPr>
          <w:rFonts w:eastAsia="Arial Unicode MS"/>
          <w:noProof/>
        </w:rPr>
      </w:pPr>
      <w:r>
        <w:rPr>
          <w:noProof/>
        </w:rPr>
        <w:t xml:space="preserve">Yhdistyneen kuningaskunnan ja jäsenvaltioiden väliset suorat lentoliikennepalvelut ovat lähes kokonaan Yhdistyneen kuningaskunnan ja unionin lentoliikenteen harjoittajien hallussa. Jos nämä lentoliikenteen harjoittajat menettävät oikeutensa harjoittaa Yhdistyneen kuningaskunnan ja jäsenvaltioiden välistä lentoliikennettä, tuloksena olisi vakavia häiriöitä. Lentoliikenne lakkaisi useimmilla tai kaikilla unionin ja Yhdistyneen kuningaskunnan välisillä reiteillä. Unionin lentoliikenteen harjoittajille jäisi kuitenkin täydet mahdollisuudet harjoittaa lentoliikennettä reiteillä, joilla Yhdistyneen kuningaskunnan lentoliikenteen harjoittajat eivät enää lennä eron jälkeen.  </w:t>
      </w:r>
    </w:p>
    <w:p>
      <w:pPr>
        <w:pBdr>
          <w:top w:val="nil"/>
          <w:left w:val="nil"/>
          <w:bottom w:val="nil"/>
          <w:right w:val="nil"/>
          <w:between w:val="nil"/>
          <w:bar w:val="nil"/>
        </w:pBdr>
        <w:spacing w:before="0" w:after="240"/>
        <w:rPr>
          <w:rFonts w:eastAsia="Arial Unicode MS"/>
          <w:noProof/>
        </w:rPr>
      </w:pPr>
      <w:r>
        <w:rPr>
          <w:noProof/>
        </w:rPr>
        <w:t xml:space="preserve">Sopimuksettomassa erossa asianomaisille talouksille odotetaan koituvan vakavia seurauksia: vaihtoehtoisten reittien etsiminen lisäisi huomattavasti lentomatkojen kestoa ja kustannuksia ja lentoliikenteen infrastruktuuriin kohdistuvaa painetta vaihtoehtoisilla reiteillä samalla kun lentoliikenteen kysyntä vähenisi. Tämä aiheuttaisi vakavia ongelmia paitsi lentoliikenteen alalla myös muilla talouden aloilla, jotka ovat suuresti riippuvaisia lentoliikenteestä. Näin syntyneet kaupan esteet haittaisivat liiketoimintaa kaukaisilla markkinoilla sekä liiketoiminnan sijoittamista ja siirtoa. Unioni ja jäsenvaltiot menettäisivät lentoyhteyksien häiriöiden vuoksi strategisen voimavaran.  </w:t>
      </w:r>
    </w:p>
    <w:p>
      <w:pPr>
        <w:pBdr>
          <w:top w:val="nil"/>
          <w:left w:val="nil"/>
          <w:bottom w:val="nil"/>
          <w:right w:val="nil"/>
          <w:between w:val="nil"/>
          <w:bar w:val="nil"/>
        </w:pBdr>
        <w:spacing w:before="0" w:after="240"/>
        <w:rPr>
          <w:rFonts w:eastAsia="Arial Unicode MS"/>
          <w:noProof/>
        </w:rPr>
      </w:pPr>
      <w:r>
        <w:rPr>
          <w:noProof/>
        </w:rPr>
        <w:t>Komissio ilmoitti 13. maaliskuuta 2019 antamassaan tiedonannossa ”Valmistautuminen Yhdistyneen kuningaskunnan eroamiseen Euroopan unionista 30. maaliskuuta 2019: Varautumissuunnitelma”</w:t>
      </w:r>
      <w:r>
        <w:rPr>
          <w:rStyle w:val="FootnoteReference"/>
          <w:noProof/>
        </w:rPr>
        <w:footnoteReference w:id="3"/>
      </w:r>
      <w:r>
        <w:rPr>
          <w:noProof/>
        </w:rPr>
        <w:t xml:space="preserve"> aikovansa ehdottaa toimenpiteitä, joilla varmistetaan, että Yhdistyneen kuningaskunnan lentoliikenteen harjoittajat voivat lentää Euroopan unionin alueen yli, tehdä teknisiä välilaskuja (esimerkiksi tankkausta varten ottamatta tai jättämättä matkustajia) sekä laskeutua Euroopan unioniin ja lentää takaisin Yhdistyneeseen kuningaskuntaan. Näiden toimenpiteiden edellytyksenä olisi, että Yhdistynyt kuningaskunta soveltaa vastaavia toimenpiteitä Euroopan unionin lentoliikenteen harjoittajiin.</w:t>
      </w:r>
    </w:p>
    <w:p>
      <w:pPr>
        <w:pBdr>
          <w:top w:val="nil"/>
          <w:left w:val="nil"/>
          <w:bottom w:val="nil"/>
          <w:right w:val="nil"/>
          <w:between w:val="nil"/>
          <w:bar w:val="nil"/>
        </w:pBdr>
        <w:spacing w:before="0" w:after="240"/>
        <w:rPr>
          <w:rFonts w:eastAsia="Arial Unicode MS"/>
          <w:noProof/>
        </w:rPr>
      </w:pPr>
      <w:r>
        <w:rPr>
          <w:noProof/>
        </w:rPr>
        <w:t xml:space="preserve">Tämän ehdotuksen tavoitteena on säätää väliaikaisista toimenpiteistä, joilla säännellään unionin ja Yhdistyneen kuningaskunnan välistä lentoliikennettä Yhdistyneen kuningaskunnan erottua unionista (1 artikla). Toimenpiteiden tavoitteena on pitää yllä perusyhteyksiä lyhyen siirtymäkauden ajan (12 artikla). </w:t>
      </w:r>
    </w:p>
    <w:p>
      <w:pPr>
        <w:pBdr>
          <w:top w:val="nil"/>
          <w:left w:val="nil"/>
          <w:bottom w:val="nil"/>
          <w:right w:val="nil"/>
          <w:between w:val="nil"/>
          <w:bar w:val="nil"/>
        </w:pBdr>
        <w:spacing w:before="0" w:after="240"/>
        <w:rPr>
          <w:rFonts w:eastAsia="Arial Unicode MS"/>
          <w:noProof/>
        </w:rPr>
      </w:pPr>
      <w:r>
        <w:rPr>
          <w:noProof/>
        </w:rPr>
        <w:t xml:space="preserve">Ensinnäkin, ehdotetussa asetuksessa (3 artikla) annetaan säännökset ensimmäisen, toisen, kolmannen ja neljännen vapauden liikenneoikeuksien yksipuolisesta myöntämisestä Yhdistyneen kuningaskunnan lentoliikenteen harjoittajille, jotta nämä voivat lentää edelleen unionin alueen yli ja tehdä teknisiä välilaskuja unionin alueelle sekä lentää unionin ja Yhdistyneen kuningaskunnan alueiden välisiä suoria lentoja. Eroa ei tehdä matkustaja- ja rahtiliikenteen tai säännöllisen ja muun liikenteen välillä. Koska ehdotetun asetuksen tavoitteena on varmistaa perusyhteydet, Yhdistyneen kuningaskunnan lentoliikenteen harjoittajille sallittu tarjontakapasiteetti jäädytetään tämän tavoitteen mukaisesti brexitiä edeltävälle tasolle lentojen lukumääränä (vuoroina) ilmaistuna. Yhdistyneen kuningaskunnan lentoliikenteen harjoittajat eivät voi käyttää mitään tavanomaisia toiminnallisia joustovälineitä (kuten yhteisiä markkinointijärjestelyjä, ilma-aluksen vuokrausta, koneen vaihtoa tai monikohdelentoja) harjoittaessaan lentoliikennettä asetuksen nojalla. </w:t>
      </w:r>
    </w:p>
    <w:p>
      <w:pPr>
        <w:pBdr>
          <w:top w:val="nil"/>
          <w:left w:val="nil"/>
          <w:bottom w:val="nil"/>
          <w:right w:val="nil"/>
          <w:between w:val="nil"/>
          <w:bar w:val="nil"/>
        </w:pBdr>
        <w:spacing w:before="0" w:after="240"/>
        <w:rPr>
          <w:rFonts w:eastAsia="Arial Unicode MS"/>
          <w:noProof/>
        </w:rPr>
      </w:pPr>
      <w:r>
        <w:rPr>
          <w:noProof/>
        </w:rPr>
        <w:t xml:space="preserve">Koska Yhdistyneelle kuningaskunnalle myönnettäviin oikeuksiin sovelletaan vastavuoroisuusperiaatetta, ehdotetussa asetuksessa (4 artikla) vahvistetaan mekanismi, jolla varmistetaan, että unionin lentoliikenteen harjoittajat saavat Yhdistyneessä kuningaskunnassa vastaavat oikeudet kuin Yhdistyneen kuningaskunnan lentoliikenteen harjoittajat saavat asetuksen nojalla. Päinvastaisessa tapauksessa komissiolla on valtuudet toteuttaa tarvittavat toimenpiteet tilanteen korjaamiseksi antamalla täytäntöönpanosäädöksiä. Tällaisiin toimenpiteisiin kuuluvat myös Yhdistyneen kuningaskunnan lentoliikenteen harjoittajien liikennelupien rajoittaminen tai peruuttaminen. Vastaavuuden tason arvioinnissa ja komission toteuttamissa korjaavissa toimenpiteissä ei ole kyse pelkästään siitä, vastaavatko molemmat oikeusjärjestykset tiukasti ja muodollisesti toisiaan. Tämä johtuu kyseisten markkinoiden välisistä merkittävistä eroista ja pyrkimyksestä olla noudattamatta puhtaaseen vastaavuuteen perustuvaa lähestymistapaa, joka saattaisi viime kädessä olla unionin etujen vastainen. </w:t>
      </w:r>
    </w:p>
    <w:p>
      <w:pPr>
        <w:pBdr>
          <w:top w:val="nil"/>
          <w:left w:val="nil"/>
          <w:bottom w:val="nil"/>
          <w:right w:val="nil"/>
          <w:between w:val="nil"/>
          <w:bar w:val="nil"/>
        </w:pBdr>
        <w:spacing w:before="0" w:after="240"/>
        <w:rPr>
          <w:rFonts w:eastAsia="Arial Unicode MS"/>
          <w:noProof/>
        </w:rPr>
      </w:pPr>
      <w:r>
        <w:rPr>
          <w:noProof/>
        </w:rPr>
        <w:t>Vaikka ehdotetun asetuksen tavoitteena on perusyhteyksien väliaikainen takaaminen, siinä pyritään samaan päämäärään kuin kaikissa unionin lentoliikennesopimuksissa ja vahvistetaan sen mukaisesti joustomekanismi, jolla varmistetaan, että unionin lentoliikenteen harjoittajilla on oikeudenmukaiset ja yhtäläiset mahdollisuudet kilpailla Yhdistyneen kuningaskunnan lentoliikenteen harjoittajien kanssa sen jälkeen, kun unionin oikeus ei enää sido Yhdistynyttä kuningaskuntaa. Jotta toimintaedellytykset säilyisivät tasapuolisina myös eron jälkeen, Yhdistyneen kuningaskunnan olisi sovellettava edelleen riittävän korkeita vaatimuksia lentoliikenteen alalla, kun kyseessä ovat tasapuolinen kilpailu, mukaan luettuna kartellien, määräävän aseman väärinkäytön ja sulautumien sääntely; perusteettomien valtiontukien kieltäminen; työntekijöiden suojelu; ympäristönsuojelu sekä turvallisuus ja turvatoimet. Lisäksi on varmistettava, ettei unionin lentoliikenteen harjoittajia syrjitä Yhdistyneessä kuningaskunnassa oikeudellisesti tai tosiasiallisesti.</w:t>
      </w:r>
      <w:r>
        <w:rPr>
          <w:i/>
          <w:noProof/>
        </w:rPr>
        <w:t xml:space="preserve"> </w:t>
      </w:r>
      <w:r>
        <w:rPr>
          <w:noProof/>
        </w:rPr>
        <w:t xml:space="preserve">Ehdotetussa asetuksessa (5 artikla) annetaankin komission tehtäväksi seurata unionin ja Yhdistyneen kuningaskunnan lentoliikenteen harjoittajien välisen kilpailun edellytyksiä ja valtuutetaan komissio toteuttamaan tarvittavat toimenpiteet täytäntöönpanosäädösten muodossa sen varmistamiseksi, että nämä edellytykset täyttyvät jatkuvasti. </w:t>
      </w:r>
    </w:p>
    <w:p>
      <w:pPr>
        <w:pBdr>
          <w:top w:val="nil"/>
          <w:left w:val="nil"/>
          <w:bottom w:val="nil"/>
          <w:right w:val="nil"/>
          <w:between w:val="nil"/>
          <w:bar w:val="nil"/>
        </w:pBdr>
        <w:spacing w:before="0" w:after="240"/>
        <w:rPr>
          <w:rFonts w:eastAsia="Arial Unicode MS"/>
          <w:noProof/>
        </w:rPr>
      </w:pPr>
      <w:r>
        <w:rPr>
          <w:noProof/>
        </w:rPr>
        <w:t xml:space="preserve">Käyttöön otetaan tarvittavat menettelyt, joiden avulla jäsenvaltiot voivat tarkistaa, että Yhdistynyt kuningaskunta on myöntänyt jäsenvaltioiden alueelle lentäville lentoliikenteen harjoittajille, ilma-aluksille ja miehistöille luvat tai sertifioinut ne kansainvälisesti tunnustettujen turvallisuusstandardien mukaisesti ja että kaikkea asiaankuuluvaa kansallista ja unionin lainsäädäntöä noudatetaan eikä sallittuja oikeuksia ylitetä (6–9 artikla). </w:t>
      </w:r>
    </w:p>
    <w:p>
      <w:pPr>
        <w:pBdr>
          <w:top w:val="nil"/>
          <w:left w:val="nil"/>
          <w:bottom w:val="nil"/>
          <w:right w:val="nil"/>
          <w:between w:val="nil"/>
          <w:bar w:val="nil"/>
        </w:pBdr>
        <w:spacing w:before="0" w:after="240"/>
        <w:rPr>
          <w:rFonts w:eastAsia="Arial Unicode MS"/>
          <w:noProof/>
        </w:rPr>
      </w:pPr>
      <w:r>
        <w:rPr>
          <w:noProof/>
        </w:rPr>
        <w:t xml:space="preserve">Asetus sisältää erityisen säännöksen, jossa muistutetaan, että jäsenvaltiot eivät saa neuvotella tai tehdä kahdenvälisiä lentoliikennesopimuksia Yhdistyneen kuningaskunnan kanssa tämän asetuksen soveltamisalaan kuuluvissa asioissa eivätkä saa muulla tavoin myöntää Yhdistyneen kuningaskunnan lentoliikenteen harjoittajille lentoliikenteen yhteydessä muita oikeuksia kuin tässä asetuksessa myönnetään (3 artikla). Asianomaiset toimivaltaiset viranomaiset voivat luonnollisesti tehdä tämän asetuksen asianmukaisen täytäntöönpanon vaatimaa yhteistyötä (10 artikla), jotta asetuksen alaisuudessa harjoitettavan lentoliikenteen hallinnointi häiriintyy mahdollisimman vähän Yhdistyneen kuningaskunnan eron jälkeen. </w:t>
      </w:r>
    </w:p>
    <w:p>
      <w:pPr>
        <w:pBdr>
          <w:top w:val="nil"/>
          <w:left w:val="nil"/>
          <w:bottom w:val="nil"/>
          <w:right w:val="nil"/>
          <w:between w:val="nil"/>
          <w:bar w:val="nil"/>
        </w:pBdr>
        <w:spacing w:before="0" w:after="240"/>
        <w:rPr>
          <w:noProof/>
        </w:rPr>
      </w:pPr>
      <w:r>
        <w:rPr>
          <w:noProof/>
        </w:rPr>
        <w:t>Eurooppa-neuvosto (50 artikla) kehotti uudelleen 13. joulukuuta 2018 valmistautumaan entistä vahvemmin kaikilla tasoilla Yhdistyneen kuningaskunnan eron seurauksiin ottamalla huomioon kaikki mahdolliset tulokset. Tämä säädös on osa toimenpidepakettia, jonka komissio hyväksyy vastauksena kyseiseen kehotukseen.</w:t>
      </w:r>
    </w:p>
    <w:p>
      <w:pPr>
        <w:pStyle w:val="ManualHeading2"/>
        <w:rPr>
          <w:rFonts w:eastAsia="Arial Unicode MS"/>
          <w:noProof/>
          <w:color w:val="000000"/>
          <w:u w:color="000000"/>
          <w:bdr w:val="nil"/>
        </w:rPr>
      </w:pPr>
      <w:r>
        <w:rPr>
          <w:noProof/>
          <w:color w:val="000000"/>
          <w:u w:color="000000"/>
          <w:bdr w:val="nil"/>
        </w:rPr>
        <w:t>•</w:t>
      </w:r>
      <w:r>
        <w:rPr>
          <w:noProof/>
        </w:rPr>
        <w:tab/>
        <w:t>Yhdenmukaisuus muiden alaa koskevien politiikkojen säännösten kanssa</w:t>
      </w:r>
    </w:p>
    <w:p>
      <w:pPr>
        <w:pBdr>
          <w:top w:val="nil"/>
          <w:left w:val="nil"/>
          <w:bottom w:val="nil"/>
          <w:right w:val="nil"/>
          <w:between w:val="nil"/>
          <w:bar w:val="nil"/>
        </w:pBdr>
        <w:spacing w:before="0" w:after="240"/>
        <w:rPr>
          <w:noProof/>
        </w:rPr>
      </w:pPr>
      <w:r>
        <w:rPr>
          <w:noProof/>
        </w:rPr>
        <w:t xml:space="preserve">Ehdotetun asetuksen tarkoituksena on olla erityissäännös, jossa käsitellään joitakin niistä seurauksista, joita syntyy, kun asetusta (EY) N:o 1008/2008 lakataan soveltamasta Yhdistyneen kuningaskunnan ja jäljelle jäävien jäsenvaltioiden väliseen lentoliikenteeseen Yhdistyneen kuningaskunnan erottua unionista ilman erosopimusta. Ehdotetut ehdot rajoittuvat siihen, mikä on tältä osin tarpeen, jotta vältetään kohtuuttomat häiriöt. Ehtoja on tarkoitus soveltaa vain määräajan. Näin ollen tämä ehdotus on täysin yhdenmukainen voimassa olevan lainsäädännön ja erityisesti asetuksen  (EY) N:o 1008/2008 kanssa. </w:t>
      </w:r>
    </w:p>
    <w:p>
      <w:pPr>
        <w:pStyle w:val="ManualHeading2"/>
        <w:rPr>
          <w:rFonts w:eastAsia="Arial Unicode MS"/>
          <w:noProof/>
        </w:rPr>
      </w:pPr>
      <w:r>
        <w:rPr>
          <w:noProof/>
          <w:color w:val="000000"/>
          <w:u w:color="000000"/>
          <w:bdr w:val="nil"/>
        </w:rPr>
        <w:t>•</w:t>
      </w:r>
      <w:r>
        <w:rPr>
          <w:noProof/>
        </w:rPr>
        <w:tab/>
        <w:t>Yhdenmukaisuus unionin muiden politiikkojen kanssa</w:t>
      </w:r>
    </w:p>
    <w:p>
      <w:pPr>
        <w:pBdr>
          <w:top w:val="nil"/>
          <w:left w:val="nil"/>
          <w:bottom w:val="nil"/>
          <w:right w:val="nil"/>
          <w:between w:val="nil"/>
          <w:bar w:val="nil"/>
        </w:pBdr>
        <w:spacing w:before="0" w:after="240"/>
        <w:rPr>
          <w:noProof/>
        </w:rPr>
      </w:pPr>
      <w:r>
        <w:rPr>
          <w:noProof/>
        </w:rPr>
        <w:t>Tämä ehdotus täydentää unionin asetusta (EY) N:o 1008/2008. Vaikka siinä on joiltakin osin (kuten liikenneluvissa) noudatettu samaa lähestymistapaa kuin unionin ja kolmansien maiden välisissä lentoliikennesopimuksissa, asetuksen erityinen tavoite, asiayhteys ja yksipuolisuus vaativat välttämättä rajoittavampaa lähestymistapaa oikeuksien myöntämisessä sekä erityissäännöksiä, joiden tavoitteena on säilyttää oikeuksien yhdenvertaisuus ja tasapuoliset toimintaedellytykset.</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pBdr>
          <w:top w:val="nil"/>
          <w:left w:val="nil"/>
          <w:bottom w:val="nil"/>
          <w:right w:val="nil"/>
          <w:between w:val="nil"/>
          <w:bar w:val="nil"/>
        </w:pBdr>
        <w:spacing w:before="0" w:after="240"/>
        <w:rPr>
          <w:noProof/>
        </w:rPr>
      </w:pPr>
      <w:r>
        <w:rPr>
          <w:noProof/>
        </w:rPr>
        <w:t>Oikeusperustana on Euroopan unionin toiminnasta tehdyn sopimuksen (SEUT) 100 artiklan 2 kohta.</w:t>
      </w:r>
    </w:p>
    <w:p>
      <w:pPr>
        <w:pStyle w:val="ManualHeading2"/>
        <w:rPr>
          <w:rFonts w:eastAsia="Arial Unicode MS"/>
          <w:noProof/>
          <w:u w:color="000000"/>
          <w:bdr w:val="nil"/>
        </w:rPr>
      </w:pPr>
      <w:r>
        <w:rPr>
          <w:noProof/>
        </w:rPr>
        <w:t>•</w:t>
      </w:r>
      <w:r>
        <w:rPr>
          <w:noProof/>
        </w:rPr>
        <w:tab/>
        <w:t xml:space="preserve">Toissijaisuusperiaate (jaetun toimivallan osalta) </w:t>
      </w:r>
    </w:p>
    <w:p>
      <w:pPr>
        <w:pBdr>
          <w:top w:val="nil"/>
          <w:left w:val="nil"/>
          <w:bottom w:val="nil"/>
          <w:right w:val="nil"/>
          <w:between w:val="nil"/>
          <w:bar w:val="nil"/>
        </w:pBdr>
        <w:spacing w:before="0" w:after="240"/>
        <w:rPr>
          <w:rFonts w:eastAsia="Arial Unicode MS"/>
          <w:noProof/>
        </w:rPr>
      </w:pPr>
      <w:r>
        <w:rPr>
          <w:noProof/>
        </w:rPr>
        <w:t>Ehdotettu säädös täydentäisi unionin asetusta (EY) N:o 1008/2008 siten, että perusluonteiset lentoyhteydet varmistettaisiin, vaikka asetusta ei enää sovelletakaan asianomaiseen lentotoimintaan. Perusyhteydet varmistettaisiin vastaavalla tavalla unionin kaikista paikoista ja kaikkiin paikkoihin harjoitettavassa liikenteessä, jolloin vältetään sisämarkkinoiden häiriöt. Tätä tavoitetta ei saavutettaisi jäsenvaltioiden omilla toimilla, minkä vuoksi on välttämätöntä toteuttaa toimia unionin tasolla.</w:t>
      </w:r>
    </w:p>
    <w:p>
      <w:pPr>
        <w:pStyle w:val="ManualHeading2"/>
        <w:rPr>
          <w:rFonts w:eastAsia="Arial Unicode MS"/>
          <w:noProof/>
          <w:u w:color="000000"/>
          <w:bdr w:val="nil"/>
        </w:rPr>
      </w:pPr>
      <w:r>
        <w:rPr>
          <w:noProof/>
        </w:rPr>
        <w:t>•</w:t>
      </w:r>
      <w:r>
        <w:rPr>
          <w:noProof/>
        </w:rPr>
        <w:tab/>
        <w:t>Suhteellisuusperiaate</w:t>
      </w:r>
    </w:p>
    <w:p>
      <w:pPr>
        <w:pBdr>
          <w:top w:val="nil"/>
          <w:left w:val="nil"/>
          <w:bottom w:val="nil"/>
          <w:right w:val="nil"/>
          <w:between w:val="nil"/>
          <w:bar w:val="nil"/>
        </w:pBdr>
        <w:spacing w:before="0" w:after="240"/>
        <w:rPr>
          <w:rFonts w:eastAsia="Arial Unicode MS"/>
          <w:noProof/>
        </w:rPr>
      </w:pPr>
      <w:r>
        <w:rPr>
          <w:noProof/>
        </w:rPr>
        <w:t xml:space="preserve">Ehdotettua asetusta pidetään oikeasuhteisena, koska sillä voidaan välttää kohtuuttomat häiriöt ja varmistaa samalla tasapuoliset kilpailuedellytykset unionin lentoliikenteen harjoittajille. Asetuksessa ei ylitetä sitä, mikä on tarpeen tämän tavoitteen saavuttamiseksi. Tämä koskee erityisesti asiaankuuluvien oikeuksien myöntämisedellytyksiä, jotka liittyvät muun muassa vastaavien oikeuksien saamiseen Yhdistyneeltä kuningaskunnalta ja tasapuoliseen kilpailuun, sekä järjestelmän määräaikaisuutta. </w:t>
      </w:r>
    </w:p>
    <w:p>
      <w:pPr>
        <w:pStyle w:val="ManualHeading2"/>
        <w:rPr>
          <w:rFonts w:eastAsia="Arial Unicode MS"/>
          <w:noProof/>
          <w:u w:color="000000"/>
          <w:bdr w:val="nil"/>
        </w:rPr>
      </w:pPr>
      <w:r>
        <w:rPr>
          <w:noProof/>
        </w:rPr>
        <w:t>•</w:t>
      </w:r>
      <w:r>
        <w:rPr>
          <w:noProof/>
        </w:rPr>
        <w:tab/>
        <w:t>Toimintatavan valinta</w:t>
      </w:r>
    </w:p>
    <w:p>
      <w:pPr>
        <w:pBdr>
          <w:top w:val="nil"/>
          <w:left w:val="nil"/>
          <w:bottom w:val="nil"/>
          <w:right w:val="nil"/>
          <w:between w:val="nil"/>
          <w:bar w:val="nil"/>
        </w:pBdr>
        <w:spacing w:before="0" w:after="240"/>
        <w:rPr>
          <w:rFonts w:eastAsia="Arial Unicode MS"/>
          <w:noProof/>
        </w:rPr>
      </w:pPr>
      <w:r>
        <w:rPr>
          <w:noProof/>
        </w:rPr>
        <w:t xml:space="preserve">Koska säädöksessä käsitellään asetukseen (EY) N:o 1008/2008 läheisesti liittyviä asioita ja sillä pyritään kyseisen asetuksen tavoin varmistamaan täysin yhdenmukaistetut kilpailuedellytykset, säädös olisi annettava asetuksen muodossa. Lisäksi tämä säädösmuoto sopii parhaiten tähän kiireelliseen tilanteeseen ja asiayhteyteen, koska eroamiseen (ilman erosopimuksen tekoa) on niin lyhyt aika, ettei direktiivin säännöksiä ehdittäisi siirtää osaksi kansallista lainsäädäntöä. </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rPr>
        <w:t>•</w:t>
      </w:r>
      <w:r>
        <w:rPr>
          <w:noProof/>
        </w:rPr>
        <w:tab/>
        <w:t>Jälkiarvioinnit/toimivuustarkastukset</w:t>
      </w:r>
    </w:p>
    <w:p>
      <w:pPr>
        <w:pBdr>
          <w:top w:val="nil"/>
          <w:left w:val="nil"/>
          <w:bottom w:val="nil"/>
          <w:right w:val="nil"/>
          <w:between w:val="nil"/>
          <w:bar w:val="nil"/>
        </w:pBdr>
        <w:spacing w:before="0" w:after="240"/>
        <w:rPr>
          <w:noProof/>
        </w:rPr>
      </w:pPr>
      <w:r>
        <w:rPr>
          <w:noProof/>
        </w:rPr>
        <w:t xml:space="preserve">Tätä kohtaa ei sovelleta, koska tämä ehdotus tarvitaan poikkeuksellisen, väliaikaisen ja kertaluonteisen tapahtuman vuoksi, joka ei liity voimassa olevan lainsäädännön tavoitteisiin. </w:t>
      </w:r>
    </w:p>
    <w:p>
      <w:pPr>
        <w:pStyle w:val="ManualHeading2"/>
        <w:rPr>
          <w:rFonts w:eastAsia="Arial Unicode MS"/>
          <w:noProof/>
          <w:u w:color="000000"/>
          <w:bdr w:val="nil"/>
        </w:rPr>
      </w:pPr>
      <w:r>
        <w:rPr>
          <w:noProof/>
        </w:rPr>
        <w:t>•</w:t>
      </w:r>
      <w:r>
        <w:rPr>
          <w:noProof/>
        </w:rPr>
        <w:tab/>
        <w:t>Sidosryhmien kuuleminen</w:t>
      </w:r>
    </w:p>
    <w:p>
      <w:pPr>
        <w:pBdr>
          <w:top w:val="nil"/>
          <w:left w:val="nil"/>
          <w:bottom w:val="nil"/>
          <w:right w:val="nil"/>
          <w:between w:val="nil"/>
          <w:bar w:val="nil"/>
        </w:pBdr>
        <w:spacing w:before="0" w:after="240"/>
        <w:rPr>
          <w:noProof/>
        </w:rPr>
      </w:pPr>
      <w:r>
        <w:rPr>
          <w:noProof/>
        </w:rPr>
        <w:t>Monet ilmailualan sidosryhmät ja jäsenvaltioiden edustajat ovat ottaneet esille haasteita, joita Yhdistyneen kuningaskunnan eroaminen EU:sta aiheuttaa, sekä niiden mahdollisia ratkaisuja.</w:t>
      </w:r>
    </w:p>
    <w:p>
      <w:pPr>
        <w:pBdr>
          <w:top w:val="nil"/>
          <w:left w:val="nil"/>
          <w:bottom w:val="nil"/>
          <w:right w:val="nil"/>
          <w:between w:val="nil"/>
          <w:bar w:val="nil"/>
        </w:pBdr>
        <w:spacing w:before="0" w:after="240"/>
        <w:rPr>
          <w:noProof/>
        </w:rPr>
      </w:pPr>
      <w:r>
        <w:rPr>
          <w:noProof/>
        </w:rPr>
        <w:t xml:space="preserve">Kannanottojen yleisenä aiheena on ollut tarve toteuttaa sääntelytoimia, joilla voidaan säilyttää tietyntasoiset lentoyhteydet. Liikenneoikeuksien osalta sidosryhmät eivät voi toteuttaa omia varotoimenpiteitä lieventääkseen erosopimuksen mahdollisesta puuttumisesta johtuvia haittavaikutuksia. Ainakin kuuden lentoliikenteen harjoittajan, lentoliikenteen harjoittajien ryhmän ja lentoaseman edustajat (pääasiassa Kansainvälisen lentoasemien järjestön ACI:n välityksellä) esittivät sen näkemyksen, että tilanne olisi pidettävä Yhdistyneen kuningaskunnan lentoliikenteen harjoittajien suhteen ennallaan sallimalla samantasoinen markkinoillepääsy kuin ennen eroa. Toiset sidosryhmät (lähinnä EU27:n lentoliikenteen harjoittajien edustajat) painottivat sen sijaan, ettei nykytilannetta saisi pitää yllä ilman sääntelyn täyttä yhdenmukaistamista, koska markkinoilla on oltava tasapuoliset toimintaedellytykset. Komissio järjesti 12. kesäkuuta 2018 valmistautumista käsitelleen työpajan, jonka aikana jäsenvaltioiden siviili-ilmailun asiantuntijat painottivat erityisesti olevan tarpeen toteuttaa EU-tason varotoimenpiteitä, joilla varmistettaisiin EU27:n ja Yhdistyneen kuningaskunnan väliset perusluonteiset lentoyhteydet erosopimuksen puuttuessa.  </w:t>
      </w:r>
    </w:p>
    <w:p>
      <w:pPr>
        <w:pBdr>
          <w:top w:val="nil"/>
          <w:left w:val="nil"/>
          <w:bottom w:val="nil"/>
          <w:right w:val="nil"/>
          <w:between w:val="nil"/>
          <w:bar w:val="nil"/>
        </w:pBdr>
        <w:spacing w:before="0" w:after="240"/>
        <w:rPr>
          <w:noProof/>
        </w:rPr>
      </w:pPr>
      <w:r>
        <w:rPr>
          <w:noProof/>
        </w:rPr>
        <w:t>Nämä kommentit on otettu ehdotusta laadittaessa asianmukaisesti huomioon.</w:t>
      </w:r>
    </w:p>
    <w:p>
      <w:pPr>
        <w:pStyle w:val="ManualHeading2"/>
        <w:rPr>
          <w:rFonts w:eastAsia="Arial Unicode MS"/>
          <w:noProof/>
          <w:u w:color="000000"/>
          <w:bdr w:val="nil"/>
        </w:rPr>
      </w:pPr>
      <w:r>
        <w:rPr>
          <w:noProof/>
        </w:rPr>
        <w:t>•</w:t>
      </w:r>
      <w:r>
        <w:rPr>
          <w:noProof/>
        </w:rPr>
        <w:tab/>
        <w:t>Asiantuntijatiedon keruu ja käyttö</w:t>
      </w:r>
    </w:p>
    <w:p>
      <w:pPr>
        <w:pBdr>
          <w:top w:val="nil"/>
          <w:left w:val="nil"/>
          <w:bottom w:val="nil"/>
          <w:right w:val="nil"/>
          <w:between w:val="nil"/>
          <w:bar w:val="nil"/>
        </w:pBdr>
        <w:spacing w:before="0" w:after="240"/>
        <w:rPr>
          <w:noProof/>
        </w:rPr>
      </w:pPr>
      <w:r>
        <w:rPr>
          <w:noProof/>
        </w:rPr>
        <w:t>Asianomaiset sidosryhmät esittivät komissiolle eri muodossa arviointeja seurauksista, joita Yhdistyneen kuningaskunnan ero voi aiheuttaa lentoliikenteen alalla. Arvioinneissa todettiin, että lentoliikenteen lakkaaminen EU27:n ja Yhdistyneen kuningaskunnan välillä aiheuttaisi vakavia häiriöitä EU27:ssä. Lentoyhteydet ovat talouselämän kannalta ratkaisevan tärkeitä. Ilmailu ei helpota pelkästään liikkuvuutta vaan edistää myös merkittävästi kauppaa, kasvua ja työllisyyttä. Sen suora osuus suhteessa EU:n BKT:hen on 110 miljardia euroa, kun taas sen kokonaisvaikutus, matkailu mukaan luettuna, on jopa 510 miljardia euroa kerrannaisvaikutusten kautta</w:t>
      </w:r>
      <w:r>
        <w:rPr>
          <w:rStyle w:val="FootnoteReference"/>
          <w:noProof/>
        </w:rPr>
        <w:footnoteReference w:id="4"/>
      </w:r>
      <w:r>
        <w:rPr>
          <w:noProof/>
        </w:rPr>
        <w:t>. Vuonna 2016 EU27:n ja Yhdistyneen kuningaskunnan välisen liikenteen matkustajamäärät olivat yhteensä 16 prosenttia kaikesta EU:n sisäisestä liikenteestä, mutta tämä luku vaihtelee merkittävästi EU:n jäsenvaltioiden välillä jopa yli 25 prosenttiin saakka. Yhdistyneessä kuningaskunnassa toimiluvan saaneiden lentoliikenteen harjoittajien osuus EU:n sisäisestä lentoliikenteestä oli 19,3 prosenttia vuonna 2017, kun taas EU27:n lentoliikenteen harjoittajien osuus EU27:n ja Yhdistyneen kuningaskunnan välisestä liikenteestä oli 44,7 prosenttia. Lentoyhteyksien vaihtoehtoina ovat rautatie- ja meriyhteydet, mutta niitä on vain joissakin maissa, kuten Belgiassa, Ranskassa ja Irlannissa. Kauempana idässä tai etelässä sijaitsevien unionin muiden maiden osalta maantie- ja rautatieliikenne eivät voi korvata lentoliikennettä matka-aikojensa vuoksi. Näin ollen on tarpeen lieventää niitä vakavia haittoja, joita lentoyhteyksien täydellinen menetys aiheuttaisi EU27:n taloudelle ja kansalaisille.</w:t>
      </w:r>
    </w:p>
    <w:p>
      <w:pPr>
        <w:pStyle w:val="ManualHeading2"/>
        <w:rPr>
          <w:rFonts w:eastAsia="Arial Unicode MS"/>
          <w:noProof/>
          <w:u w:color="000000"/>
          <w:bdr w:val="nil"/>
        </w:rPr>
      </w:pPr>
      <w:r>
        <w:rPr>
          <w:noProof/>
        </w:rPr>
        <w:t>•</w:t>
      </w:r>
      <w:r>
        <w:rPr>
          <w:noProof/>
        </w:rPr>
        <w:tab/>
        <w:t>Vaikutustenarviointi</w:t>
      </w:r>
    </w:p>
    <w:p>
      <w:pPr>
        <w:pBdr>
          <w:top w:val="nil"/>
          <w:left w:val="nil"/>
          <w:bottom w:val="nil"/>
          <w:right w:val="nil"/>
          <w:between w:val="nil"/>
          <w:bar w:val="nil"/>
        </w:pBdr>
        <w:spacing w:before="0" w:after="240"/>
        <w:rPr>
          <w:noProof/>
        </w:rPr>
      </w:pPr>
      <w:r>
        <w:rPr>
          <w:noProof/>
        </w:rPr>
        <w:t>Vaikutustenarviointi ei ole tarpeen tässä poikkeuksellisessa tilanteessa, jossa toimenpiteiden tarpeet rajoittuvat ajanjaksoon, jonka aikana Yhdistyneen kuningaskunnan asema muutetaan. Käytettävissä ei ole muita toimintavaihtoehtoja, jotka poikkeaisivat ehdotetuista vaihtoehdoista aineellisesti ja oikeudellisesti.</w:t>
      </w:r>
    </w:p>
    <w:p>
      <w:pPr>
        <w:pStyle w:val="ManualHeading2"/>
        <w:rPr>
          <w:rFonts w:eastAsia="Arial Unicode MS"/>
          <w:noProof/>
          <w:u w:color="000000"/>
          <w:bdr w:val="nil"/>
        </w:rPr>
      </w:pPr>
      <w:r>
        <w:rPr>
          <w:noProof/>
        </w:rPr>
        <w:t>•</w:t>
      </w:r>
      <w:r>
        <w:rPr>
          <w:noProof/>
        </w:rPr>
        <w:tab/>
        <w:t>Perusoikeudet</w:t>
      </w:r>
    </w:p>
    <w:p>
      <w:pPr>
        <w:pBdr>
          <w:top w:val="nil"/>
          <w:left w:val="nil"/>
          <w:bottom w:val="nil"/>
          <w:right w:val="nil"/>
          <w:between w:val="nil"/>
          <w:bar w:val="nil"/>
        </w:pBdr>
        <w:spacing w:before="0" w:after="240"/>
        <w:rPr>
          <w:noProof/>
        </w:rPr>
      </w:pPr>
      <w:r>
        <w:rPr>
          <w:noProof/>
        </w:rPr>
        <w:t xml:space="preserve">Tämä ehdotus ei vaikuta perusoikeuksien suojaamiseen. </w:t>
      </w:r>
    </w:p>
    <w:p>
      <w:pPr>
        <w:pStyle w:val="ManualHeading1"/>
        <w:rPr>
          <w:noProof/>
        </w:rPr>
      </w:pPr>
      <w:r>
        <w:rPr>
          <w:noProof/>
        </w:rPr>
        <w:t>4.</w:t>
      </w:r>
      <w:r>
        <w:rPr>
          <w:noProof/>
        </w:rPr>
        <w:tab/>
        <w:t>TALOUSARVIOVAIKUTUKSET</w:t>
      </w:r>
    </w:p>
    <w:p>
      <w:pPr>
        <w:pBdr>
          <w:top w:val="nil"/>
          <w:left w:val="nil"/>
          <w:bottom w:val="nil"/>
          <w:right w:val="nil"/>
          <w:between w:val="nil"/>
          <w:bar w:val="nil"/>
        </w:pBdr>
        <w:spacing w:before="0" w:after="240"/>
        <w:rPr>
          <w:noProof/>
        </w:rPr>
      </w:pPr>
      <w:r>
        <w:rPr>
          <w:noProof/>
        </w:rPr>
        <w:t xml:space="preserve">Ei sovelleta. </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rPr>
        <w:t>•</w:t>
      </w:r>
      <w:r>
        <w:rPr>
          <w:noProof/>
        </w:rPr>
        <w:tab/>
        <w:t>Toteuttamissuunnitelmat, seuranta, arviointi ja raportointijärjestelyt</w:t>
      </w:r>
    </w:p>
    <w:p>
      <w:pPr>
        <w:pBdr>
          <w:top w:val="nil"/>
          <w:left w:val="nil"/>
          <w:bottom w:val="nil"/>
          <w:right w:val="nil"/>
          <w:between w:val="nil"/>
          <w:bar w:val="nil"/>
        </w:pBdr>
        <w:spacing w:before="0" w:after="240"/>
        <w:rPr>
          <w:noProof/>
        </w:rPr>
      </w:pPr>
      <w:r>
        <w:rPr>
          <w:noProof/>
        </w:rPr>
        <w:t xml:space="preserve">Ei sovelleta.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t>2018/0433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perusluonteiset lentoyhteydet Ison-Britannian ja Pohjois-Irlannin yhdistyneen kuningaskunnan unionista eroamisen yhteydessä varmistavista yhteisistä säännöistä</w:t>
      </w:r>
    </w:p>
    <w:p>
      <w:pPr>
        <w:pStyle w:val="IntrtEEE"/>
        <w:rPr>
          <w:noProof/>
        </w:rPr>
      </w:pPr>
      <w:r>
        <w:rPr>
          <w:noProof/>
        </w:rPr>
        <w:t>(ETA:n kannalta merkityksellinen teksti)</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100 artiklan 2 kohdan,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talous- ja sosiaalikomitean lausunnon</w:t>
      </w:r>
      <w:r>
        <w:rPr>
          <w:rStyle w:val="FootnoteReference"/>
          <w:noProof/>
        </w:rPr>
        <w:footnoteReference w:id="5"/>
      </w:r>
      <w:r>
        <w:rPr>
          <w:noProof/>
        </w:rPr>
        <w:t xml:space="preserve">, </w:t>
      </w:r>
    </w:p>
    <w:p>
      <w:pPr>
        <w:rPr>
          <w:noProof/>
        </w:rPr>
      </w:pPr>
      <w:r>
        <w:rPr>
          <w:noProof/>
        </w:rPr>
        <w:t>ottavat huomioon alueiden komitean lausunnon</w:t>
      </w:r>
      <w:r>
        <w:rPr>
          <w:rStyle w:val="FootnoteReference"/>
          <w:noProof/>
        </w:rPr>
        <w:footnoteReference w:id="6"/>
      </w:r>
      <w:r>
        <w:rPr>
          <w:noProof/>
        </w:rPr>
        <w:t xml:space="preserve">, </w:t>
      </w:r>
    </w:p>
    <w:p>
      <w:pPr>
        <w:rPr>
          <w:noProof/>
        </w:rPr>
      </w:pPr>
      <w:r>
        <w:rPr>
          <w:noProof/>
        </w:rPr>
        <w:t xml:space="preserve">noudattavat tavallista lainsäätämisjärjestystä, </w:t>
      </w:r>
    </w:p>
    <w:p>
      <w:pPr>
        <w:rPr>
          <w:noProof/>
        </w:rPr>
      </w:pPr>
      <w:r>
        <w:rPr>
          <w:noProof/>
        </w:rPr>
        <w:t>sekä katsovat seuraavaa:</w:t>
      </w:r>
    </w:p>
    <w:p>
      <w:pPr>
        <w:pStyle w:val="ManualConsidrant"/>
        <w:rPr>
          <w:noProof/>
        </w:rPr>
      </w:pPr>
      <w:r>
        <w:t>(1)</w:t>
      </w:r>
      <w:r>
        <w:tab/>
      </w:r>
      <w:r>
        <w:rPr>
          <w:noProof/>
        </w:rPr>
        <w:t>Yhdistynyt kuningaskunta ilmoitti 29 päivänä maaliskuuta 2017 aikomuksestaan erota unionista Euroopan unionista tehdyn sopimuksen 50 artiklan mukaisesti. Perussopimuksia lakataan soveltamasta Yhdistyneeseen kuningaskuntaan sinä päivänä, jona erosopimus tulee voimaan tai, jollei sopimusta ole, kahden vuoden kuluttua ilmoituksesta eli 30 päivänä maaliskuuta 2019, jollei Eurooppa-neuvosto yhteisymmärryksessä Yhdistyneen kuningaskunnan kanssa päätä yksimielisesti pidentää tätä määräaikaa.</w:t>
      </w:r>
    </w:p>
    <w:p>
      <w:pPr>
        <w:pStyle w:val="ManualConsidrant"/>
        <w:rPr>
          <w:noProof/>
        </w:rPr>
      </w:pPr>
      <w:r>
        <w:t>(2)</w:t>
      </w:r>
      <w:r>
        <w:tab/>
      </w:r>
      <w:r>
        <w:rPr>
          <w:noProof/>
        </w:rPr>
        <w:t>Euroopan parlamentin ja neuvoston asetuksessa (EY) N:o 1008/2008</w:t>
      </w:r>
      <w:r>
        <w:rPr>
          <w:rStyle w:val="FootnoteReference"/>
          <w:noProof/>
        </w:rPr>
        <w:footnoteReference w:id="7"/>
      </w:r>
      <w:r>
        <w:rPr>
          <w:noProof/>
        </w:rPr>
        <w:t xml:space="preserve"> säädetään edellytyksistä, joilla unionin liikennelupa myönnetään lentoliikenteen harjoittajille, sekä vapaudesta harjoittaa EU:n sisäistä lentoliikennettä. </w:t>
      </w:r>
    </w:p>
    <w:p>
      <w:pPr>
        <w:pStyle w:val="ManualConsidrant"/>
        <w:rPr>
          <w:noProof/>
        </w:rPr>
      </w:pPr>
      <w:r>
        <w:t>(3)</w:t>
      </w:r>
      <w:r>
        <w:tab/>
      </w:r>
      <w:r>
        <w:rPr>
          <w:noProof/>
        </w:rPr>
        <w:t xml:space="preserve">Ilman erityissäännöksiä Yhdistyneen kuningaskunnan ero unionista lakkauttaisi kaikki unionin oikeudesta johtuvat oikeudet ja velvollisuudet, jotka koskevat asetuksella (EY) N:o 1008/2008 vahvistettua markkinoillepääsyä, kun on kyse Yhdistyneen kuningaskunnan ja jäljelle jäävien 27 jäsenvaltion välisestä suhteesta. </w:t>
      </w:r>
    </w:p>
    <w:p>
      <w:pPr>
        <w:pStyle w:val="ManualConsidrant"/>
        <w:rPr>
          <w:noProof/>
        </w:rPr>
      </w:pPr>
      <w:r>
        <w:t>(4)</w:t>
      </w:r>
      <w:r>
        <w:tab/>
      </w:r>
      <w:r>
        <w:rPr>
          <w:noProof/>
        </w:rPr>
        <w:t>Sen vuoksi on tarpeen vahvistaa väliaikaiset toimenpiteet, jotka antavat Yhdistyneessä kuningaskunnassa toimiluvan saaneille lentoliikenteen harjoittajille mahdollisuuden harjoittaa lentoliikennettä Yhdistyneen kuningaskunnan alueen ja jäljelle jäävien 27 jäsenvaltion välillä. Jotta varmistettaisiin asianmukainen tasapaino Yhdistyneen kuningaskunnan ja jäljelle jäävien jäsenvaltioiden välillä, näin myönnettyjen oikeuksien ehtona tulisi olla, että Yhdistynyt kuningaskunta myöntää vastaavat oikeudet Euroopan unionissa toimiluvan saaneille lentoliikenteen harjoittajille, minkä lisäksi olisi asetettava tiettyjä tasapuolisen kilpailun varmistavia ehtoja.</w:t>
      </w:r>
    </w:p>
    <w:p>
      <w:pPr>
        <w:pStyle w:val="ManualConsidrant"/>
        <w:rPr>
          <w:noProof/>
        </w:rPr>
      </w:pPr>
      <w:r>
        <w:t>(5)</w:t>
      </w:r>
      <w:r>
        <w:tab/>
      </w:r>
      <w:r>
        <w:rPr>
          <w:noProof/>
        </w:rPr>
        <w:t>Asetuksen väliaikainen luonne olisi otettava huomioon rajoittamalla sen soveltaminen lyhyeen ajanjaksoon rajoittamatta kuitenkaan mahdollisia neuvotteluja tulevasta sopimuksesta, jonka soveltamisalaan kuuluu unionin ja Yhdistyneen kuningaskunnan välinen lentoliikenteen harjoittaminen, ja rajoittamatta tällaisen sopimuksen voimaantuloa.</w:t>
      </w:r>
    </w:p>
    <w:p>
      <w:pPr>
        <w:pStyle w:val="ManualConsidrant"/>
        <w:rPr>
          <w:noProof/>
        </w:rPr>
      </w:pPr>
      <w:r>
        <w:t>(6)</w:t>
      </w:r>
      <w:r>
        <w:tab/>
      </w:r>
      <w:r>
        <w:rPr>
          <w:noProof/>
        </w:rPr>
        <w:t>Jotta voidaan varmistaa tämän asetuksen yhdenmukaisen täytäntöönpanon edellytykset,  komissiolle olisi siirrettävä täytäntöönpanovaltaa, joka koskee sellaisten toimenpiteiden toteuttamista, joilla varmistetaan, että unionin ja Yhdistyneen kuningaskunnan yksipuolisesti toistensa lentoliikenteen harjoittajille myöntämät oikeudet ovat kohtuullisen vastavuoroisia ja että unionin lentoliikenteen harjoittajat voivat kilpailla Yhdistyneen kuningaskunnan lentoliikenteen harjoittajien kanssa oikeudenmukaisin ehdoin lentoliikenteen harjoittamisesta. Tätä valtaa olisi käytettävä Euroopan parlamentin ja neuvoston asetuksen (EU) N:o 182/2011</w:t>
      </w:r>
      <w:r>
        <w:rPr>
          <w:rStyle w:val="FootnoteReference"/>
          <w:noProof/>
        </w:rPr>
        <w:footnoteReference w:id="8"/>
      </w:r>
      <w:r>
        <w:rPr>
          <w:noProof/>
        </w:rPr>
        <w:t xml:space="preserve"> mukaisesti.</w:t>
      </w:r>
    </w:p>
    <w:p>
      <w:pPr>
        <w:pStyle w:val="ManualConsidrant"/>
        <w:rPr>
          <w:noProof/>
        </w:rPr>
      </w:pPr>
      <w:r>
        <w:t>(7)</w:t>
      </w:r>
      <w:r>
        <w:tab/>
      </w:r>
      <w:r>
        <w:rPr>
          <w:noProof/>
        </w:rPr>
        <w:t xml:space="preserve">Jäsenvaltiot eivät voi riittävällä tavalla saavuttaa tämän asetuksen tavoitetta, joka on sellaisten väliaikaisten toimenpiteiden säätäminen, joita sovelletaan unionin ja Yhdistyneen kuningaskunnan väliseen lentoliikenteeseen erosopimuksen puuttuessa, vaan se voidaan laajuutensa ja vaikutustensa vuoksi saavuttaa paremmin unionin tasolla. Sen vuoksi unioni voi toteuttaa toimenpiteitä Euroopan unionista tehdyn sopimuksen 5 artiklassa vahvistetun toissijaisuusperiaatteen mukaisesti. Mainitussa artiklassa vahvistetun suhteellisuusperiaatteen mukaisesti tässä asetuksessa ei ylitetä sitä, mikä tarpeen on tämän tavoitteen saavuttamiseksi. </w:t>
      </w:r>
    </w:p>
    <w:p>
      <w:pPr>
        <w:pStyle w:val="ManualConsidrant"/>
        <w:rPr>
          <w:noProof/>
        </w:rPr>
      </w:pPr>
      <w:r>
        <w:t>(8)</w:t>
      </w:r>
      <w:r>
        <w:tab/>
      </w:r>
      <w:r>
        <w:rPr>
          <w:noProof/>
        </w:rPr>
        <w:t>Tämän asetuksen säännösten olisi tultava voimaan kiireellisesti, ja niitä olisi lähtökohtaisesti sovellettava sitä päivää seuraavasta päivästä, jona perussopimuksia lakataan soveltamasta Yhdistyneeseen kuningaskuntaan ja Yhdistyneessä kuningaskunnassa, paitsi jos Yhdistyneen kuningaskunnan kanssa tehty erosopimus on tullut voimaan kyseiseen päivään mennessä. Tiettyjä säännöksiä olisi kuitenkin sovellettava tämän asetuksen voimaantulosta alkaen, jotta tarvittavat hallinnolliset menettelyt voidaan toteuttaa mahdollisimman pian,</w:t>
      </w:r>
    </w:p>
    <w:p>
      <w:pPr>
        <w:pStyle w:val="Formuledadoption"/>
        <w:spacing w:before="360"/>
        <w:rPr>
          <w:noProof/>
        </w:rPr>
      </w:pPr>
      <w:r>
        <w:rPr>
          <w:noProof/>
        </w:rPr>
        <w:t>OVAT HYVÄKSYNEET TÄMÄN ASETUKSEN:</w:t>
      </w:r>
    </w:p>
    <w:p>
      <w:pPr>
        <w:pStyle w:val="Titrearticle"/>
        <w:rPr>
          <w:noProof/>
        </w:rPr>
      </w:pPr>
      <w:r>
        <w:rPr>
          <w:noProof/>
        </w:rPr>
        <w:t>1 artikla</w:t>
      </w:r>
    </w:p>
    <w:p>
      <w:pPr>
        <w:pStyle w:val="Titrearticle"/>
        <w:rPr>
          <w:b/>
          <w:i w:val="0"/>
          <w:noProof/>
        </w:rPr>
      </w:pPr>
      <w:r>
        <w:rPr>
          <w:b/>
          <w:i w:val="0"/>
          <w:noProof/>
        </w:rPr>
        <w:t>Soveltamisala</w:t>
      </w:r>
    </w:p>
    <w:p>
      <w:pPr>
        <w:rPr>
          <w:noProof/>
        </w:rPr>
      </w:pPr>
      <w:r>
        <w:rPr>
          <w:noProof/>
        </w:rPr>
        <w:t xml:space="preserve">Tässä asetuksessa säädetään väliaikaisista toimenpiteistä, joita sovelletaan unionin ja Ison-Britannian ja Pohjois-Irlannin yhdistyneen kuningaskunnan, jäljempänä ’Yhdistynyt kuningaskunta’, väliseen lentoliikenteeseen Yhdistyneen kuningaskunnan unionista eroamisen jälkeen. </w:t>
      </w:r>
    </w:p>
    <w:p>
      <w:pPr>
        <w:pStyle w:val="Titrearticle"/>
        <w:rPr>
          <w:noProof/>
        </w:rPr>
      </w:pPr>
      <w:r>
        <w:rPr>
          <w:noProof/>
        </w:rPr>
        <w:t>2 artikla</w:t>
      </w:r>
    </w:p>
    <w:p>
      <w:pPr>
        <w:pStyle w:val="Titrearticle"/>
        <w:rPr>
          <w:b/>
          <w:i w:val="0"/>
          <w:noProof/>
        </w:rPr>
      </w:pPr>
      <w:r>
        <w:rPr>
          <w:b/>
          <w:i w:val="0"/>
          <w:noProof/>
        </w:rPr>
        <w:t>Määritelmät</w:t>
      </w:r>
    </w:p>
    <w:p>
      <w:pPr>
        <w:pStyle w:val="Text1"/>
        <w:ind w:left="0"/>
        <w:rPr>
          <w:noProof/>
        </w:rPr>
      </w:pPr>
      <w:r>
        <w:rPr>
          <w:noProof/>
        </w:rPr>
        <w:t>Tässä asetuksessa tarkoitetaan:</w:t>
      </w:r>
    </w:p>
    <w:p>
      <w:pPr>
        <w:pStyle w:val="ManualNumPar1"/>
        <w:rPr>
          <w:noProof/>
        </w:rPr>
      </w:pPr>
      <w:r>
        <w:t>1.</w:t>
      </w:r>
      <w:r>
        <w:tab/>
      </w:r>
      <w:r>
        <w:rPr>
          <w:noProof/>
        </w:rPr>
        <w:t xml:space="preserve">’lentoliikenteellä’ yleisölle tarjottua matkustajien, matkatavaroiden, rahdin ja postin kuljettamista ilma-aluksella joko erikseen tai yhdessä maksua tai muuta korvausta vastaan, reitti- ja tilauslentoliikenne mukaan luettuina; </w:t>
      </w:r>
    </w:p>
    <w:p>
      <w:pPr>
        <w:pStyle w:val="ManualNumPar1"/>
        <w:rPr>
          <w:noProof/>
        </w:rPr>
      </w:pPr>
      <w:r>
        <w:t>2.</w:t>
      </w:r>
      <w:r>
        <w:tab/>
      </w:r>
      <w:r>
        <w:rPr>
          <w:noProof/>
        </w:rPr>
        <w:t>’kansainvälisellä lentoliikenteellä’ lentoliikennettä vähintään kahden valtion alueen yläpuolisessa ilmatilassa;</w:t>
      </w:r>
    </w:p>
    <w:p>
      <w:pPr>
        <w:pStyle w:val="ManualNumPar1"/>
        <w:rPr>
          <w:noProof/>
        </w:rPr>
      </w:pPr>
      <w:r>
        <w:t>3.</w:t>
      </w:r>
      <w:r>
        <w:tab/>
      </w:r>
      <w:r>
        <w:rPr>
          <w:noProof/>
        </w:rPr>
        <w:t xml:space="preserve">’unionin lentoliikenteen harjoittajalla’ lentoliikenteen harjoittajaa, jolla on voimassa oleva liikennelupa, jonka toimivaltainen lupaviranomainen on myöntänyt asetuksen (EY) N:o 1008/2008 II luvun mukaisesti; </w:t>
      </w:r>
    </w:p>
    <w:p>
      <w:pPr>
        <w:pStyle w:val="ManualNumPar1"/>
        <w:rPr>
          <w:noProof/>
        </w:rPr>
      </w:pPr>
      <w:r>
        <w:t>4.</w:t>
      </w:r>
      <w:r>
        <w:tab/>
      </w:r>
      <w:r>
        <w:rPr>
          <w:noProof/>
        </w:rPr>
        <w:t>’Yhdistyneen kuningaskunnan lentoliikenteen harjoittajalla’ lentoliikenteen harjoittajaa,</w:t>
      </w:r>
    </w:p>
    <w:p>
      <w:pPr>
        <w:pStyle w:val="Point1letter"/>
        <w:numPr>
          <w:ilvl w:val="3"/>
          <w:numId w:val="32"/>
        </w:numPr>
        <w:rPr>
          <w:noProof/>
        </w:rPr>
      </w:pPr>
      <w:r>
        <w:rPr>
          <w:noProof/>
        </w:rPr>
        <w:t>jonka pääasiallinen toimipaikka sijaitsee Yhdistyneessä kuningaskunnassa; ja</w:t>
      </w:r>
    </w:p>
    <w:p>
      <w:pPr>
        <w:pStyle w:val="Point1letter"/>
        <w:rPr>
          <w:noProof/>
        </w:rPr>
      </w:pPr>
      <w:r>
        <w:rPr>
          <w:noProof/>
        </w:rPr>
        <w:t>joka täyttää jommankumman seuraavista edellytyksistä:</w:t>
      </w:r>
    </w:p>
    <w:p>
      <w:pPr>
        <w:pStyle w:val="Point3"/>
        <w:rPr>
          <w:noProof/>
        </w:rPr>
      </w:pPr>
      <w:r>
        <w:rPr>
          <w:noProof/>
        </w:rPr>
        <w:t>i)</w:t>
      </w:r>
      <w:r>
        <w:rPr>
          <w:noProof/>
        </w:rPr>
        <w:tab/>
        <w:t xml:space="preserve">Yhdistynyt kuningaskunta ja/tai Yhdistyneen kuningaskunnan kansalaiset omistavat yli 50 prosenttia kyseisestä yrityksestä ja yritys on tosiasiallisesti niiden määräysvallassa joko suoraan tai yhden tai useamman muun yrityksen välityksellä; tai </w:t>
      </w:r>
    </w:p>
    <w:p>
      <w:pPr>
        <w:pStyle w:val="Point3"/>
        <w:rPr>
          <w:noProof/>
        </w:rPr>
      </w:pPr>
      <w:r>
        <w:rPr>
          <w:noProof/>
        </w:rPr>
        <w:t>ii)</w:t>
      </w:r>
      <w:r>
        <w:rPr>
          <w:noProof/>
        </w:rPr>
        <w:tab/>
        <w:t xml:space="preserve">unionin jäsenvaltiot ja/tai unionin jäsenvaltioiden kansalaiset ja/tai Euroopan talousalueen muut jäsenvaltiot ja/tai tällaisten valtioiden kansalaiset kaikkina yhdistelminä joko yksin tai yhdessä Yhdistyneen kuningaskunnan ja/tai Yhdistyneen kuningaskunnan kansalaisten kanssa omistavat yli 50 prosenttia kyseisestä yrityksestä ja yritys on tosiasiallisesti niiden määräysvallassa joko suoraan tai yhden tai useamman muun yrityksen välityksellä; </w:t>
      </w:r>
    </w:p>
    <w:p>
      <w:pPr>
        <w:pStyle w:val="Point1letter"/>
        <w:rPr>
          <w:noProof/>
        </w:rPr>
      </w:pPr>
      <w:r>
        <w:rPr>
          <w:noProof/>
        </w:rPr>
        <w:t>jolla b alakohdan ii alakohdassa tarkoitetussa tapauksessa oli voimassa oleva asetuksen (EY) N:o 1008/2008 mukainen liikennelupa 12 artiklan 2 kohdassa tarkoitettua tämän asetuksen ensimmäistä soveltamispäivää edeltävänä päivänä;</w:t>
      </w:r>
    </w:p>
    <w:p>
      <w:pPr>
        <w:pStyle w:val="ManualNumPar1"/>
        <w:rPr>
          <w:noProof/>
        </w:rPr>
      </w:pPr>
      <w:r>
        <w:t>5.</w:t>
      </w:r>
      <w:r>
        <w:tab/>
      </w:r>
      <w:r>
        <w:rPr>
          <w:noProof/>
        </w:rPr>
        <w:t>’tosiasiallisella määräysvallalla’ suhdetta, joka perustuu oikeuksiin, sopimuksiin tai muihin keinoihin, joilla erikseen tai yhdessä ja ottaen huomioon tosiasialliset ja oikeudelliset seikat annetaan mahdollisuus suoraan tai välillisesti käyttää määräävää vaikutusvaltaa yrityksessä, erityisesti</w:t>
      </w:r>
    </w:p>
    <w:p>
      <w:pPr>
        <w:pStyle w:val="Point1letter"/>
        <w:numPr>
          <w:ilvl w:val="3"/>
          <w:numId w:val="11"/>
        </w:numPr>
        <w:rPr>
          <w:noProof/>
        </w:rPr>
      </w:pPr>
      <w:r>
        <w:rPr>
          <w:noProof/>
        </w:rPr>
        <w:t>antamalla oikeus käyttää kaikkia yrityksen varoja tai osaa niistä;</w:t>
      </w:r>
    </w:p>
    <w:p>
      <w:pPr>
        <w:pStyle w:val="Point1letter"/>
        <w:rPr>
          <w:noProof/>
        </w:rPr>
      </w:pPr>
      <w:r>
        <w:rPr>
          <w:noProof/>
        </w:rPr>
        <w:t>oikeuksin tai sopimuksin, joiden nojalla saadaan määräävä vaikutusvalta yrityksen elinten kokoonpanoon, äänestyksiin tai päätöksiin taikka muutoin yrityksen liiketoimien hoitamiseen;</w:t>
      </w:r>
    </w:p>
    <w:p>
      <w:pPr>
        <w:pStyle w:val="ManualNumPar1"/>
        <w:rPr>
          <w:noProof/>
        </w:rPr>
      </w:pPr>
      <w:r>
        <w:t>6.</w:t>
      </w:r>
      <w:r>
        <w:tab/>
      </w:r>
      <w:r>
        <w:rPr>
          <w:noProof/>
        </w:rPr>
        <w:t>’kilpailulainsäädännöllä’ lainsäädäntöä, joka koskee seuraavaa toimintaa, kun se voi vaikuttaa lentoliikennepalveluihin:</w:t>
      </w:r>
    </w:p>
    <w:p>
      <w:pPr>
        <w:pStyle w:val="Point1letter"/>
        <w:numPr>
          <w:ilvl w:val="3"/>
          <w:numId w:val="12"/>
        </w:numPr>
        <w:rPr>
          <w:noProof/>
        </w:rPr>
      </w:pPr>
      <w:r>
        <w:rPr>
          <w:noProof/>
        </w:rPr>
        <w:t>toiminta, joka koostuu seuraavista:</w:t>
      </w:r>
    </w:p>
    <w:p>
      <w:pPr>
        <w:pStyle w:val="Point3"/>
        <w:rPr>
          <w:noProof/>
        </w:rPr>
      </w:pPr>
      <w:r>
        <w:rPr>
          <w:noProof/>
        </w:rPr>
        <w:t>i)</w:t>
      </w:r>
      <w:r>
        <w:rPr>
          <w:noProof/>
        </w:rPr>
        <w:tab/>
        <w:t>lentoliikenteen harjoittajien väliset sopimukset, lentoliikenteen harjoittajien yhteenliittymien päätökset sekä yhdenmukaistetut menettelytavat, joiden tarkoituksena tai seurauksena on kilpailun estäminen, rajoittaminen tai vääristäminen;</w:t>
      </w:r>
    </w:p>
    <w:p>
      <w:pPr>
        <w:pStyle w:val="Point3"/>
        <w:rPr>
          <w:noProof/>
        </w:rPr>
      </w:pPr>
      <w:r>
        <w:rPr>
          <w:noProof/>
        </w:rPr>
        <w:t>ii)</w:t>
      </w:r>
      <w:r>
        <w:rPr>
          <w:noProof/>
        </w:rPr>
        <w:tab/>
        <w:t xml:space="preserve">yhden tai useamman lentoliikenteen harjoittajan harjoittama määräävän aseman väärinkäyttö; </w:t>
      </w:r>
    </w:p>
    <w:p>
      <w:pPr>
        <w:pStyle w:val="Point3"/>
        <w:rPr>
          <w:noProof/>
        </w:rPr>
      </w:pPr>
      <w:r>
        <w:rPr>
          <w:noProof/>
        </w:rPr>
        <w:t>iii)</w:t>
      </w:r>
      <w:r>
        <w:rPr>
          <w:noProof/>
        </w:rPr>
        <w:tab/>
        <w:t>toimenpiteet, jotka Yhdistynyt kuningaskunta toteuttaa tai pitää voimassa sellaisten julkisten yritysten ja yritysten osalta, joille se myöntää erityis- tai yksinoikeuksia, ja jotka ovat i tai ii alakohdan vastaisia; ja</w:t>
      </w:r>
    </w:p>
    <w:p>
      <w:pPr>
        <w:pStyle w:val="Point1letter"/>
        <w:rPr>
          <w:noProof/>
        </w:rPr>
      </w:pPr>
      <w:r>
        <w:rPr>
          <w:noProof/>
        </w:rPr>
        <w:t>lentoliikenteen harjoittajien keskittymät, jotka olennaisesti estävät tehokasta kilpailua erityisesti määräävän aseman syntymisen tai vahvistumisen seurauksena;</w:t>
      </w:r>
    </w:p>
    <w:p>
      <w:pPr>
        <w:pStyle w:val="ManualNumPar1"/>
        <w:rPr>
          <w:noProof/>
          <w:szCs w:val="24"/>
        </w:rPr>
      </w:pPr>
      <w:r>
        <w:t>7.</w:t>
      </w:r>
      <w:r>
        <w:tab/>
      </w:r>
      <w:r>
        <w:rPr>
          <w:noProof/>
        </w:rPr>
        <w:t>’tuella’ rahoitusosuutta, jonka valtio tai muu julkisyhteisö antaa lentoliikenteen harjoittajalle jollakin tasolla ja joka antaa etua, seuraavat mukaan luettuina:</w:t>
      </w:r>
    </w:p>
    <w:p>
      <w:pPr>
        <w:pStyle w:val="Point1letter"/>
        <w:numPr>
          <w:ilvl w:val="3"/>
          <w:numId w:val="13"/>
        </w:numPr>
        <w:rPr>
          <w:noProof/>
        </w:rPr>
      </w:pPr>
      <w:r>
        <w:rPr>
          <w:noProof/>
        </w:rPr>
        <w:t>varojen suora siirto, esimerkiksi avustuksina, lainoina tai pääomasijoituksena, mahdollinen varojen suora siirto ja vastuiden, kuten lainatakausten, pääomalisäysten, omistuksen, konkurssisuojan tai vakuutuksen vastattavaksi ottaminen;</w:t>
      </w:r>
    </w:p>
    <w:p>
      <w:pPr>
        <w:pStyle w:val="Point1letter"/>
        <w:rPr>
          <w:noProof/>
        </w:rPr>
      </w:pPr>
      <w:r>
        <w:rPr>
          <w:noProof/>
        </w:rPr>
        <w:t>luopuminen saamisista, jotka olisi muuten maksettava, tai tällaisten saamisten kantamatta jättäminen;</w:t>
      </w:r>
    </w:p>
    <w:p>
      <w:pPr>
        <w:pStyle w:val="Point1letter"/>
        <w:rPr>
          <w:noProof/>
        </w:rPr>
      </w:pPr>
      <w:r>
        <w:rPr>
          <w:noProof/>
        </w:rPr>
        <w:t>muiden tavaroiden tai palvelujen kuin yleisen infrastruktuurin tarjoaminen tai tavaroiden tai palvelujen hankinta; tai</w:t>
      </w:r>
    </w:p>
    <w:p>
      <w:pPr>
        <w:pStyle w:val="Point1letter"/>
        <w:rPr>
          <w:noProof/>
        </w:rPr>
      </w:pPr>
      <w:r>
        <w:rPr>
          <w:noProof/>
        </w:rPr>
        <w:t>maksut rahoitusmekanismiin tai yksityisen elimen valtuuttaminen tai määrääminen suorittamaan yksi tai useampi a, b ja c alakohdassa mainituista, tavanomaisesti valtiolle tai muulle julkisyhteisölle kuuluvista tehtävistä, kun kyseinen käytäntö ei tosiasiassa eroa valtioiden tavanomaisesti noudattamista käytännöistä.</w:t>
      </w:r>
    </w:p>
    <w:p>
      <w:pPr>
        <w:pStyle w:val="Text2"/>
        <w:ind w:left="850"/>
        <w:rPr>
          <w:noProof/>
          <w:szCs w:val="24"/>
        </w:rPr>
      </w:pPr>
      <w:r>
        <w:rPr>
          <w:noProof/>
        </w:rPr>
        <w:t>Valtion tai muun julkisyhteisön antaman rahoitusosuuden ei katsota antavan etua, jos yksityinen markkinatoimija, jonka toiminta perustuu yksinomaan kannattavuusnäkymiin, olisi samassa tilanteessa kuin asianomainen julkisyhteisö antanut saman rahoitusosuuden;</w:t>
      </w:r>
    </w:p>
    <w:p>
      <w:pPr>
        <w:pStyle w:val="ManualNumPar1"/>
        <w:rPr>
          <w:noProof/>
        </w:rPr>
      </w:pPr>
      <w:r>
        <w:t>8.</w:t>
      </w:r>
      <w:r>
        <w:tab/>
      </w:r>
      <w:r>
        <w:rPr>
          <w:noProof/>
        </w:rPr>
        <w:t>’riippumattomalla kilpailuviranomaisella’ kilpailulainsäädännön soveltamisesta ja täytäntöönpanosta sekä tukien valvonnasta vastaavaa viranomaista, joka täyttää kaikki seuraavat edellytykset:</w:t>
      </w:r>
    </w:p>
    <w:p>
      <w:pPr>
        <w:pStyle w:val="Point1letter"/>
        <w:numPr>
          <w:ilvl w:val="3"/>
          <w:numId w:val="14"/>
        </w:numPr>
        <w:rPr>
          <w:noProof/>
        </w:rPr>
      </w:pPr>
      <w:r>
        <w:rPr>
          <w:noProof/>
        </w:rPr>
        <w:t>viranomainen on toiminnallisesti riippumaton ja sillä on asianmukaiset resurssit tehtäviensä suorittamiseen;</w:t>
      </w:r>
    </w:p>
    <w:p>
      <w:pPr>
        <w:pStyle w:val="Point1letter"/>
        <w:rPr>
          <w:noProof/>
        </w:rPr>
      </w:pPr>
      <w:r>
        <w:rPr>
          <w:noProof/>
        </w:rPr>
        <w:t xml:space="preserve">viranomaisella on tehtäviään suorittaessaan ja toimivaltaansa käyttäessään tarvittavat takeet siitä, että se on riippumaton poliittisesta tai muusta ulkoisesta vaikutuksesta ja toimii puolueettomasti; ja </w:t>
      </w:r>
    </w:p>
    <w:p>
      <w:pPr>
        <w:pStyle w:val="Point1letter"/>
        <w:rPr>
          <w:noProof/>
        </w:rPr>
      </w:pPr>
      <w:r>
        <w:rPr>
          <w:noProof/>
        </w:rPr>
        <w:t>viranomaisen päätökset voidaan saattaa tuomioistuimen tutkittavaksi;</w:t>
      </w:r>
    </w:p>
    <w:p>
      <w:pPr>
        <w:pStyle w:val="ManualNumPar1"/>
        <w:rPr>
          <w:noProof/>
          <w:szCs w:val="24"/>
        </w:rPr>
      </w:pPr>
      <w:r>
        <w:t>9.</w:t>
      </w:r>
      <w:r>
        <w:tab/>
      </w:r>
      <w:r>
        <w:rPr>
          <w:noProof/>
        </w:rPr>
        <w:t>’syrjinnällä’ kaikenlaista erilaiseen asemaan asettamista ilman objektiivisia perusteita, kun on kyse lentoliikennepalvelujen tarjoamisessa käytettävien tavaroiden tai palvelujen, myös julkisten palvelujen, tarjoamisesta, tai siitä, miten viranomaiset kohtelevat tällaisia palveluja;</w:t>
      </w:r>
    </w:p>
    <w:p>
      <w:pPr>
        <w:pStyle w:val="ManualNumPar1"/>
        <w:rPr>
          <w:noProof/>
        </w:rPr>
      </w:pPr>
      <w:r>
        <w:t>10.</w:t>
      </w:r>
      <w:r>
        <w:tab/>
      </w:r>
      <w:r>
        <w:rPr>
          <w:noProof/>
        </w:rPr>
        <w:t>’säännöllisellä lentoliikenteellä’ sellaisten lentojen sarjaa, joilla on kaikki seuraavat ominaisuudet:</w:t>
      </w:r>
    </w:p>
    <w:p>
      <w:pPr>
        <w:pStyle w:val="Point1letter"/>
        <w:numPr>
          <w:ilvl w:val="3"/>
          <w:numId w:val="15"/>
        </w:numPr>
        <w:rPr>
          <w:noProof/>
        </w:rPr>
      </w:pPr>
      <w:r>
        <w:rPr>
          <w:noProof/>
        </w:rPr>
        <w:t>kullakin lennolla on istuinpaikkoja ja/tai rahdin ja/tai postin kuljetuskapasiteettia, jotka ovat yleisön ostettavissa (joko suoraan lentoliikenteen harjoittajalta tai sen valtuutetuilta edustajilta);</w:t>
      </w:r>
    </w:p>
    <w:p>
      <w:pPr>
        <w:pStyle w:val="Point1letter"/>
        <w:rPr>
          <w:noProof/>
        </w:rPr>
      </w:pPr>
      <w:r>
        <w:rPr>
          <w:noProof/>
        </w:rPr>
        <w:t>lennon tarkoituksena on palvella samojen kahden tai useamman lentoaseman välistä liikennettä joko</w:t>
      </w:r>
    </w:p>
    <w:p>
      <w:pPr>
        <w:pStyle w:val="Point3"/>
        <w:rPr>
          <w:noProof/>
        </w:rPr>
      </w:pPr>
      <w:r>
        <w:rPr>
          <w:noProof/>
        </w:rPr>
        <w:t>i)</w:t>
      </w:r>
      <w:r>
        <w:rPr>
          <w:noProof/>
        </w:rPr>
        <w:tab/>
        <w:t>julkistetun aikataulun mukaisesti tai</w:t>
      </w:r>
    </w:p>
    <w:p>
      <w:pPr>
        <w:pStyle w:val="Point3"/>
        <w:rPr>
          <w:noProof/>
        </w:rPr>
      </w:pPr>
      <w:r>
        <w:rPr>
          <w:noProof/>
        </w:rPr>
        <w:t>ii)</w:t>
      </w:r>
      <w:r>
        <w:rPr>
          <w:noProof/>
        </w:rPr>
        <w:tab/>
        <w:t>niin säännöllisesti tai toistuvasti, että se selvästikin on osa järjestelmällistä sarjaa;</w:t>
      </w:r>
    </w:p>
    <w:p>
      <w:pPr>
        <w:pStyle w:val="ManualNumPar1"/>
        <w:rPr>
          <w:noProof/>
        </w:rPr>
      </w:pPr>
      <w:r>
        <w:t>11.</w:t>
      </w:r>
      <w:r>
        <w:tab/>
      </w:r>
      <w:r>
        <w:rPr>
          <w:noProof/>
        </w:rPr>
        <w:t>’tilauslentoliikenteellä’ kaupallista lentoliikennettä, jota harjoitetaan muuna kuin säännöllisenä lentoliikenteenä;</w:t>
      </w:r>
    </w:p>
    <w:p>
      <w:pPr>
        <w:pStyle w:val="ManualNumPar1"/>
        <w:rPr>
          <w:noProof/>
        </w:rPr>
      </w:pPr>
      <w:r>
        <w:t>12.</w:t>
      </w:r>
      <w:r>
        <w:tab/>
      </w:r>
      <w:r>
        <w:rPr>
          <w:noProof/>
        </w:rPr>
        <w:t xml:space="preserve">’unionin alueella’ Euroopan unionista tehdyn sopimuksen ja Euroopan unionin toiminnasta tehdyn sopimuksen soveltamisalaan kyseisissä sopimuksissa määrätyin edellytyksin kuuluvien jäsenvaltioiden maa-aluetta, sisävesiä ja aluemerta sekä niiden yläpuolella olevaa ilmatilaa; </w:t>
      </w:r>
    </w:p>
    <w:p>
      <w:pPr>
        <w:pStyle w:val="ManualNumPar1"/>
        <w:rPr>
          <w:noProof/>
        </w:rPr>
      </w:pPr>
      <w:r>
        <w:t>13.</w:t>
      </w:r>
      <w:r>
        <w:tab/>
      </w:r>
      <w:r>
        <w:rPr>
          <w:noProof/>
        </w:rPr>
        <w:t xml:space="preserve">’Yhdistyneen kuningaskunnan alueella’ Yhdistyneen kuningaskunnan maa-aluetta, sisävesiä ja aluemerta sekä niiden yläpuolella olevaa ilmatilaa; </w:t>
      </w:r>
    </w:p>
    <w:p>
      <w:pPr>
        <w:pStyle w:val="ManualNumPar1"/>
        <w:rPr>
          <w:noProof/>
        </w:rPr>
      </w:pPr>
      <w:r>
        <w:t>14.</w:t>
      </w:r>
      <w:r>
        <w:tab/>
      </w:r>
      <w:r>
        <w:rPr>
          <w:noProof/>
        </w:rPr>
        <w:t xml:space="preserve"> ’yleissopimuksella’ Chicagossa 7 päivänä joulukuuta 1944 allekirjoitettavaksi avattua kansainvälisen siviili-ilmailun yleissopimusta.</w:t>
      </w:r>
    </w:p>
    <w:p>
      <w:pPr>
        <w:pStyle w:val="Titrearticle"/>
        <w:rPr>
          <w:noProof/>
        </w:rPr>
      </w:pPr>
      <w:r>
        <w:rPr>
          <w:noProof/>
        </w:rPr>
        <w:t>3 artikla</w:t>
      </w:r>
    </w:p>
    <w:p>
      <w:pPr>
        <w:pStyle w:val="Titrearticle"/>
        <w:rPr>
          <w:b/>
          <w:i w:val="0"/>
          <w:noProof/>
        </w:rPr>
      </w:pPr>
      <w:r>
        <w:rPr>
          <w:b/>
          <w:i w:val="0"/>
          <w:noProof/>
        </w:rPr>
        <w:t>Liikenneoikeudet</w:t>
      </w:r>
    </w:p>
    <w:p>
      <w:pPr>
        <w:pStyle w:val="ManualNumPar1"/>
        <w:rPr>
          <w:noProof/>
        </w:rPr>
      </w:pPr>
      <w:r>
        <w:t>1.</w:t>
      </w:r>
      <w:r>
        <w:tab/>
      </w:r>
      <w:r>
        <w:rPr>
          <w:noProof/>
        </w:rPr>
        <w:t>Yhdistyneen kuningaskunnan lentoliikenteen harjoittajat saavat tässä asetuksessa säädetyin edellytyksin</w:t>
      </w:r>
    </w:p>
    <w:p>
      <w:pPr>
        <w:pStyle w:val="Point1letter"/>
        <w:numPr>
          <w:ilvl w:val="3"/>
          <w:numId w:val="16"/>
        </w:numPr>
        <w:rPr>
          <w:noProof/>
        </w:rPr>
      </w:pPr>
      <w:r>
        <w:rPr>
          <w:noProof/>
        </w:rPr>
        <w:t>lentää laskeutumatta unionin alueen yli;</w:t>
      </w:r>
    </w:p>
    <w:p>
      <w:pPr>
        <w:pStyle w:val="Point1letter"/>
        <w:rPr>
          <w:noProof/>
        </w:rPr>
      </w:pPr>
      <w:r>
        <w:rPr>
          <w:noProof/>
        </w:rPr>
        <w:t>tehdä unionin alueelle yleissopimuksessa tarkoitettuja laskuja ilman kaupallista tarkoitusta;</w:t>
      </w:r>
    </w:p>
    <w:p>
      <w:pPr>
        <w:pStyle w:val="Point1letter"/>
        <w:rPr>
          <w:noProof/>
        </w:rPr>
      </w:pPr>
      <w:r>
        <w:rPr>
          <w:noProof/>
        </w:rPr>
        <w:t>harjoittaa kansainvälistä säännöllistä lentoliikennettä ja tilauslentoliikennettä kuljettamalla pelkästään matkustajia, matkustajia ja rahtia yhdessä ja pelkästään rahtia kahden paikan välillä, joista toinen sijaitsee Yhdistyneen kuningaskunnan alueella ja toinen unionin alueella.</w:t>
      </w:r>
    </w:p>
    <w:p>
      <w:pPr>
        <w:pStyle w:val="ManualNumPar1"/>
        <w:rPr>
          <w:noProof/>
        </w:rPr>
      </w:pPr>
      <w:r>
        <w:t>2.</w:t>
      </w:r>
      <w:r>
        <w:tab/>
      </w:r>
      <w:r>
        <w:rPr>
          <w:noProof/>
        </w:rPr>
        <w:t>Jollei 4 ja 5 artiklasta muuta johdu, tämän asetuksen nojalla harjoitettavassa säännöllisessä lentoliikenteessä kausiluonteinen kokonaiskapasiteetti, jota Yhdistyneen kuningaskunnan lentoliikenteen harjoittajat tarjoavat Yhdistyneen kuningaskunnan ja kunkin jäsenvaltion välisillä reiteillä, ei saa olla suurempi kuin kyseisten lentoliikenteen harjoittajien vuorojen kokonaislukumäärä näillä reiteillä IATA:n talvi- ja kesäkausilla vuonna 2018.</w:t>
      </w:r>
    </w:p>
    <w:p>
      <w:pPr>
        <w:pStyle w:val="ManualNumPar1"/>
        <w:rPr>
          <w:noProof/>
        </w:rPr>
      </w:pPr>
      <w:r>
        <w:t>3.</w:t>
      </w:r>
      <w:r>
        <w:tab/>
      </w:r>
      <w:r>
        <w:rPr>
          <w:noProof/>
        </w:rPr>
        <w:t>Jäsenvaltiot eivät saa neuvotella tai tehdä kahdenvälisiä lentoliikennesopimuksia tai -järjestelyjä Yhdistyneen kuningaskunnan kanssa tämän asetuksen soveltamisalaan kuuluvissa asioissa. Ne eivät saa muulla tavoin myöntää Yhdistyneen kuningaskunnan lentoliikenteen harjoittajille lentoliikenteen yhteydessä muita oikeuksia kuin tässä asetuksessa myönnetään.</w:t>
      </w:r>
    </w:p>
    <w:p>
      <w:pPr>
        <w:pStyle w:val="Titrearticle"/>
        <w:rPr>
          <w:noProof/>
        </w:rPr>
      </w:pPr>
      <w:r>
        <w:rPr>
          <w:noProof/>
        </w:rPr>
        <w:t>4 artikla</w:t>
      </w:r>
    </w:p>
    <w:p>
      <w:pPr>
        <w:pStyle w:val="Titrearticle"/>
        <w:rPr>
          <w:b/>
          <w:i w:val="0"/>
          <w:noProof/>
        </w:rPr>
      </w:pPr>
      <w:r>
        <w:rPr>
          <w:b/>
          <w:i w:val="0"/>
          <w:noProof/>
        </w:rPr>
        <w:t>Oikeuksien vastaavuus</w:t>
      </w:r>
    </w:p>
    <w:p>
      <w:pPr>
        <w:pStyle w:val="ManualNumPar1"/>
        <w:rPr>
          <w:noProof/>
        </w:rPr>
      </w:pPr>
      <w:r>
        <w:t>1.</w:t>
      </w:r>
      <w:r>
        <w:tab/>
      </w:r>
      <w:r>
        <w:rPr>
          <w:noProof/>
        </w:rPr>
        <w:t xml:space="preserve">Komissio seuraa Yhdistyneen kuningaskunnan unionin lentoliikenteen harjoittajalle myöntämiä oikeuksia ja niiden käyttöehtoja. </w:t>
      </w:r>
    </w:p>
    <w:p>
      <w:pPr>
        <w:pStyle w:val="ManualNumPar1"/>
        <w:rPr>
          <w:noProof/>
        </w:rPr>
      </w:pPr>
      <w:r>
        <w:t>2.</w:t>
      </w:r>
      <w:r>
        <w:tab/>
      </w:r>
      <w:r>
        <w:rPr>
          <w:noProof/>
        </w:rPr>
        <w:t>Jos komissio toteaa, että Yhdistyneen kuningaskunnan unionin lentoliikenteen harjoittajille myöntämät oikeudet eivät vastaa tämän asetuksen nojalla Yhdistyneen kuningaskunnan lentoliikenteen harjoittajille myönnettyjä oikeuksia oikeudellisesti tai tosiasiallisesti tai että kyseiset oikeudet eivät ole yhtäläisesti kaikkien unionin lentoliikenteen harjoittajien saatavilla, se voi vastaavuuden palauttamiseksi asetuksen (EY) N:o 1008/2008 25 artiklan 2 kohdan mukaisesti annetuilla täytäntöönpanosäädöksillä</w:t>
      </w:r>
    </w:p>
    <w:p>
      <w:pPr>
        <w:pStyle w:val="Point1letter"/>
        <w:numPr>
          <w:ilvl w:val="3"/>
          <w:numId w:val="19"/>
        </w:numPr>
        <w:rPr>
          <w:noProof/>
        </w:rPr>
      </w:pPr>
      <w:r>
        <w:rPr>
          <w:noProof/>
        </w:rPr>
        <w:t>mukauttaa Yhdistyneen kuningaskunnan lentoliikenteen harjoittajien käytettävissä olevaa kapasiteettia 3 artiklan 2 kohdassa säädetyissä rajoissa ja vaatia jäsenvaltioita mukauttamaan vastaavasti sekä voimassa olevia että vasta myönnettyjä Yhdistyneen kuningaskunnan lentoliikenteen harjoittajien liikennelupia;</w:t>
      </w:r>
    </w:p>
    <w:p>
      <w:pPr>
        <w:pStyle w:val="Point1letter"/>
        <w:rPr>
          <w:noProof/>
        </w:rPr>
      </w:pPr>
      <w:r>
        <w:rPr>
          <w:noProof/>
        </w:rPr>
        <w:t>vaatia jäsenvaltioita epäämään kyseiset liikenneluvat tai peruuttamaan ne määräajaksi tai kokonaan; tai</w:t>
      </w:r>
    </w:p>
    <w:p>
      <w:pPr>
        <w:pStyle w:val="Point1letter"/>
        <w:rPr>
          <w:noProof/>
        </w:rPr>
      </w:pPr>
      <w:r>
        <w:rPr>
          <w:noProof/>
        </w:rPr>
        <w:t>toteuttaa muita asianmukaisia toimenpiteitä.</w:t>
      </w:r>
    </w:p>
    <w:p>
      <w:pPr>
        <w:pStyle w:val="Titrearticle"/>
        <w:rPr>
          <w:noProof/>
        </w:rPr>
      </w:pPr>
      <w:r>
        <w:rPr>
          <w:noProof/>
        </w:rPr>
        <w:t>5 artikla</w:t>
      </w:r>
    </w:p>
    <w:p>
      <w:pPr>
        <w:pStyle w:val="Titrearticle"/>
        <w:rPr>
          <w:b/>
          <w:i w:val="0"/>
          <w:noProof/>
        </w:rPr>
      </w:pPr>
      <w:r>
        <w:rPr>
          <w:b/>
          <w:i w:val="0"/>
          <w:noProof/>
        </w:rPr>
        <w:t xml:space="preserve">Tasapuolinen kilpailu </w:t>
      </w:r>
    </w:p>
    <w:p>
      <w:pPr>
        <w:pStyle w:val="ManualNumPar1"/>
        <w:rPr>
          <w:noProof/>
        </w:rPr>
      </w:pPr>
      <w:r>
        <w:t>1.</w:t>
      </w:r>
      <w:r>
        <w:tab/>
      </w:r>
      <w:r>
        <w:rPr>
          <w:noProof/>
        </w:rPr>
        <w:t>Komissio seuraa, millä edellytyksillä unionin lentoliikenteen harjoittajat ja unionin lentoasemat kilpailevat Yhdistyneen kuningaskunnan lentoliikenteen harjoittajien ja Yhdistyneen kuningaskunnan lentoasemien kanssa tämän asetuksen soveltamisalaan kuuluvan lentoliikenteen harjoittamisesta.</w:t>
      </w:r>
    </w:p>
    <w:p>
      <w:pPr>
        <w:pStyle w:val="ManualNumPar1"/>
        <w:rPr>
          <w:noProof/>
        </w:rPr>
      </w:pPr>
      <w:r>
        <w:t>2.</w:t>
      </w:r>
      <w:r>
        <w:tab/>
      </w:r>
      <w:r>
        <w:rPr>
          <w:noProof/>
        </w:rPr>
        <w:t>Jos komissio toteaa, että kyseiset edellytykset ovat jonkin tämän artiklan 3 kohdassa tarkoitetun tilanteen vuoksi huomattavasti epäedullisempia kuin Yhdistyneen kuningaskunnan lentoliikenteen harjoittajien nauttimat edellytykset, se voi tilanteen korjaamiseksi asetuksen (EY) N:o 1008/2008 25 artiklan 2 kohdan mukaisesti annetuilla täytäntöönpanosäädöksillä</w:t>
      </w:r>
    </w:p>
    <w:p>
      <w:pPr>
        <w:pStyle w:val="Point1letter"/>
        <w:numPr>
          <w:ilvl w:val="3"/>
          <w:numId w:val="21"/>
        </w:numPr>
        <w:rPr>
          <w:noProof/>
        </w:rPr>
      </w:pPr>
      <w:r>
        <w:rPr>
          <w:noProof/>
        </w:rPr>
        <w:t>mukauttaa Yhdistyneen kuningaskunnan lentoliikenteen harjoittajien käytettävissä olevaa kapasiteettia 3 artiklan 2 kohdassa säädetyissä rajoissa ja vaatia jäsenvaltioita mukauttamaan vastaavasti sekä voimassa olevia että vasta myönnettyjä Yhdistyneen kuningaskunnan lentoliikenteen harjoittajien liikennelupia;</w:t>
      </w:r>
    </w:p>
    <w:p>
      <w:pPr>
        <w:pStyle w:val="Point1letter"/>
        <w:rPr>
          <w:noProof/>
        </w:rPr>
      </w:pPr>
      <w:r>
        <w:rPr>
          <w:noProof/>
        </w:rPr>
        <w:t>vaatia jäsenvaltioita epäämään kyseiset liikenneluvat tai peruuttamaan ne määräajaksi tai kokonaan; tai</w:t>
      </w:r>
    </w:p>
    <w:p>
      <w:pPr>
        <w:pStyle w:val="Point1letter"/>
        <w:rPr>
          <w:noProof/>
        </w:rPr>
      </w:pPr>
      <w:r>
        <w:rPr>
          <w:noProof/>
        </w:rPr>
        <w:t>toteuttaa muita asianmukaisia toimenpiteitä.</w:t>
      </w:r>
    </w:p>
    <w:p>
      <w:pPr>
        <w:pStyle w:val="ManualNumPar1"/>
        <w:rPr>
          <w:noProof/>
        </w:rPr>
      </w:pPr>
      <w:r>
        <w:t>3.</w:t>
      </w:r>
      <w:r>
        <w:tab/>
      </w:r>
      <w:r>
        <w:rPr>
          <w:noProof/>
        </w:rPr>
        <w:t>Edellä olevan 2 kohdan mukaisia täytäntöönpanosäädöksiä voidaan antaa seuraavien tilanteiden korjaamiseksi:</w:t>
      </w:r>
    </w:p>
    <w:p>
      <w:pPr>
        <w:pStyle w:val="Point1letter"/>
        <w:numPr>
          <w:ilvl w:val="3"/>
          <w:numId w:val="22"/>
        </w:numPr>
        <w:rPr>
          <w:noProof/>
        </w:rPr>
      </w:pPr>
      <w:r>
        <w:rPr>
          <w:noProof/>
        </w:rPr>
        <w:t>Yhdistynyt kuningaskunta myöntää tukia;</w:t>
      </w:r>
    </w:p>
    <w:p>
      <w:pPr>
        <w:pStyle w:val="Point1letter"/>
        <w:rPr>
          <w:noProof/>
        </w:rPr>
      </w:pPr>
      <w:r>
        <w:rPr>
          <w:noProof/>
        </w:rPr>
        <w:t>Yhdistynyt kuningaskunta ei ota käyttöön kilpailulainsäädäntöä tai sovella sitä tehokkaasti;</w:t>
      </w:r>
    </w:p>
    <w:p>
      <w:pPr>
        <w:pStyle w:val="Point1letter"/>
        <w:rPr>
          <w:noProof/>
        </w:rPr>
      </w:pPr>
      <w:r>
        <w:rPr>
          <w:noProof/>
        </w:rPr>
        <w:t>Yhdistynyt kuningaskunta ei perusta tai ylläpidä riippumatonta kilpailuviranomaista;</w:t>
      </w:r>
    </w:p>
    <w:p>
      <w:pPr>
        <w:pStyle w:val="Point1letter"/>
        <w:rPr>
          <w:noProof/>
        </w:rPr>
      </w:pPr>
      <w:r>
        <w:rPr>
          <w:noProof/>
        </w:rPr>
        <w:t>Yhdistynyt kuningaskunta soveltaa työntekijöiden suojelua, turvallisuutta, turvatoimia tai ympäristöä koskevia standardeja, jotka ovat vähemmän tiukkoja kuin unionin oikeudessa vahvistetut standardit tai, jos unionin oikeus ei sisällä asiaa koskevia säännöksiä, jotka ovat vähemmän tiukkoja kuin kaikkien jäsenvaltioiden soveltamat standardit tai joka tapauksessa vähemmän tiukkoja kuin asiaa koskevat kansainväliset standardit;</w:t>
      </w:r>
    </w:p>
    <w:p>
      <w:pPr>
        <w:pStyle w:val="Point1letter"/>
        <w:rPr>
          <w:noProof/>
        </w:rPr>
      </w:pPr>
      <w:r>
        <w:rPr>
          <w:noProof/>
        </w:rPr>
        <w:t>unionin lentoliikenteen harjoittajiin kohdistuu syrjintää.</w:t>
      </w:r>
    </w:p>
    <w:p>
      <w:pPr>
        <w:pStyle w:val="ManualNumPar1"/>
        <w:rPr>
          <w:noProof/>
        </w:rPr>
      </w:pPr>
      <w:r>
        <w:t>4.</w:t>
      </w:r>
      <w:r>
        <w:tab/>
      </w:r>
      <w:r>
        <w:rPr>
          <w:noProof/>
        </w:rPr>
        <w:t>Sovellettaessa 1 kohtaa komissio voi pyytää tietoja Yhdistyneen kuningaskunnan toimivaltaisilta viranomaisilta, Yhdistyneen kuningaskunnan lentoliikenteen harjoittajilta tai Yhdistyneen kuningaskunnan lentoasemilta. Jos Yhdistyneen kuningaskunnan toimivaltaiset viranomaiset, Yhdistyneen kuningaskunnan lentoliikenteen harjoittajat tai Yhdistyneen kuningaskunnan lentoasemat eivät toimita pyydettyjä tietoja komission asettamassa kohtuullisessa määräajassa tai jos niiden toimittamat tiedot ovat puutteellisia, komissio voi menetellä 2 kohdan mukaisesti.</w:t>
      </w:r>
    </w:p>
    <w:p>
      <w:pPr>
        <w:pStyle w:val="Titrearticle"/>
        <w:rPr>
          <w:noProof/>
        </w:rPr>
      </w:pPr>
      <w:r>
        <w:rPr>
          <w:noProof/>
        </w:rPr>
        <w:t>6 artikla</w:t>
      </w:r>
    </w:p>
    <w:p>
      <w:pPr>
        <w:pStyle w:val="Titrearticle"/>
        <w:rPr>
          <w:b/>
          <w:i w:val="0"/>
          <w:noProof/>
        </w:rPr>
      </w:pPr>
      <w:r>
        <w:rPr>
          <w:b/>
          <w:i w:val="0"/>
          <w:noProof/>
        </w:rPr>
        <w:t>Liikennelupa</w:t>
      </w:r>
    </w:p>
    <w:p>
      <w:pPr>
        <w:pStyle w:val="ManualNumPar1"/>
        <w:rPr>
          <w:noProof/>
        </w:rPr>
      </w:pPr>
      <w:r>
        <w:t>1.</w:t>
      </w:r>
      <w:r>
        <w:tab/>
      </w:r>
      <w:r>
        <w:rPr>
          <w:noProof/>
        </w:rPr>
        <w:t xml:space="preserve">Jotta Yhdistyneen kuningaskunnan lentoliikenteen harjoittajat voivat käyttää niille 3 artiklan mukaisesti myönnettyjä oikeuksia, niiden on hankittava liikennelupa jokaiselta jäsenvaltiolta, jossa ne haluavat harjoittaa toimintaa. </w:t>
      </w:r>
    </w:p>
    <w:p>
      <w:pPr>
        <w:pStyle w:val="ManualNumPar1"/>
        <w:rPr>
          <w:noProof/>
        </w:rPr>
      </w:pPr>
      <w:r>
        <w:t>2.</w:t>
      </w:r>
      <w:r>
        <w:tab/>
      </w:r>
      <w:r>
        <w:rPr>
          <w:noProof/>
        </w:rPr>
        <w:t xml:space="preserve">Saadessaan liikennelupaa koskevan hakemuksen Yhdistyneen kuningaskunnan lentoliikenteen harjoittajalta asianomaisen jäsenvaltion on myönnettävä asianmukainen liikennelupa ilman aiheetonta viivytystä edellyttäen, että </w:t>
      </w:r>
    </w:p>
    <w:p>
      <w:pPr>
        <w:pStyle w:val="Point1letter"/>
        <w:numPr>
          <w:ilvl w:val="3"/>
          <w:numId w:val="24"/>
        </w:numPr>
        <w:rPr>
          <w:noProof/>
        </w:rPr>
      </w:pPr>
      <w:r>
        <w:rPr>
          <w:noProof/>
        </w:rPr>
        <w:t>hakemuksen tehneellä Yhdistyneen kuningaskunnan lentoliikenteen harjoittajalla on Yhdistyneen kuningaskunnan lainsäädännön mukainen voimassa oleva liikennelupa ja</w:t>
      </w:r>
    </w:p>
    <w:p>
      <w:pPr>
        <w:pStyle w:val="Point1letter"/>
        <w:rPr>
          <w:noProof/>
        </w:rPr>
      </w:pPr>
      <w:r>
        <w:rPr>
          <w:noProof/>
        </w:rPr>
        <w:t>hakemuksen tehnyt Yhdistyneen kuningaskunnan lentoliikenteen harjoittaja on Yhdistyneen kuningaskunnan jatkuvan ja tehokkaan viranomaisvalvonnan alainen, toimivaltainen viranomainen on selkeästi määritelty ja Yhdistyneen kuningaskunnan lentoliikenteen harjoittajalla on kyseisen viranomaisen antama lentotoimintalupa.</w:t>
      </w:r>
    </w:p>
    <w:p>
      <w:pPr>
        <w:pStyle w:val="ManualNumPar1"/>
        <w:rPr>
          <w:noProof/>
        </w:rPr>
      </w:pPr>
      <w:r>
        <w:t>3.</w:t>
      </w:r>
      <w:r>
        <w:tab/>
      </w:r>
      <w:r>
        <w:rPr>
          <w:noProof/>
        </w:rPr>
        <w:t>Yhdistyneen kuningaskunnan lentoliikenteen harjoittajilla on oikeus jättää liikennelupia koskevia hakemuksiaan tämän asetuksen voimaantulopäivästä alkaen, sanotun kuitenkaan rajoittamatta tarvetta varata riittävästi aikaa tarpeellisten arviointien tekemiseen. Jäsenvaltioilla on valta hyväksyä näitä hakemuksia kyseisestä päivästä alkaen edellyttäen, että hakemusten hyväksymisedellytykset täyttyvät. Näin myönnetyt liikenneluvat tulevat kuitenkin voimaan aikaisintaan 12 artiklan 2 kohdassa tarkoitettuna tämän asetuksen ensimmäisenä soveltamispäivänä.</w:t>
      </w:r>
    </w:p>
    <w:p>
      <w:pPr>
        <w:pStyle w:val="Titrearticle"/>
        <w:rPr>
          <w:noProof/>
        </w:rPr>
      </w:pPr>
      <w:r>
        <w:rPr>
          <w:noProof/>
        </w:rPr>
        <w:t>7 artikla</w:t>
      </w:r>
    </w:p>
    <w:p>
      <w:pPr>
        <w:pStyle w:val="Titrearticle"/>
        <w:rPr>
          <w:b/>
          <w:i w:val="0"/>
          <w:noProof/>
        </w:rPr>
      </w:pPr>
      <w:r>
        <w:rPr>
          <w:b/>
          <w:i w:val="0"/>
          <w:noProof/>
        </w:rPr>
        <w:t>Toimintasuunnitelmat, ohjelmat ja aikataulut</w:t>
      </w:r>
    </w:p>
    <w:p>
      <w:pPr>
        <w:pStyle w:val="ManualNumPar1"/>
        <w:rPr>
          <w:noProof/>
        </w:rPr>
      </w:pPr>
      <w:r>
        <w:t>1.</w:t>
      </w:r>
      <w:r>
        <w:tab/>
      </w:r>
      <w:r>
        <w:rPr>
          <w:noProof/>
        </w:rPr>
        <w:t xml:space="preserve">Yhdistyneen kuningaskunnan lentoliikenteen harjoittajien on toimitettava lentoliikennepalvelujen toimintasuunnitelmat, ohjelmat ja aikataulut kunkin asianomaisen jäsenvaltion toimivaltaisten viranomaisten hyväksyttäviksi. Ne on toimitettava vähintään 30 päivää ennen toiminnan aloittamista. </w:t>
      </w:r>
    </w:p>
    <w:p>
      <w:pPr>
        <w:pStyle w:val="ManualNumPar1"/>
        <w:rPr>
          <w:i/>
          <w:noProof/>
        </w:rPr>
      </w:pPr>
      <w:r>
        <w:t>2.</w:t>
      </w:r>
      <w:r>
        <w:tab/>
      </w:r>
      <w:r>
        <w:rPr>
          <w:noProof/>
        </w:rPr>
        <w:t>Jollei 6 artiklasta muuta johdu, 12 artiklan 2 kohdassa tarkoitettuna tämän asetuksen ensimmäisenä soveltamispäivänä käynnissä olevaa IATA:n kautta koskevat ja ensimmäistä sen jälkeistä kautta koskevat toimintasuunnitelmat, ohjelmat ja aikataulut voidaan toimittaa ja hyväksyä ennen kyseistä päivää.</w:t>
      </w:r>
    </w:p>
    <w:p>
      <w:pPr>
        <w:pStyle w:val="Titrearticle"/>
        <w:rPr>
          <w:noProof/>
        </w:rPr>
      </w:pPr>
      <w:r>
        <w:rPr>
          <w:noProof/>
        </w:rPr>
        <w:t>8 artikla</w:t>
      </w:r>
    </w:p>
    <w:p>
      <w:pPr>
        <w:pStyle w:val="Titrearticle"/>
        <w:rPr>
          <w:b/>
          <w:i w:val="0"/>
          <w:noProof/>
        </w:rPr>
      </w:pPr>
      <w:r>
        <w:rPr>
          <w:b/>
          <w:i w:val="0"/>
          <w:noProof/>
        </w:rPr>
        <w:t>Luvan epääminen, peruuttaminen kokonaan, peruuttaminen tilapäisesti ja rajoittaminen</w:t>
      </w:r>
    </w:p>
    <w:p>
      <w:pPr>
        <w:pStyle w:val="ManualNumPar1"/>
        <w:rPr>
          <w:noProof/>
        </w:rPr>
      </w:pPr>
      <w:r>
        <w:t>1.</w:t>
      </w:r>
      <w:r>
        <w:tab/>
      </w:r>
      <w:r>
        <w:rPr>
          <w:noProof/>
        </w:rPr>
        <w:t>Jäsenvaltioiden on evättävä tai tapauksen mukaan peruutettava kokonaan tai tilapäisesti Yhdistyneen kuningaskunnan lentoliikenteen harjoittajan liikennelupa, jos</w:t>
      </w:r>
    </w:p>
    <w:p>
      <w:pPr>
        <w:pStyle w:val="Point1letter"/>
        <w:numPr>
          <w:ilvl w:val="3"/>
          <w:numId w:val="27"/>
        </w:numPr>
        <w:rPr>
          <w:noProof/>
        </w:rPr>
      </w:pPr>
      <w:r>
        <w:rPr>
          <w:noProof/>
        </w:rPr>
        <w:t>lentoliikenteen harjoittajaa ei voida pitää tämän asetuksen mukaisena Yhdistyneen kuningaskunnan lentoliikenteen harjoittajana; tai</w:t>
      </w:r>
    </w:p>
    <w:p>
      <w:pPr>
        <w:pStyle w:val="Point1letter"/>
        <w:rPr>
          <w:noProof/>
        </w:rPr>
      </w:pPr>
      <w:r>
        <w:rPr>
          <w:noProof/>
        </w:rPr>
        <w:t xml:space="preserve">6 artiklan 2 kohdassa säädetyt edellytykset eivät täyty. </w:t>
      </w:r>
    </w:p>
    <w:p>
      <w:pPr>
        <w:pStyle w:val="ManualNumPar1"/>
        <w:rPr>
          <w:noProof/>
        </w:rPr>
      </w:pPr>
      <w:r>
        <w:t>2.</w:t>
      </w:r>
      <w:r>
        <w:tab/>
      </w:r>
      <w:r>
        <w:rPr>
          <w:noProof/>
        </w:rPr>
        <w:t>Jäsenvaltioiden on evättävä Yhdistyneen kuningaskunnan lentoliikenteen harjoittajan liikennelupa, peruutettava se kokonaan tai tilapäisesti tai asetettava sille ehtoja, rajoitettava kyseisen lentoliikenteen harjoittajan toimintaa tai asetettava sen toiminnalle ehtoja seuraavissa tilanteissa:</w:t>
      </w:r>
    </w:p>
    <w:p>
      <w:pPr>
        <w:pStyle w:val="Point1letter"/>
        <w:numPr>
          <w:ilvl w:val="3"/>
          <w:numId w:val="28"/>
        </w:numPr>
        <w:rPr>
          <w:noProof/>
        </w:rPr>
      </w:pPr>
      <w:r>
        <w:rPr>
          <w:noProof/>
        </w:rPr>
        <w:t xml:space="preserve">sovellettavia turvallisuus- ja turvavaatimuksia ei noudateta; </w:t>
      </w:r>
    </w:p>
    <w:p>
      <w:pPr>
        <w:pStyle w:val="Point1letter"/>
        <w:rPr>
          <w:noProof/>
        </w:rPr>
      </w:pPr>
      <w:r>
        <w:rPr>
          <w:noProof/>
        </w:rPr>
        <w:t xml:space="preserve">sovellettavia vaatimuksia, jotka koskevat ilmakuljetukseen osallistuvien ilma-alusten pääsyä asianomaisen jäsenvaltion alueelle, toimintaa sen alueella tai lähtöä sen alueelta, ei noudateta; </w:t>
      </w:r>
    </w:p>
    <w:p>
      <w:pPr>
        <w:pStyle w:val="Point1letter"/>
        <w:rPr>
          <w:noProof/>
        </w:rPr>
      </w:pPr>
      <w:r>
        <w:rPr>
          <w:noProof/>
        </w:rPr>
        <w:t>sovellettavia vaatimuksia, jotka koskevat ilma-aluksessa olevien matkustajien, miehistön, matkatavaroiden, rahdin ja/tai postin pääsyä asianomaisen jäsenvaltion alueelle, olemista sen alueella tai lähtöä sen alueelta (mukaan luettuina maahantuloa, selvitystä, maahanmuuttoa, passeja, tulleja ja karanteenia koskevat määräykset tai postin osalta postisäännöt), ei noudateta.</w:t>
      </w:r>
    </w:p>
    <w:p>
      <w:pPr>
        <w:pStyle w:val="ManualNumPar1"/>
        <w:rPr>
          <w:noProof/>
        </w:rPr>
      </w:pPr>
      <w:r>
        <w:t>3.</w:t>
      </w:r>
      <w:r>
        <w:tab/>
      </w:r>
      <w:r>
        <w:rPr>
          <w:noProof/>
        </w:rPr>
        <w:t>Jäsenvaltioiden on evättävä Yhdistyneen kuningaskunnan lentoliikenteen harjoittajien liikenneluvat, peruutettava ne kokonaan tai tilapäisesti tai asetettava niille ehtoja tai rajoitettava kyseisten lentoliikenteen harjoittajien toimintaa tai asetettava niiden toiminnalle ehtoja, jos komissio vaatii sitä jäsenvaltioilta 4 tai 5 artiklan mukaisesti.</w:t>
      </w:r>
    </w:p>
    <w:p>
      <w:pPr>
        <w:pStyle w:val="ManualNumPar1"/>
        <w:rPr>
          <w:noProof/>
        </w:rPr>
      </w:pPr>
      <w:r>
        <w:t>4.</w:t>
      </w:r>
      <w:r>
        <w:tab/>
      </w:r>
      <w:r>
        <w:rPr>
          <w:noProof/>
        </w:rPr>
        <w:t xml:space="preserve">Jäsenvaltioiden on ilmoitettava komissiolle ja muille jäsenvaltioille kaikista päätöksistä evätä tai peruuttaa Yhdistyneen kuningaskunnan lentoliikenteen harjoittajan liikennelupa 1 ja 2 kohdan nojalla. </w:t>
      </w:r>
    </w:p>
    <w:p>
      <w:pPr>
        <w:pStyle w:val="Titrearticle"/>
        <w:rPr>
          <w:noProof/>
        </w:rPr>
      </w:pPr>
      <w:r>
        <w:rPr>
          <w:noProof/>
        </w:rPr>
        <w:t>9 artikla</w:t>
      </w:r>
    </w:p>
    <w:p>
      <w:pPr>
        <w:pStyle w:val="Titrearticle"/>
        <w:rPr>
          <w:b/>
          <w:i w:val="0"/>
          <w:noProof/>
        </w:rPr>
      </w:pPr>
      <w:r>
        <w:rPr>
          <w:b/>
          <w:i w:val="0"/>
          <w:noProof/>
        </w:rPr>
        <w:t>Todistukset ja lupakirjat</w:t>
      </w:r>
    </w:p>
    <w:p>
      <w:pPr>
        <w:spacing w:after="0"/>
        <w:rPr>
          <w:noProof/>
        </w:rPr>
      </w:pPr>
      <w:r>
        <w:rPr>
          <w:noProof/>
        </w:rPr>
        <w:t>Jäsenvaltioiden on kelpuutettava tämän asetuksen mukaiseen Yhdistyneen kuningaskunnan lentoliikenteen harjoittajien lentoliikenteen harjoittamiseen Yhdistyneen kuningaskunnan myöntämät tai hyväksymät lentokelpoisuustodistukset, pätevyystodistukset ja lupakirjat, jotka ovat edelleen voimassa, edellyttäen, että tällaiset todistukset tai lupakirjat on myönnetty tai hyväksytty vähintään yleissopimuksen nojalla vahvistettujen asiaankuuluvien kansainvälisten standardien nojalla ja mukaisesti.</w:t>
      </w:r>
    </w:p>
    <w:p>
      <w:pPr>
        <w:pStyle w:val="Titrearticle"/>
        <w:rPr>
          <w:noProof/>
        </w:rPr>
      </w:pPr>
      <w:r>
        <w:rPr>
          <w:noProof/>
        </w:rPr>
        <w:t>10 artikla</w:t>
      </w:r>
    </w:p>
    <w:p>
      <w:pPr>
        <w:pStyle w:val="Titrearticle"/>
        <w:rPr>
          <w:b/>
          <w:i w:val="0"/>
          <w:noProof/>
        </w:rPr>
      </w:pPr>
      <w:r>
        <w:rPr>
          <w:b/>
          <w:i w:val="0"/>
          <w:noProof/>
        </w:rPr>
        <w:t>Neuvottelut ja yhteistyö</w:t>
      </w:r>
    </w:p>
    <w:p>
      <w:pPr>
        <w:pStyle w:val="ManualNumPar1"/>
        <w:rPr>
          <w:noProof/>
        </w:rPr>
      </w:pPr>
      <w:r>
        <w:t>1.</w:t>
      </w:r>
      <w:r>
        <w:tab/>
      </w:r>
      <w:r>
        <w:rPr>
          <w:noProof/>
        </w:rPr>
        <w:t xml:space="preserve">Jäsenvaltioiden toimivaltaisten viranomaisten on tarpeen mukaan neuvoteltava ja tehtävä yhteistyötä Yhdistyneen kuningaskunnan toimivaltaisten viranomaisten kanssa tämän asetuksen täytäntöönpanon varmistamiseksi. </w:t>
      </w:r>
    </w:p>
    <w:p>
      <w:pPr>
        <w:pStyle w:val="ManualNumPar1"/>
        <w:rPr>
          <w:noProof/>
        </w:rPr>
      </w:pPr>
      <w:r>
        <w:t>2.</w:t>
      </w:r>
      <w:r>
        <w:tab/>
      </w:r>
      <w:r>
        <w:rPr>
          <w:noProof/>
        </w:rPr>
        <w:t>Jäsenvaltioiden on pyynnöstä ja ilman aiheetonta viivytystä toimitettava komissiolle 1 kohdan nojalla saadut tiedot tai muut tiedot, joilla on merkitystä tämän asetuksen 4 ja 5 artiklan täytäntöönpanon kannalta.</w:t>
      </w:r>
    </w:p>
    <w:p>
      <w:pPr>
        <w:pStyle w:val="Titrearticle"/>
        <w:rPr>
          <w:noProof/>
        </w:rPr>
      </w:pPr>
      <w:r>
        <w:rPr>
          <w:noProof/>
        </w:rPr>
        <w:t>11 artikla</w:t>
      </w:r>
    </w:p>
    <w:p>
      <w:pPr>
        <w:pStyle w:val="Titrearticle"/>
        <w:rPr>
          <w:b/>
          <w:i w:val="0"/>
          <w:noProof/>
        </w:rPr>
      </w:pPr>
      <w:r>
        <w:rPr>
          <w:b/>
          <w:i w:val="0"/>
          <w:noProof/>
        </w:rPr>
        <w:t>Komitea</w:t>
      </w:r>
    </w:p>
    <w:p>
      <w:pPr>
        <w:rPr>
          <w:noProof/>
        </w:rPr>
      </w:pPr>
      <w:r>
        <w:rPr>
          <w:noProof/>
        </w:rPr>
        <w:t xml:space="preserve">Komissiota avustaa asetuksen (EY) N:o 1008/2008 25 artiklalla perustettu komitea. </w:t>
      </w:r>
    </w:p>
    <w:p>
      <w:pPr>
        <w:pStyle w:val="Titrearticle"/>
        <w:rPr>
          <w:noProof/>
        </w:rPr>
      </w:pPr>
      <w:r>
        <w:rPr>
          <w:noProof/>
        </w:rPr>
        <w:t>12 artikla</w:t>
      </w:r>
    </w:p>
    <w:p>
      <w:pPr>
        <w:pStyle w:val="Titrearticle"/>
        <w:rPr>
          <w:b/>
          <w:i w:val="0"/>
          <w:noProof/>
        </w:rPr>
      </w:pPr>
      <w:r>
        <w:rPr>
          <w:b/>
          <w:i w:val="0"/>
          <w:noProof/>
        </w:rPr>
        <w:t>Voimaantulo ja soveltaminen</w:t>
      </w:r>
    </w:p>
    <w:p>
      <w:pPr>
        <w:pStyle w:val="ManualNumPar1"/>
        <w:rPr>
          <w:noProof/>
        </w:rPr>
      </w:pPr>
      <w:r>
        <w:t>1.</w:t>
      </w:r>
      <w:r>
        <w:tab/>
      </w:r>
      <w:r>
        <w:rPr>
          <w:noProof/>
        </w:rPr>
        <w:t xml:space="preserve">Tämä asetus tulee voimaan sitä päivää seuraavana päivänä, jona se julkaistaan </w:t>
      </w:r>
      <w:r>
        <w:rPr>
          <w:i/>
          <w:noProof/>
        </w:rPr>
        <w:t>Euroopan unionin virallisessa lehdessä</w:t>
      </w:r>
      <w:r>
        <w:rPr>
          <w:noProof/>
        </w:rPr>
        <w:t xml:space="preserve">. </w:t>
      </w:r>
    </w:p>
    <w:p>
      <w:pPr>
        <w:pStyle w:val="ManualNumPar1"/>
        <w:rPr>
          <w:noProof/>
        </w:rPr>
      </w:pPr>
      <w:r>
        <w:t>2.</w:t>
      </w:r>
      <w:r>
        <w:tab/>
      </w:r>
      <w:r>
        <w:rPr>
          <w:noProof/>
        </w:rPr>
        <w:t>Sitä sovelletaan sitä päivää seuraavasta päivästä, jona perussopimuksia lakataan soveltamasta Yhdistyneeseen kuningaskuntaan ja Yhdistyneessä kuningaskunnassa Euroopan unionista tehdyn sopimuksen 50 artiklan 3 kohdan mukaisesti.</w:t>
      </w:r>
    </w:p>
    <w:p>
      <w:pPr>
        <w:pStyle w:val="Text1"/>
        <w:rPr>
          <w:noProof/>
        </w:rPr>
      </w:pPr>
      <w:r>
        <w:rPr>
          <w:noProof/>
        </w:rPr>
        <w:t>Edellä olevia 6 artiklaan 3 kohtaa ja 7 artiklan 2 kohtaa sovelletaan kuitenkin tämän asetuksen voimaantulopäivästä.</w:t>
      </w:r>
    </w:p>
    <w:p>
      <w:pPr>
        <w:pStyle w:val="ManualNumPar1"/>
        <w:rPr>
          <w:noProof/>
        </w:rPr>
      </w:pPr>
      <w:r>
        <w:t>3.</w:t>
      </w:r>
      <w:r>
        <w:tab/>
      </w:r>
      <w:r>
        <w:rPr>
          <w:noProof/>
        </w:rPr>
        <w:t>Tätä asetusta ei kuitenkaan sovelleta, jos Yhdistyneen kuningaskunnan kanssa Euroopan unionista tehdyn sopimuksen 50 artiklan 2 kohdan mukaisesti tehty erosopimus on tullut voimaan 2 kohdan ensimmäisessä alakohdassa tarkoitettuun päivään mennessä.</w:t>
      </w:r>
    </w:p>
    <w:p>
      <w:pPr>
        <w:pStyle w:val="ManualNumPar1"/>
        <w:rPr>
          <w:noProof/>
        </w:rPr>
      </w:pPr>
      <w:r>
        <w:t>4.</w:t>
      </w:r>
      <w:r>
        <w:tab/>
      </w:r>
      <w:r>
        <w:rPr>
          <w:noProof/>
        </w:rPr>
        <w:t>Tämän asetuksen soveltaminen päättyy aiempana seuraavista kahdesta päivästä:</w:t>
      </w:r>
    </w:p>
    <w:p>
      <w:pPr>
        <w:pStyle w:val="Point1letter"/>
        <w:numPr>
          <w:ilvl w:val="3"/>
          <w:numId w:val="31"/>
        </w:numPr>
        <w:rPr>
          <w:noProof/>
        </w:rPr>
      </w:pPr>
      <w:r>
        <w:rPr>
          <w:noProof/>
        </w:rPr>
        <w:t>päivä, jona unionin ja Yhdistyneen kuningaskunnan välinen sopimus niiden välisen lentoliikenteen harjoittamisesta tulee voimaan tai, tapauksen mukaan, jona sitä sovelletaan väliaikaisesti; tai</w:t>
      </w:r>
    </w:p>
    <w:p>
      <w:pPr>
        <w:pStyle w:val="Point1letter"/>
        <w:rPr>
          <w:noProof/>
        </w:rPr>
      </w:pPr>
      <w:r>
        <w:rPr>
          <w:noProof/>
        </w:rPr>
        <w:t>30 päivä maaliskuuta 2020.</w:t>
      </w:r>
    </w:p>
    <w:p>
      <w:pPr>
        <w:pStyle w:val="Applicationdirecte"/>
        <w:rPr>
          <w:noProof/>
        </w:rPr>
      </w:pPr>
      <w:r>
        <w:rPr>
          <w:noProof/>
        </w:rPr>
        <w:t>Tämä asetus on kaikilta osiltaan velvoittava, ja sitä sovelletaan sellaisenaan kaikissa jäsenvaltioissa.</w:t>
      </w:r>
    </w:p>
    <w:p>
      <w:pPr>
        <w:pStyle w:val="Fait"/>
        <w:rPr>
          <w:noProof/>
        </w:rPr>
      </w:pPr>
      <w: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a-DK"/>
        </w:rPr>
      </w:pPr>
      <w:r>
        <w:rPr>
          <w:rStyle w:val="FootnoteReference"/>
        </w:rPr>
        <w:footnoteRef/>
      </w:r>
      <w:r>
        <w:tab/>
      </w:r>
      <w:hyperlink r:id="rId1">
        <w:r>
          <w:rPr>
            <w:rStyle w:val="Hyperlink"/>
          </w:rPr>
          <w:t>https://ec.europa.eu/commission/sites/beta-political/files/draft_withdrawal_agreement_0.pdf</w:t>
        </w:r>
      </w:hyperlink>
      <w:r>
        <w:t>.</w:t>
      </w:r>
    </w:p>
  </w:footnote>
  <w:footnote w:id="2">
    <w:p>
      <w:pPr>
        <w:pStyle w:val="FootnoteText"/>
      </w:pPr>
      <w:r>
        <w:rPr>
          <w:rStyle w:val="FootnoteReference"/>
        </w:rPr>
        <w:footnoteRef/>
      </w:r>
      <w:r>
        <w:tab/>
        <w:t>Maailman kauppajärjestön perustamisesta 15 päivänä huhtikuuta 1994 Marrakeshissa tehdyn Marrakeshin sopimuksen liite 1B.</w:t>
      </w:r>
    </w:p>
  </w:footnote>
  <w:footnote w:id="3">
    <w:p>
      <w:pPr>
        <w:pStyle w:val="FootnoteText"/>
      </w:pPr>
      <w:r>
        <w:rPr>
          <w:rStyle w:val="FootnoteReference"/>
        </w:rPr>
        <w:footnoteRef/>
      </w:r>
      <w:r>
        <w:tab/>
        <w:t>COM(2018) 880 final.</w:t>
      </w:r>
    </w:p>
  </w:footnote>
  <w:footnote w:id="4">
    <w:p>
      <w:pPr>
        <w:pStyle w:val="FootnoteText"/>
      </w:pPr>
      <w:r>
        <w:rPr>
          <w:rStyle w:val="FootnoteReference"/>
        </w:rPr>
        <w:footnoteRef/>
      </w:r>
      <w:r>
        <w:tab/>
        <w:t>Steer Davies Gleave – Study on employment and working conditions in air transport and airports: final report, 2015.</w:t>
      </w:r>
    </w:p>
  </w:footnote>
  <w:footnote w:id="5">
    <w:p>
      <w:pPr>
        <w:pStyle w:val="FootnoteText"/>
        <w:ind w:left="0" w:firstLine="0"/>
      </w:pPr>
      <w:r>
        <w:rPr>
          <w:rStyle w:val="FootnoteReference"/>
        </w:rPr>
        <w:footnoteRef/>
      </w:r>
      <w:r>
        <w:tab/>
        <w:t>EUVL C , , s. .</w:t>
      </w:r>
    </w:p>
  </w:footnote>
  <w:footnote w:id="6">
    <w:p>
      <w:pPr>
        <w:pStyle w:val="FootnoteText"/>
      </w:pPr>
      <w:r>
        <w:rPr>
          <w:rStyle w:val="FootnoteReference"/>
        </w:rPr>
        <w:footnoteRef/>
      </w:r>
      <w:r>
        <w:tab/>
        <w:t>EUVL C , […], s. .</w:t>
      </w:r>
    </w:p>
  </w:footnote>
  <w:footnote w:id="7">
    <w:p>
      <w:pPr>
        <w:pStyle w:val="FootnoteText"/>
      </w:pPr>
      <w:r>
        <w:rPr>
          <w:rStyle w:val="FootnoteReference"/>
        </w:rPr>
        <w:footnoteRef/>
      </w:r>
      <w:r>
        <w:tab/>
        <w:t>Euroopan parlamentin ja neuvoston asetus (EY) N:o 1008/2008, annettu 24 päivänä syyskuuta 2008, lentoliikenteen harjoittamisen yhteisistä säännöistä yhteisössä (EUVL L 293, 31.10.2008, s. 3).</w:t>
      </w:r>
    </w:p>
  </w:footnote>
  <w:footnote w:id="8">
    <w:p>
      <w:pPr>
        <w:pStyle w:val="FootnoteText"/>
      </w:pPr>
      <w:r>
        <w:rPr>
          <w:rStyle w:val="FootnoteReference"/>
        </w:rPr>
        <w:footnoteRef/>
      </w:r>
      <w:r>
        <w:tab/>
        <w:t>Euroopan parlamentin ja neuvoston asetus (EU) N:o 182/2011, annettu 16 päivänä helmikuuta 2011, yleisistä säännöistä ja periaatteista, joiden mukaisesti jäsenvaltiot valvovat komission täytäntöönpanovallan käyttöä (EUVL L 55, 28.2.2011, 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01EB5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5272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0418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5C4C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FECB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69A5D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9D07496"/>
    <w:lvl w:ilvl="0">
      <w:start w:val="1"/>
      <w:numFmt w:val="decimal"/>
      <w:pStyle w:val="ListNumber"/>
      <w:lvlText w:val="%1."/>
      <w:lvlJc w:val="left"/>
      <w:pPr>
        <w:tabs>
          <w:tab w:val="num" w:pos="360"/>
        </w:tabs>
        <w:ind w:left="360" w:hanging="360"/>
      </w:pPr>
    </w:lvl>
  </w:abstractNum>
  <w:abstractNum w:abstractNumId="7">
    <w:nsid w:val="FFFFFF89"/>
    <w:multiLevelType w:val="singleLevel"/>
    <w:tmpl w:val="3F2AB6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a-DK" w:vendorID="64" w:dllVersion="131078" w:nlCheck="1" w:checkStyle="0"/>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08 09:50:5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438B3BB-B400-4100-8CAE-6D1BE38A13EB"/>
    <w:docVar w:name="LW_COVERPAGE_TYPE" w:val="1"/>
    <w:docVar w:name="LW_CROSSREFERENCE" w:val="&lt;UNUSED&gt;"/>
    <w:docVar w:name="LW_DocType" w:val="COM"/>
    <w:docVar w:name="LW_EMISSION" w:val="19.12.2018"/>
    <w:docVar w:name="LW_EMISSION_ISODATE" w:val="2018-12-19"/>
    <w:docVar w:name="LW_EMISSION_LOCATION" w:val="BRX"/>
    <w:docVar w:name="LW_EMISSION_PREFIX" w:val="Bryss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ETA:n kannalta merkityksellinen teksti)"/>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433"/>
    <w:docVar w:name="LW_REF.II.NEW.CP_YEAR" w:val="2018"/>
    <w:docVar w:name="LW_REF.INST.NEW" w:val="COM"/>
    <w:docVar w:name="LW_REF.INST.NEW_ADOPTED" w:val="final"/>
    <w:docVar w:name="LW_REF.INST.NEW_TEXT" w:val="(2018) 8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perusluonteiset lentoyhteydet Ison-Britannian ja Pohjois-Irlannin yhdistyneen kuningaskunnan unionista eroamisen yhteydessä varmistavista yhteisistä säännöistä"/>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4299">
      <w:bodyDiv w:val="1"/>
      <w:marLeft w:val="0"/>
      <w:marRight w:val="0"/>
      <w:marTop w:val="0"/>
      <w:marBottom w:val="0"/>
      <w:divBdr>
        <w:top w:val="none" w:sz="0" w:space="0" w:color="auto"/>
        <w:left w:val="none" w:sz="0" w:space="0" w:color="auto"/>
        <w:bottom w:val="none" w:sz="0" w:space="0" w:color="auto"/>
        <w:right w:val="none" w:sz="0" w:space="0" w:color="auto"/>
      </w:divBdr>
    </w:div>
    <w:div w:id="388966730">
      <w:bodyDiv w:val="1"/>
      <w:marLeft w:val="0"/>
      <w:marRight w:val="0"/>
      <w:marTop w:val="0"/>
      <w:marBottom w:val="0"/>
      <w:divBdr>
        <w:top w:val="none" w:sz="0" w:space="0" w:color="auto"/>
        <w:left w:val="none" w:sz="0" w:space="0" w:color="auto"/>
        <w:bottom w:val="none" w:sz="0" w:space="0" w:color="auto"/>
        <w:right w:val="none" w:sz="0" w:space="0" w:color="auto"/>
      </w:divBdr>
      <w:divsChild>
        <w:div w:id="1137141412">
          <w:marLeft w:val="0"/>
          <w:marRight w:val="0"/>
          <w:marTop w:val="0"/>
          <w:marBottom w:val="0"/>
          <w:divBdr>
            <w:top w:val="none" w:sz="0" w:space="0" w:color="auto"/>
            <w:left w:val="none" w:sz="0" w:space="0" w:color="auto"/>
            <w:bottom w:val="none" w:sz="0" w:space="0" w:color="auto"/>
            <w:right w:val="none" w:sz="0" w:space="0" w:color="auto"/>
          </w:divBdr>
        </w:div>
        <w:div w:id="1157768145">
          <w:marLeft w:val="0"/>
          <w:marRight w:val="0"/>
          <w:marTop w:val="0"/>
          <w:marBottom w:val="0"/>
          <w:divBdr>
            <w:top w:val="none" w:sz="0" w:space="0" w:color="auto"/>
            <w:left w:val="none" w:sz="0" w:space="0" w:color="auto"/>
            <w:bottom w:val="none" w:sz="0" w:space="0" w:color="auto"/>
            <w:right w:val="none" w:sz="0" w:space="0" w:color="auto"/>
          </w:divBdr>
        </w:div>
      </w:divsChild>
    </w:div>
    <w:div w:id="1024945793">
      <w:bodyDiv w:val="1"/>
      <w:marLeft w:val="0"/>
      <w:marRight w:val="0"/>
      <w:marTop w:val="0"/>
      <w:marBottom w:val="0"/>
      <w:divBdr>
        <w:top w:val="none" w:sz="0" w:space="0" w:color="auto"/>
        <w:left w:val="none" w:sz="0" w:space="0" w:color="auto"/>
        <w:bottom w:val="none" w:sz="0" w:space="0" w:color="auto"/>
        <w:right w:val="none" w:sz="0" w:space="0" w:color="auto"/>
      </w:divBdr>
    </w:div>
    <w:div w:id="1115175066">
      <w:bodyDiv w:val="1"/>
      <w:marLeft w:val="0"/>
      <w:marRight w:val="0"/>
      <w:marTop w:val="0"/>
      <w:marBottom w:val="0"/>
      <w:divBdr>
        <w:top w:val="none" w:sz="0" w:space="0" w:color="auto"/>
        <w:left w:val="none" w:sz="0" w:space="0" w:color="auto"/>
        <w:bottom w:val="none" w:sz="0" w:space="0" w:color="auto"/>
        <w:right w:val="none" w:sz="0" w:space="0" w:color="auto"/>
      </w:divBdr>
      <w:divsChild>
        <w:div w:id="37633107">
          <w:marLeft w:val="0"/>
          <w:marRight w:val="0"/>
          <w:marTop w:val="0"/>
          <w:marBottom w:val="0"/>
          <w:divBdr>
            <w:top w:val="none" w:sz="0" w:space="0" w:color="auto"/>
            <w:left w:val="none" w:sz="0" w:space="0" w:color="auto"/>
            <w:bottom w:val="none" w:sz="0" w:space="0" w:color="auto"/>
            <w:right w:val="none" w:sz="0" w:space="0" w:color="auto"/>
          </w:divBdr>
        </w:div>
        <w:div w:id="1291938359">
          <w:marLeft w:val="0"/>
          <w:marRight w:val="0"/>
          <w:marTop w:val="0"/>
          <w:marBottom w:val="0"/>
          <w:divBdr>
            <w:top w:val="none" w:sz="0" w:space="0" w:color="auto"/>
            <w:left w:val="none" w:sz="0" w:space="0" w:color="auto"/>
            <w:bottom w:val="none" w:sz="0" w:space="0" w:color="auto"/>
            <w:right w:val="none" w:sz="0" w:space="0" w:color="auto"/>
          </w:divBdr>
        </w:div>
        <w:div w:id="1688673794">
          <w:marLeft w:val="0"/>
          <w:marRight w:val="0"/>
          <w:marTop w:val="0"/>
          <w:marBottom w:val="0"/>
          <w:divBdr>
            <w:top w:val="none" w:sz="0" w:space="0" w:color="auto"/>
            <w:left w:val="none" w:sz="0" w:space="0" w:color="auto"/>
            <w:bottom w:val="none" w:sz="0" w:space="0" w:color="auto"/>
            <w:right w:val="none" w:sz="0" w:space="0" w:color="auto"/>
          </w:divBdr>
        </w:div>
        <w:div w:id="1094935641">
          <w:marLeft w:val="0"/>
          <w:marRight w:val="0"/>
          <w:marTop w:val="0"/>
          <w:marBottom w:val="0"/>
          <w:divBdr>
            <w:top w:val="none" w:sz="0" w:space="0" w:color="auto"/>
            <w:left w:val="none" w:sz="0" w:space="0" w:color="auto"/>
            <w:bottom w:val="none" w:sz="0" w:space="0" w:color="auto"/>
            <w:right w:val="none" w:sz="0" w:space="0" w:color="auto"/>
          </w:divBdr>
        </w:div>
      </w:divsChild>
    </w:div>
    <w:div w:id="1387492605">
      <w:bodyDiv w:val="1"/>
      <w:marLeft w:val="0"/>
      <w:marRight w:val="0"/>
      <w:marTop w:val="0"/>
      <w:marBottom w:val="0"/>
      <w:divBdr>
        <w:top w:val="none" w:sz="0" w:space="0" w:color="auto"/>
        <w:left w:val="none" w:sz="0" w:space="0" w:color="auto"/>
        <w:bottom w:val="none" w:sz="0" w:space="0" w:color="auto"/>
        <w:right w:val="none" w:sz="0" w:space="0" w:color="auto"/>
      </w:divBdr>
      <w:divsChild>
        <w:div w:id="157313236">
          <w:marLeft w:val="0"/>
          <w:marRight w:val="0"/>
          <w:marTop w:val="0"/>
          <w:marBottom w:val="0"/>
          <w:divBdr>
            <w:top w:val="none" w:sz="0" w:space="0" w:color="auto"/>
            <w:left w:val="none" w:sz="0" w:space="0" w:color="auto"/>
            <w:bottom w:val="none" w:sz="0" w:space="0" w:color="auto"/>
            <w:right w:val="none" w:sz="0" w:space="0" w:color="auto"/>
          </w:divBdr>
        </w:div>
        <w:div w:id="833303117">
          <w:marLeft w:val="0"/>
          <w:marRight w:val="0"/>
          <w:marTop w:val="0"/>
          <w:marBottom w:val="0"/>
          <w:divBdr>
            <w:top w:val="none" w:sz="0" w:space="0" w:color="auto"/>
            <w:left w:val="none" w:sz="0" w:space="0" w:color="auto"/>
            <w:bottom w:val="none" w:sz="0" w:space="0" w:color="auto"/>
            <w:right w:val="none" w:sz="0" w:space="0" w:color="auto"/>
          </w:divBdr>
        </w:div>
      </w:divsChild>
    </w:div>
    <w:div w:id="1456752971">
      <w:bodyDiv w:val="1"/>
      <w:marLeft w:val="0"/>
      <w:marRight w:val="0"/>
      <w:marTop w:val="0"/>
      <w:marBottom w:val="0"/>
      <w:divBdr>
        <w:top w:val="none" w:sz="0" w:space="0" w:color="auto"/>
        <w:left w:val="none" w:sz="0" w:space="0" w:color="auto"/>
        <w:bottom w:val="none" w:sz="0" w:space="0" w:color="auto"/>
        <w:right w:val="none" w:sz="0" w:space="0" w:color="auto"/>
      </w:divBdr>
    </w:div>
    <w:div w:id="1469712660">
      <w:bodyDiv w:val="1"/>
      <w:marLeft w:val="0"/>
      <w:marRight w:val="0"/>
      <w:marTop w:val="0"/>
      <w:marBottom w:val="0"/>
      <w:divBdr>
        <w:top w:val="none" w:sz="0" w:space="0" w:color="auto"/>
        <w:left w:val="none" w:sz="0" w:space="0" w:color="auto"/>
        <w:bottom w:val="none" w:sz="0" w:space="0" w:color="auto"/>
        <w:right w:val="none" w:sz="0" w:space="0" w:color="auto"/>
      </w:divBdr>
      <w:divsChild>
        <w:div w:id="1594825020">
          <w:marLeft w:val="0"/>
          <w:marRight w:val="0"/>
          <w:marTop w:val="0"/>
          <w:marBottom w:val="0"/>
          <w:divBdr>
            <w:top w:val="none" w:sz="0" w:space="0" w:color="auto"/>
            <w:left w:val="none" w:sz="0" w:space="0" w:color="auto"/>
            <w:bottom w:val="none" w:sz="0" w:space="0" w:color="auto"/>
            <w:right w:val="none" w:sz="0" w:space="0" w:color="auto"/>
          </w:divBdr>
        </w:div>
        <w:div w:id="859590114">
          <w:marLeft w:val="0"/>
          <w:marRight w:val="0"/>
          <w:marTop w:val="0"/>
          <w:marBottom w:val="0"/>
          <w:divBdr>
            <w:top w:val="none" w:sz="0" w:space="0" w:color="auto"/>
            <w:left w:val="none" w:sz="0" w:space="0" w:color="auto"/>
            <w:bottom w:val="none" w:sz="0" w:space="0" w:color="auto"/>
            <w:right w:val="none" w:sz="0" w:space="0" w:color="auto"/>
          </w:divBdr>
        </w:div>
        <w:div w:id="1766538455">
          <w:marLeft w:val="0"/>
          <w:marRight w:val="0"/>
          <w:marTop w:val="0"/>
          <w:marBottom w:val="0"/>
          <w:divBdr>
            <w:top w:val="none" w:sz="0" w:space="0" w:color="auto"/>
            <w:left w:val="none" w:sz="0" w:space="0" w:color="auto"/>
            <w:bottom w:val="none" w:sz="0" w:space="0" w:color="auto"/>
            <w:right w:val="none" w:sz="0" w:space="0" w:color="auto"/>
          </w:divBdr>
        </w:div>
        <w:div w:id="803474544">
          <w:marLeft w:val="0"/>
          <w:marRight w:val="0"/>
          <w:marTop w:val="0"/>
          <w:marBottom w:val="0"/>
          <w:divBdr>
            <w:top w:val="none" w:sz="0" w:space="0" w:color="auto"/>
            <w:left w:val="none" w:sz="0" w:space="0" w:color="auto"/>
            <w:bottom w:val="none" w:sz="0" w:space="0" w:color="auto"/>
            <w:right w:val="none" w:sz="0" w:space="0" w:color="auto"/>
          </w:divBdr>
        </w:div>
        <w:div w:id="1072046947">
          <w:marLeft w:val="0"/>
          <w:marRight w:val="0"/>
          <w:marTop w:val="0"/>
          <w:marBottom w:val="0"/>
          <w:divBdr>
            <w:top w:val="none" w:sz="0" w:space="0" w:color="auto"/>
            <w:left w:val="none" w:sz="0" w:space="0" w:color="auto"/>
            <w:bottom w:val="none" w:sz="0" w:space="0" w:color="auto"/>
            <w:right w:val="none" w:sz="0" w:space="0" w:color="auto"/>
          </w:divBdr>
        </w:div>
        <w:div w:id="293143890">
          <w:marLeft w:val="0"/>
          <w:marRight w:val="0"/>
          <w:marTop w:val="0"/>
          <w:marBottom w:val="0"/>
          <w:divBdr>
            <w:top w:val="none" w:sz="0" w:space="0" w:color="auto"/>
            <w:left w:val="none" w:sz="0" w:space="0" w:color="auto"/>
            <w:bottom w:val="none" w:sz="0" w:space="0" w:color="auto"/>
            <w:right w:val="none" w:sz="0" w:space="0" w:color="auto"/>
          </w:divBdr>
        </w:div>
        <w:div w:id="567347905">
          <w:marLeft w:val="0"/>
          <w:marRight w:val="0"/>
          <w:marTop w:val="0"/>
          <w:marBottom w:val="0"/>
          <w:divBdr>
            <w:top w:val="none" w:sz="0" w:space="0" w:color="auto"/>
            <w:left w:val="none" w:sz="0" w:space="0" w:color="auto"/>
            <w:bottom w:val="none" w:sz="0" w:space="0" w:color="auto"/>
            <w:right w:val="none" w:sz="0" w:space="0" w:color="auto"/>
          </w:divBdr>
        </w:div>
        <w:div w:id="507328884">
          <w:marLeft w:val="0"/>
          <w:marRight w:val="0"/>
          <w:marTop w:val="0"/>
          <w:marBottom w:val="0"/>
          <w:divBdr>
            <w:top w:val="none" w:sz="0" w:space="0" w:color="auto"/>
            <w:left w:val="none" w:sz="0" w:space="0" w:color="auto"/>
            <w:bottom w:val="none" w:sz="0" w:space="0" w:color="auto"/>
            <w:right w:val="none" w:sz="0" w:space="0" w:color="auto"/>
          </w:divBdr>
        </w:div>
        <w:div w:id="961768864">
          <w:marLeft w:val="0"/>
          <w:marRight w:val="0"/>
          <w:marTop w:val="0"/>
          <w:marBottom w:val="0"/>
          <w:divBdr>
            <w:top w:val="none" w:sz="0" w:space="0" w:color="auto"/>
            <w:left w:val="none" w:sz="0" w:space="0" w:color="auto"/>
            <w:bottom w:val="none" w:sz="0" w:space="0" w:color="auto"/>
            <w:right w:val="none" w:sz="0" w:space="0" w:color="auto"/>
          </w:divBdr>
        </w:div>
        <w:div w:id="1113742056">
          <w:marLeft w:val="0"/>
          <w:marRight w:val="0"/>
          <w:marTop w:val="0"/>
          <w:marBottom w:val="0"/>
          <w:divBdr>
            <w:top w:val="none" w:sz="0" w:space="0" w:color="auto"/>
            <w:left w:val="none" w:sz="0" w:space="0" w:color="auto"/>
            <w:bottom w:val="none" w:sz="0" w:space="0" w:color="auto"/>
            <w:right w:val="none" w:sz="0" w:space="0" w:color="auto"/>
          </w:divBdr>
        </w:div>
        <w:div w:id="556472630">
          <w:marLeft w:val="0"/>
          <w:marRight w:val="0"/>
          <w:marTop w:val="0"/>
          <w:marBottom w:val="0"/>
          <w:divBdr>
            <w:top w:val="none" w:sz="0" w:space="0" w:color="auto"/>
            <w:left w:val="none" w:sz="0" w:space="0" w:color="auto"/>
            <w:bottom w:val="none" w:sz="0" w:space="0" w:color="auto"/>
            <w:right w:val="none" w:sz="0" w:space="0" w:color="auto"/>
          </w:divBdr>
        </w:div>
        <w:div w:id="1108236432">
          <w:marLeft w:val="0"/>
          <w:marRight w:val="0"/>
          <w:marTop w:val="0"/>
          <w:marBottom w:val="0"/>
          <w:divBdr>
            <w:top w:val="none" w:sz="0" w:space="0" w:color="auto"/>
            <w:left w:val="none" w:sz="0" w:space="0" w:color="auto"/>
            <w:bottom w:val="none" w:sz="0" w:space="0" w:color="auto"/>
            <w:right w:val="none" w:sz="0" w:space="0" w:color="auto"/>
          </w:divBdr>
        </w:div>
        <w:div w:id="553780712">
          <w:marLeft w:val="0"/>
          <w:marRight w:val="0"/>
          <w:marTop w:val="0"/>
          <w:marBottom w:val="0"/>
          <w:divBdr>
            <w:top w:val="none" w:sz="0" w:space="0" w:color="auto"/>
            <w:left w:val="none" w:sz="0" w:space="0" w:color="auto"/>
            <w:bottom w:val="none" w:sz="0" w:space="0" w:color="auto"/>
            <w:right w:val="none" w:sz="0" w:space="0" w:color="auto"/>
          </w:divBdr>
        </w:div>
        <w:div w:id="773331848">
          <w:marLeft w:val="0"/>
          <w:marRight w:val="0"/>
          <w:marTop w:val="0"/>
          <w:marBottom w:val="0"/>
          <w:divBdr>
            <w:top w:val="none" w:sz="0" w:space="0" w:color="auto"/>
            <w:left w:val="none" w:sz="0" w:space="0" w:color="auto"/>
            <w:bottom w:val="none" w:sz="0" w:space="0" w:color="auto"/>
            <w:right w:val="none" w:sz="0" w:space="0" w:color="auto"/>
          </w:divBdr>
        </w:div>
        <w:div w:id="1101415051">
          <w:marLeft w:val="0"/>
          <w:marRight w:val="0"/>
          <w:marTop w:val="0"/>
          <w:marBottom w:val="0"/>
          <w:divBdr>
            <w:top w:val="none" w:sz="0" w:space="0" w:color="auto"/>
            <w:left w:val="none" w:sz="0" w:space="0" w:color="auto"/>
            <w:bottom w:val="none" w:sz="0" w:space="0" w:color="auto"/>
            <w:right w:val="none" w:sz="0" w:space="0" w:color="auto"/>
          </w:divBdr>
        </w:div>
        <w:div w:id="1651058745">
          <w:marLeft w:val="0"/>
          <w:marRight w:val="0"/>
          <w:marTop w:val="0"/>
          <w:marBottom w:val="0"/>
          <w:divBdr>
            <w:top w:val="none" w:sz="0" w:space="0" w:color="auto"/>
            <w:left w:val="none" w:sz="0" w:space="0" w:color="auto"/>
            <w:bottom w:val="none" w:sz="0" w:space="0" w:color="auto"/>
            <w:right w:val="none" w:sz="0" w:space="0" w:color="auto"/>
          </w:divBdr>
        </w:div>
        <w:div w:id="385180895">
          <w:marLeft w:val="0"/>
          <w:marRight w:val="0"/>
          <w:marTop w:val="0"/>
          <w:marBottom w:val="0"/>
          <w:divBdr>
            <w:top w:val="none" w:sz="0" w:space="0" w:color="auto"/>
            <w:left w:val="none" w:sz="0" w:space="0" w:color="auto"/>
            <w:bottom w:val="none" w:sz="0" w:space="0" w:color="auto"/>
            <w:right w:val="none" w:sz="0" w:space="0" w:color="auto"/>
          </w:divBdr>
        </w:div>
      </w:divsChild>
    </w:div>
    <w:div w:id="1649430623">
      <w:bodyDiv w:val="1"/>
      <w:marLeft w:val="0"/>
      <w:marRight w:val="0"/>
      <w:marTop w:val="0"/>
      <w:marBottom w:val="0"/>
      <w:divBdr>
        <w:top w:val="none" w:sz="0" w:space="0" w:color="auto"/>
        <w:left w:val="none" w:sz="0" w:space="0" w:color="auto"/>
        <w:bottom w:val="none" w:sz="0" w:space="0" w:color="auto"/>
        <w:right w:val="none" w:sz="0" w:space="0" w:color="auto"/>
      </w:divBdr>
    </w:div>
    <w:div w:id="1704094822">
      <w:bodyDiv w:val="1"/>
      <w:marLeft w:val="0"/>
      <w:marRight w:val="0"/>
      <w:marTop w:val="0"/>
      <w:marBottom w:val="0"/>
      <w:divBdr>
        <w:top w:val="none" w:sz="0" w:space="0" w:color="auto"/>
        <w:left w:val="none" w:sz="0" w:space="0" w:color="auto"/>
        <w:bottom w:val="none" w:sz="0" w:space="0" w:color="auto"/>
        <w:right w:val="none" w:sz="0" w:space="0" w:color="auto"/>
      </w:divBdr>
      <w:divsChild>
        <w:div w:id="2016031158">
          <w:marLeft w:val="0"/>
          <w:marRight w:val="0"/>
          <w:marTop w:val="0"/>
          <w:marBottom w:val="0"/>
          <w:divBdr>
            <w:top w:val="none" w:sz="0" w:space="0" w:color="auto"/>
            <w:left w:val="none" w:sz="0" w:space="0" w:color="auto"/>
            <w:bottom w:val="none" w:sz="0" w:space="0" w:color="auto"/>
            <w:right w:val="none" w:sz="0" w:space="0" w:color="auto"/>
          </w:divBdr>
        </w:div>
        <w:div w:id="395664800">
          <w:marLeft w:val="0"/>
          <w:marRight w:val="0"/>
          <w:marTop w:val="0"/>
          <w:marBottom w:val="0"/>
          <w:divBdr>
            <w:top w:val="none" w:sz="0" w:space="0" w:color="auto"/>
            <w:left w:val="none" w:sz="0" w:space="0" w:color="auto"/>
            <w:bottom w:val="none" w:sz="0" w:space="0" w:color="auto"/>
            <w:right w:val="none" w:sz="0" w:space="0" w:color="auto"/>
          </w:divBdr>
        </w:div>
      </w:divsChild>
    </w:div>
    <w:div w:id="1924951670">
      <w:bodyDiv w:val="1"/>
      <w:marLeft w:val="0"/>
      <w:marRight w:val="0"/>
      <w:marTop w:val="0"/>
      <w:marBottom w:val="0"/>
      <w:divBdr>
        <w:top w:val="none" w:sz="0" w:space="0" w:color="auto"/>
        <w:left w:val="none" w:sz="0" w:space="0" w:color="auto"/>
        <w:bottom w:val="none" w:sz="0" w:space="0" w:color="auto"/>
        <w:right w:val="none" w:sz="0" w:space="0" w:color="auto"/>
      </w:divBdr>
    </w:div>
    <w:div w:id="1951626752">
      <w:bodyDiv w:val="1"/>
      <w:marLeft w:val="0"/>
      <w:marRight w:val="0"/>
      <w:marTop w:val="0"/>
      <w:marBottom w:val="0"/>
      <w:divBdr>
        <w:top w:val="none" w:sz="0" w:space="0" w:color="auto"/>
        <w:left w:val="none" w:sz="0" w:space="0" w:color="auto"/>
        <w:bottom w:val="none" w:sz="0" w:space="0" w:color="auto"/>
        <w:right w:val="none" w:sz="0" w:space="0" w:color="auto"/>
      </w:divBdr>
    </w:div>
    <w:div w:id="21229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D2D01-29FE-49A1-BD81-D549AF143659}">
  <ds:schemaRefs>
    <ds:schemaRef ds:uri="office.server.policy"/>
  </ds:schemaRefs>
</ds:datastoreItem>
</file>

<file path=customXml/itemProps2.xml><?xml version="1.0" encoding="utf-8"?>
<ds:datastoreItem xmlns:ds="http://schemas.openxmlformats.org/officeDocument/2006/customXml" ds:itemID="{C5BD6222-BB49-426A-8D05-EF7156D27C7A}">
  <ds:schemaRefs>
    <ds:schemaRef ds:uri="http://schemas.microsoft.com/sharepoint/v3/contenttype/forms"/>
  </ds:schemaRefs>
</ds:datastoreItem>
</file>

<file path=customXml/itemProps3.xml><?xml version="1.0" encoding="utf-8"?>
<ds:datastoreItem xmlns:ds="http://schemas.openxmlformats.org/officeDocument/2006/customXml" ds:itemID="{7869B738-02A8-4196-A78C-7120225E8097}">
  <ds:schemaRefs>
    <ds:schemaRef ds:uri="http://schemas.microsoft.com/office/2006/metadata/properties"/>
    <ds:schemaRef ds:uri="http://schemas.microsoft.com/office/infopath/2007/PartnerControls"/>
    <ds:schemaRef ds:uri="25173920-bf43-43cc-9123-1897e847dfc2"/>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F1DAD605-8DF1-4FE5-BAED-A7585BE56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89756C-1989-4FEE-95DF-6B593E4F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17</Pages>
  <Words>4124</Words>
  <Characters>35760</Characters>
  <Application>Microsoft Office Word</Application>
  <DocSecurity>0</DocSecurity>
  <Lines>586</Lines>
  <Paragraphs>209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2019-01-07T10:51:00Z</dcterms:created>
  <dcterms:modified xsi:type="dcterms:W3CDTF">2019-01-08T08:50:00Z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0x010100258AA79CEB83498886A3A0868112325000D33D44CF0C8FEB45875F235DEEF2E1B9</vt:lpwstr>
  </property>
  <property fmtid="{D5CDD505-2E9C-101B-9397-08002B2CF9AE}" pid="9" name="DQCStatus">
    <vt:lpwstr>Green (DQC version 03)</vt:lpwstr>
  </property>
</Properties>
</file>