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EF3FC803-A0E0-4FBD-9651-58D504472A51" style="width:450.75pt;height:333.7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34" w:right="1417" w:bottom="1134" w:left="1417" w:header="709" w:footer="709" w:gutter="0"/>
          <w:pgNumType w:start="1"/>
          <w:cols w:space="720"/>
          <w:docGrid w:linePitch="326"/>
        </w:sectPr>
      </w:pPr>
    </w:p>
    <w:p>
      <w:pPr>
        <w:pStyle w:val="Heading"/>
        <w:numPr>
          <w:ilvl w:val="0"/>
          <w:numId w:val="33"/>
        </w:numPr>
        <w:rPr>
          <w:noProof/>
        </w:rPr>
      </w:pPr>
      <w:bookmarkStart w:id="1" w:name="_GoBack"/>
      <w:bookmarkEnd w:id="1"/>
      <w:r>
        <w:rPr>
          <w:noProof/>
        </w:rPr>
        <w:t>Introduzzjoni</w:t>
      </w:r>
    </w:p>
    <w:p>
      <w:pPr>
        <w:jc w:val="both"/>
        <w:rPr>
          <w:noProof/>
        </w:rPr>
      </w:pPr>
      <w:r>
        <w:rPr>
          <w:noProof/>
        </w:rPr>
        <w:t>L-enerġija hija kruċjali għall-ħajja tagħna ta’ kuljum: mid-dwal li nixgħelu filgħodu sas-sewqan lura d-dar wara x-xogħol filgħaxija; mit-tisħin tad-djar tagħna u t-tħaddim ta’ sptarijiet, skejjel u uffiċċji sal-operazzjonijiet industrijali. It-tranżizzjoni lejn enerġija nadifa hija essenzjali sabiex it-tibdil fil-klima jiġi indirizzat b’mod sostanzjali. Il-prestazzjoni ekonomika tagħna u r-relazzjonijiet ġeopolitiċi globali tagħna huma msawra mill-enerġija. Għalhekk, il-monitoraġġ u l-fehim tal-motivaturi tal-passat u tal-ġejjieni tal-prezzijiet u l-kostijiet tal-enerġija jipprovdu informazzjoni ta’ sfond kruċjali għad-diskussjonijiet dwar il-politika tal-enerġija u tal-klima u għall-iżviluppi ekonomiċi fl-UE.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Is-settur tal-enerġija u l-politika tal-enerġija qegħdin jevolvu sabiex jippermettu t-tranżizzjoni lejn enerġija nadifa. Fl-UE u l-Istati Membri tagħha, qegħdin jiġu implimentati pjanijiet u perkorsi sabiex jintlaħqu l-miri miftiehma dwar l-enerġija u l-klima għall-2030, id-disinn tas-swieq tal-elettriku u tal-gass qiegħed jevolvi u qed jiġi implimentat it-titjib. Il-politiki u l-miżuri għall-appoġġ tal-innovazzjoni u l-investiment qegħdin jiżviluppaw kontinwament u l-Kummissjoni Ewropea reċentement adottat l-istrateġija fit-tul tagħha għat-tnaqqis tal-emissjonijiet tal-gassijiet serra sal-2050</w:t>
      </w:r>
      <w:r>
        <w:rPr>
          <w:rStyle w:val="FootnoteReference"/>
          <w:noProof/>
        </w:rPr>
        <w:footnoteReference w:id="2"/>
      </w:r>
      <w:r>
        <w:rPr>
          <w:noProof/>
        </w:rPr>
        <w:t>, skont l-impenji tal-Ftehim ta’ Pariġi dwar il-Klima.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Dan ir-rapport, u d-dokument ta’ ħidma tal-persunal li jakkumpanjah, jippreżenta </w:t>
      </w:r>
      <w:r>
        <w:rPr>
          <w:i/>
          <w:noProof/>
        </w:rPr>
        <w:t>data</w:t>
      </w:r>
      <w:r>
        <w:rPr>
          <w:noProof/>
        </w:rPr>
        <w:t xml:space="preserve"> dettaljata u analiżi tax-xejriet fil-prezzijiet u l-kostijiet tal-enerġija għall-unitajiet domestiċi u l-industrija, għall-prodotti tal-elettriku, tal-gass u taż-żejt fl-UE kollha, fl-Istati Membri u fis-sħab kummerċjali tagħna. Ir-rapport jeżamina wkoll id-</w:t>
      </w:r>
      <w:r>
        <w:rPr>
          <w:i/>
          <w:noProof/>
        </w:rPr>
        <w:t>data</w:t>
      </w:r>
      <w:r>
        <w:rPr>
          <w:noProof/>
        </w:rPr>
        <w:t xml:space="preserve"> dwar it-tassazzjoni, id-dħul u s-sussidji fuq l-enerġija. Il-biċċa l-kbira tad-</w:t>
      </w:r>
      <w:r>
        <w:rPr>
          <w:i/>
          <w:noProof/>
        </w:rPr>
        <w:t>data</w:t>
      </w:r>
      <w:r>
        <w:rPr>
          <w:noProof/>
        </w:rPr>
        <w:t xml:space="preserve"> tar-rapport ġejja mill-Eurostat (issupplimentata minn studji settorjali u </w:t>
      </w:r>
      <w:r>
        <w:rPr>
          <w:i/>
          <w:noProof/>
        </w:rPr>
        <w:t>data</w:t>
      </w:r>
      <w:r>
        <w:rPr>
          <w:noProof/>
        </w:rPr>
        <w:t xml:space="preserve"> oħra miġbura speċifikament). Ħarsa lejn ix-xejriet fil-prezzijiet tgħin sabiex jiġu vvalutati l-kompetizzjoni u r-relazzjonijiet bejn il-produtturi u l-konsumaturi fis-swieq tal-enerġija. Ħarsa lejn ix-xejriet fil-kostijiet tgħin sabiex jiġi vvalutat l-impatt fuq il-prekarjetà enerġetika, fuq il-kompetittività industrijali u l-affordabbiltà tal-enerġija b’mod ġenerali u fuq l-effiċjenza tad-disinni tas-suq. Din tgħin ukoll sabiex tiġi vvalutata l-effikaċja tar-reġimi ta’ sussidji, il-konsegwenzi għall-baġits u d-dħul nazzjonali u l-ħtiġijiet għall-investiment fis-settur Ewropew tal-enerġija fi tranżizzjoni.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Dan ir-rapport jenfasizza l-volatilità kontinwa tal-prezzijiet tal-enerġija, partikolarment dawk għal prezzijiet tal-fjuwils fossili stabbiliti globalment, li ż-żidiet reċenti fil-prezzijiet tagħhom għandhom impatt sinifikanti fuq l-ekonomija tal-UE u jgħollu l-kont tal-enerġija tal-UE. Iż-żidiet fil-prezzijiet jenfasizzaw ir-raġunament ekonomiku b’saħħtu għad-dekarbonizzazzjoni tal-UE u jżidu l-benefiċċji ekonomiċi tad-dekarbonizzazzjoni. Ir-rapport jivvaluta wkoll it-titjib kontinwu fit-tħaddim tas-swieq tal-enerġija tal-Ewropa u l-qafas leġiżlattiv relatat. Dan huwa importanti minħabba li swieq tal-enerġija effiċjenti se jbaxxu l-kostijiet tal-enerġija, iżommu l-industrija kompetittiva, iżda wkoll jipprovdu d-dħul meħtieġ sabiex fil-ġejjieni jiġi ffinanzjat investiment kbir fis-settur.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L-esplorazzjoni tar-rapport dwar il-kostijiet tal-enerġija tenfasizza l-ħtieġa li jiġu protetti unitajiet domestiċi vulnerabbli u li jiġi żgurat li l-industrija ma titqiegħedx fi żvantaġġ u titbiegħed. L-indirizzar ta’ dawn l-aspetti tranżitorji u distributtivi tat-tranżizzjoni tal-enerġija se jiżgura li t-tranżizzjoni u l-kisba mill-UE tal-impenji tagħha tal-Ftehim ta’ Pariġi dwar il-Klima jipprovdu opportunitajiet ekonomiċi kemm għall-industrija kif ukoll għall-unitajiet domestiċi bl-istess mod.</w:t>
      </w:r>
    </w:p>
    <w:p>
      <w:pPr>
        <w:pStyle w:val="Heading"/>
        <w:numPr>
          <w:ilvl w:val="0"/>
          <w:numId w:val="36"/>
        </w:numPr>
        <w:rPr>
          <w:noProof/>
        </w:rPr>
      </w:pPr>
      <w:r>
        <w:rPr>
          <w:noProof/>
        </w:rPr>
        <w:t>Xejriet fil-prezzijiet tal-enerġija</w:t>
      </w:r>
    </w:p>
    <w:p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Dan ir-rapport jipprovdi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u evidenza dwar ix-xejriet tal-prezzijiet bl-ingrossa u bl-imnut għal prodotti tal-elettriku, tal-gass u tal-petroleum, għall-UE, l-Istati Membri u ċerti pajjiżi tal-G20. </w:t>
      </w:r>
    </w:p>
    <w:p>
      <w:pPr>
        <w:pStyle w:val="Heading"/>
        <w:numPr>
          <w:ilvl w:val="1"/>
          <w:numId w:val="33"/>
        </w:numPr>
        <w:rPr>
          <w:noProof/>
        </w:rPr>
      </w:pPr>
      <w:r>
        <w:rPr>
          <w:noProof/>
        </w:rPr>
        <w:t>Prezzijiet tal-elettriku</w:t>
      </w:r>
    </w:p>
    <w:p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Fis-suq tal-elettriku bl-ingrossa, iż-żieda fl-akkoppjarment tas-swieq u l-interkonnetturi qiegħda b’mod ċar toħloq konverġenza tal-prezzijiet (indikazzjoni ta’ swieq iktar effiċjenti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>), ħlief matul żidiet qawwija u tnaqqis estrem fil-prezz meta d-differenzi fil-provvista lokali jkunu kbar wisq biex jiġu aġġustati fost l-Istati Membri. Filwaqt li ż-żieda fil-penetrazzjoni tal-enerġija rinnovabbli ġeneralment tnaqqas il-prezzijiet fis-swieq spot, ix-xejriet globali tal-prezzijiet għadhom iddominati mill-prezzijiet tal-faħam u tal-gass, li ġeneralment jiffissaw il-prezz marġinali u huma responsabbli, pereżempju, għaż-żieda fil-prezz mis-sajf tal-2016 (aggravat mix-xitwa estrema tal-bidu tal-2017).</w:t>
      </w:r>
    </w:p>
    <w:p>
      <w:pPr>
        <w:keepNext/>
        <w:jc w:val="center"/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56910" cy="33740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37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b/>
          <w:i w:val="0"/>
          <w:noProof/>
          <w:color w:val="auto"/>
          <w:sz w:val="16"/>
          <w:szCs w:val="16"/>
        </w:rPr>
      </w:pPr>
      <w:bookmarkStart w:id="2" w:name="_Toc525807762"/>
      <w:bookmarkStart w:id="3" w:name="_Toc525817286"/>
      <w:r>
        <w:rPr>
          <w:b/>
          <w:i w:val="0"/>
          <w:noProof/>
          <w:color w:val="auto"/>
        </w:rPr>
        <w:t xml:space="preserve">Illustrazzjoni </w:t>
      </w:r>
      <w:r>
        <w:rPr>
          <w:b/>
          <w:i w:val="0"/>
          <w:noProof/>
          <w:color w:val="auto"/>
        </w:rPr>
        <w:fldChar w:fldCharType="begin"/>
      </w:r>
      <w:r>
        <w:rPr>
          <w:b/>
          <w:i w:val="0"/>
          <w:noProof/>
          <w:color w:val="auto"/>
        </w:rPr>
        <w:instrText xml:space="preserve"> SEQ Figure \* ARABIC </w:instrText>
      </w:r>
      <w:r>
        <w:rPr>
          <w:b/>
          <w:i w:val="0"/>
          <w:noProof/>
          <w:color w:val="auto"/>
        </w:rPr>
        <w:fldChar w:fldCharType="separate"/>
      </w:r>
      <w:r>
        <w:rPr>
          <w:b/>
          <w:i w:val="0"/>
          <w:noProof/>
          <w:color w:val="auto"/>
        </w:rPr>
        <w:t>1</w:t>
      </w:r>
      <w:r>
        <w:rPr>
          <w:b/>
          <w:i w:val="0"/>
          <w:noProof/>
          <w:color w:val="auto"/>
        </w:rPr>
        <w:fldChar w:fldCharType="end"/>
      </w:r>
      <w:r>
        <w:rPr>
          <w:b/>
          <w:i w:val="0"/>
          <w:noProof/>
          <w:color w:val="auto"/>
        </w:rPr>
        <w:t xml:space="preserve"> — </w:t>
      </w:r>
      <w:r>
        <w:rPr>
          <w:b/>
          <w:i w:val="0"/>
          <w:noProof/>
          <w:color w:val="auto"/>
          <w:sz w:val="16"/>
        </w:rPr>
        <w:t xml:space="preserve">Prezzijiet tal-elettriku bl-ingrossa fix-xahar; firxa ta’ prezzijiet massimi u minimi </w:t>
      </w:r>
      <w:bookmarkEnd w:id="2"/>
      <w:bookmarkEnd w:id="3"/>
      <w:r>
        <w:rPr>
          <w:b/>
          <w:i w:val="0"/>
          <w:noProof/>
          <w:color w:val="auto"/>
        </w:rPr>
        <w:t>—</w:t>
      </w:r>
      <w:r>
        <w:rPr>
          <w:b/>
          <w:i w:val="0"/>
          <w:noProof/>
          <w:color w:val="auto"/>
          <w:sz w:val="16"/>
        </w:rPr>
        <w:t xml:space="preserve"> Sorsi: Platts, Swieq tal-enerġija Ewropej</w:t>
      </w:r>
    </w:p>
    <w:p>
      <w:pPr>
        <w:spacing w:after="240"/>
        <w:jc w:val="both"/>
        <w:rPr>
          <w:noProof/>
        </w:rPr>
      </w:pPr>
      <w:r>
        <w:rPr>
          <w:noProof/>
        </w:rPr>
        <w:t>Il-paraguni internazzjonali jkomplu juru li l-prezzijiet reali tal-elettriku bl-ingrossa tal-UE huma iktar għoljin minn dawk fl-Istati Uniti, il-Kanada jew ir-Russja (fejn l-enerġija hija pprovduta l-iktar permezz ta’ idroġenu u fjuwils fossili indiġeni), iżda inqas minn dawk fiċ-Ċina, il-Ġappun, il-Brażil u t-Turkija.</w:t>
      </w:r>
    </w:p>
    <w:p>
      <w:pPr>
        <w:spacing w:after="240"/>
        <w:jc w:val="both"/>
        <w:rPr>
          <w:noProof/>
        </w:rPr>
      </w:pPr>
      <w:r>
        <w:rPr>
          <w:noProof/>
        </w:rPr>
        <w:t xml:space="preserve">Fl-2017, il-prezzijiet tal-bejgħ bl-imnut tal-unitajiet domestiċi tal-UE naqsu għall-ewwel darba mill-2008. Ix-xejra ta’ żidiet fil-ħlasijiet u t-taxxi tan-netwerk, u l-imposti waqfet. L-imposti ma żdiedux, parzjalment minħabba t-tnaqqis fil-kostijiet unitarji tal-investimenti fl-enerġija rinnovabbli li naqqsu d-dħul meħtieġ sabiex isir investiment. It-taxxi u l-imposti jiffurmaw 40 % tal-prezzijiet medji tal-elettriku tal-UE. </w:t>
      </w:r>
    </w:p>
    <w:p>
      <w:pPr>
        <w:pStyle w:val="Caption"/>
        <w:jc w:val="center"/>
        <w:rPr>
          <w:b/>
          <w:i w:val="0"/>
          <w:noProof/>
          <w:color w:val="auto"/>
        </w:rPr>
      </w:pPr>
    </w:p>
    <w:p>
      <w:pPr>
        <w:pStyle w:val="Caption"/>
        <w:jc w:val="center"/>
        <w:rPr>
          <w:b/>
          <w:i w:val="0"/>
          <w:noProof/>
          <w:color w:val="auto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56910" cy="156018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b/>
          <w:i w:val="0"/>
          <w:noProof/>
          <w:color w:val="auto"/>
        </w:rPr>
      </w:pPr>
      <w:r>
        <w:rPr>
          <w:b/>
          <w:i w:val="0"/>
          <w:noProof/>
          <w:color w:val="auto"/>
        </w:rPr>
        <w:t xml:space="preserve">Illustrazzjoni </w:t>
      </w:r>
      <w:r>
        <w:rPr>
          <w:b/>
          <w:i w:val="0"/>
          <w:noProof/>
          <w:color w:val="auto"/>
        </w:rPr>
        <w:fldChar w:fldCharType="begin"/>
      </w:r>
      <w:r>
        <w:rPr>
          <w:b/>
          <w:i w:val="0"/>
          <w:noProof/>
          <w:color w:val="auto"/>
        </w:rPr>
        <w:instrText xml:space="preserve"> SEQ Figure \* ARABIC </w:instrText>
      </w:r>
      <w:r>
        <w:rPr>
          <w:b/>
          <w:i w:val="0"/>
          <w:noProof/>
          <w:color w:val="auto"/>
        </w:rPr>
        <w:fldChar w:fldCharType="separate"/>
      </w:r>
      <w:r>
        <w:rPr>
          <w:b/>
          <w:i w:val="0"/>
          <w:noProof/>
          <w:color w:val="auto"/>
        </w:rPr>
        <w:t>2</w:t>
      </w:r>
      <w:r>
        <w:rPr>
          <w:b/>
          <w:i w:val="0"/>
          <w:noProof/>
          <w:color w:val="auto"/>
        </w:rPr>
        <w:fldChar w:fldCharType="end"/>
      </w:r>
      <w:r>
        <w:rPr>
          <w:b/>
          <w:i w:val="0"/>
          <w:noProof/>
          <w:color w:val="auto"/>
        </w:rPr>
        <w:t xml:space="preserve"> — Il-prezzijiet tal-elettriku tal-unitajiet domestiċi fl-2017 (l-iktar medda rappreżentattiva ta’ konsum) — Sors: DĠ ENER ġbir ta’ </w:t>
      </w:r>
      <w:r>
        <w:rPr>
          <w:b/>
          <w:noProof/>
          <w:color w:val="auto"/>
        </w:rPr>
        <w:t>data</w:t>
      </w:r>
      <w:r>
        <w:rPr>
          <w:b/>
          <w:i w:val="0"/>
          <w:noProof/>
          <w:color w:val="auto"/>
        </w:rPr>
        <w:t xml:space="preserve"> intern</w:t>
      </w:r>
      <w:r>
        <w:rPr>
          <w:rStyle w:val="FootnoteReference"/>
          <w:b/>
          <w:i w:val="0"/>
          <w:noProof/>
          <w:color w:val="auto"/>
        </w:rPr>
        <w:footnoteReference w:id="4"/>
      </w:r>
    </w:p>
    <w:p>
      <w:pPr>
        <w:spacing w:after="120"/>
        <w:jc w:val="both"/>
        <w:rPr>
          <w:noProof/>
        </w:rPr>
      </w:pPr>
      <w:r>
        <w:rPr>
          <w:noProof/>
        </w:rPr>
        <w:t xml:space="preserve">Il-prezzijiet tal-industrija (unitajiet mhux domestiċi) ilhom jonqsu mill-2015 minħabba komponenti tal-prezz tal-enerġija iktar baxxi. Ħafna drabi, (għal raġunijiet ta’ kompetittività) l-industrija tiffaċċja taxxi u imposti tal-elettriku iktar baxxi mill-unitajiet domestiċi jew hija eżenti minnhom, u tiffaċċja wkoll ħlasijiet tan-netwerk iktar baxxi. </w:t>
      </w:r>
    </w:p>
    <w:p>
      <w:pPr>
        <w:spacing w:after="120"/>
        <w:jc w:val="both"/>
        <w:rPr>
          <w:noProof/>
        </w:rPr>
      </w:pPr>
    </w:p>
    <w:p>
      <w:pPr>
        <w:pStyle w:val="Caption"/>
        <w:jc w:val="center"/>
        <w:rPr>
          <w:b/>
          <w:i w:val="0"/>
          <w:noProof/>
          <w:color w:val="auto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56910" cy="2357388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b/>
          <w:i w:val="0"/>
          <w:noProof/>
          <w:color w:val="auto"/>
        </w:rPr>
      </w:pPr>
      <w:r>
        <w:rPr>
          <w:b/>
          <w:i w:val="0"/>
          <w:noProof/>
          <w:color w:val="auto"/>
        </w:rPr>
        <w:t xml:space="preserve">Illustrazzjoni </w:t>
      </w:r>
      <w:r>
        <w:rPr>
          <w:b/>
          <w:i w:val="0"/>
          <w:noProof/>
        </w:rPr>
        <w:fldChar w:fldCharType="begin"/>
      </w:r>
      <w:r>
        <w:rPr>
          <w:b/>
          <w:i w:val="0"/>
          <w:noProof/>
          <w:color w:val="auto"/>
        </w:rPr>
        <w:instrText xml:space="preserve"> SEQ Figure \* ARABIC </w:instrText>
      </w:r>
      <w:r>
        <w:rPr>
          <w:b/>
          <w:i w:val="0"/>
          <w:noProof/>
        </w:rPr>
        <w:fldChar w:fldCharType="separate"/>
      </w:r>
      <w:r>
        <w:rPr>
          <w:b/>
          <w:i w:val="0"/>
          <w:noProof/>
          <w:color w:val="auto"/>
        </w:rPr>
        <w:t>3</w:t>
      </w:r>
      <w:r>
        <w:rPr>
          <w:b/>
          <w:i w:val="0"/>
          <w:noProof/>
        </w:rPr>
        <w:fldChar w:fldCharType="end"/>
      </w:r>
      <w:r>
        <w:rPr>
          <w:b/>
          <w:i w:val="0"/>
          <w:noProof/>
          <w:color w:val="auto"/>
        </w:rPr>
        <w:t xml:space="preserve"> — Prezzijiet tal-elettriku industrijali fl-2017 — Sors: DĠ ENER ġbir ta’ </w:t>
      </w:r>
      <w:r>
        <w:rPr>
          <w:b/>
          <w:noProof/>
          <w:color w:val="auto"/>
        </w:rPr>
        <w:t>data</w:t>
      </w:r>
      <w:r>
        <w:rPr>
          <w:b/>
          <w:i w:val="0"/>
          <w:noProof/>
          <w:color w:val="auto"/>
        </w:rPr>
        <w:t xml:space="preserve"> intern   </w:t>
      </w:r>
    </w:p>
    <w:p>
      <w:pPr>
        <w:pStyle w:val="Caption"/>
        <w:jc w:val="both"/>
        <w:rPr>
          <w:i w:val="0"/>
          <w:iCs w:val="0"/>
          <w:noProof/>
          <w:color w:val="auto"/>
          <w:sz w:val="24"/>
          <w:szCs w:val="24"/>
        </w:rPr>
      </w:pPr>
      <w:r>
        <w:rPr>
          <w:i w:val="0"/>
          <w:noProof/>
          <w:color w:val="auto"/>
          <w:sz w:val="24"/>
        </w:rPr>
        <w:t>B’kunsiderazzjoni tal-appoġġ mogħti lill-industrija u t-tħassib ġenerali li l-industrija Ewropea għandha tkun tista’ tikkompeti b’mod ġust fis-swieq internazzjonali, huwa utli wkoll li jiġi esplorat it-tqabbil tal-prezzijiet bl-imnut tal-UE ma’ dawk tas-sħab kummerċjali internazzjonali. L-iktar tqabbil reċenti juri li b’mod ġenerali x-xejra storika tibqa’ l-istess: Il-prezzijiet (reali) bl-imnut tal-UE huma ogħla minn dawk fl-Istati Uniti, il-Kanada, ir-Russja, iċ-Ċina u t-Turkija, iżda inqas minn dawk fil-Ġappun u l-Brażil. Il-prezzijiet bl-imnut ġeneralment huma inqas volatili mis-swieq bl-ingrossa peress li l-bejjiegħa bl-imnut jipprovdu l-iktar kuntratti ta’ prezz fiss bi ftit ipprezzar dinamiku sabiex jirriflettu l-kostijiet reali tal-provvista tal-enerġija viżibbli fil-prezzijiet bl-ingrossa.</w:t>
      </w:r>
    </w:p>
    <w:p>
      <w:pPr>
        <w:jc w:val="center"/>
        <w:rPr>
          <w:noProof/>
          <w:highlight w:val="yellow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56910" cy="31315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3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b/>
          <w:i w:val="0"/>
          <w:noProof/>
          <w:color w:val="auto"/>
        </w:rPr>
      </w:pPr>
      <w:bookmarkStart w:id="4" w:name="_Ref525115701"/>
      <w:bookmarkStart w:id="5" w:name="_Toc525807879"/>
      <w:bookmarkStart w:id="6" w:name="_Toc525817407"/>
      <w:r>
        <w:rPr>
          <w:b/>
          <w:i w:val="0"/>
          <w:noProof/>
          <w:color w:val="auto"/>
        </w:rPr>
        <w:t xml:space="preserve">Illustrazzjoni </w:t>
      </w:r>
      <w:r>
        <w:rPr>
          <w:b/>
          <w:i w:val="0"/>
          <w:noProof/>
          <w:color w:val="auto"/>
        </w:rPr>
        <w:fldChar w:fldCharType="begin"/>
      </w:r>
      <w:r>
        <w:rPr>
          <w:b/>
          <w:i w:val="0"/>
          <w:noProof/>
          <w:color w:val="auto"/>
        </w:rPr>
        <w:instrText xml:space="preserve"> SEQ Figure \* ARABIC </w:instrText>
      </w:r>
      <w:r>
        <w:rPr>
          <w:b/>
          <w:i w:val="0"/>
          <w:noProof/>
          <w:color w:val="auto"/>
        </w:rPr>
        <w:fldChar w:fldCharType="separate"/>
      </w:r>
      <w:r>
        <w:rPr>
          <w:b/>
          <w:i w:val="0"/>
          <w:noProof/>
          <w:color w:val="auto"/>
        </w:rPr>
        <w:t>4</w:t>
      </w:r>
      <w:r>
        <w:rPr>
          <w:b/>
          <w:i w:val="0"/>
          <w:noProof/>
          <w:color w:val="auto"/>
        </w:rPr>
        <w:fldChar w:fldCharType="end"/>
      </w:r>
      <w:r>
        <w:rPr>
          <w:b/>
          <w:i w:val="0"/>
          <w:noProof/>
          <w:color w:val="auto"/>
        </w:rPr>
        <w:t xml:space="preserve"> — Prezzijiet tal-elettriku bl-imnut għall-industrija</w:t>
      </w:r>
      <w:bookmarkEnd w:id="4"/>
      <w:bookmarkEnd w:id="5"/>
      <w:bookmarkEnd w:id="6"/>
      <w:r>
        <w:rPr>
          <w:b/>
          <w:i w:val="0"/>
          <w:noProof/>
          <w:color w:val="auto"/>
        </w:rPr>
        <w:t xml:space="preserve"> — Sorsi: Eurostat, CEIC u AIE</w:t>
      </w:r>
    </w:p>
    <w:p>
      <w:pPr>
        <w:ind w:left="284"/>
        <w:jc w:val="both"/>
        <w:rPr>
          <w:noProof/>
        </w:rPr>
      </w:pPr>
      <w:r>
        <w:rPr>
          <w:noProof/>
        </w:rPr>
        <w:t>Il-bidliet fil-prezzijiet tal-elettriku huma ddominati minn taxxi u imposti (li sa ftit ilu kienu qiegħdin jogħlew), għalkemm sar tnaqqis reċenti żgħir minn tnaqqis għal żmien qasir fil-prezzijiet tal-gass u tariffi tan-netwerk stabbli.</w:t>
      </w:r>
    </w:p>
    <w:p>
      <w:pPr>
        <w:ind w:left="284"/>
        <w:jc w:val="both"/>
        <w:rPr>
          <w:noProof/>
        </w:rPr>
      </w:pPr>
    </w:p>
    <w:p>
      <w:pPr>
        <w:jc w:val="both"/>
        <w:rPr>
          <w:noProof/>
        </w:rPr>
      </w:pPr>
    </w:p>
    <w:p>
      <w:pPr>
        <w:pStyle w:val="Heading"/>
        <w:numPr>
          <w:ilvl w:val="1"/>
          <w:numId w:val="33"/>
        </w:numPr>
        <w:ind w:left="0" w:firstLine="0"/>
        <w:rPr>
          <w:noProof/>
        </w:rPr>
      </w:pPr>
      <w:r>
        <w:rPr>
          <w:noProof/>
        </w:rPr>
        <w:t xml:space="preserve">Prezzijiet tal-gass </w:t>
      </w:r>
    </w:p>
    <w:p>
      <w:pPr>
        <w:pStyle w:val="ListParagraph"/>
        <w:spacing w:after="0" w:line="240" w:lineRule="auto"/>
        <w:ind w:left="360"/>
        <w:jc w:val="both"/>
        <w:rPr>
          <w:noProof/>
          <w:sz w:val="24"/>
          <w:szCs w:val="24"/>
        </w:rPr>
      </w:pPr>
      <w:r>
        <w:rPr>
          <w:noProof/>
          <w:sz w:val="24"/>
        </w:rPr>
        <w:t>Filwaqt li l-prezzijiet tal-elettriku huma parzjalment stabbiliti bħala riżultat tal-prezzijiet tal-fjuwils fossili (b’fatturi oħrajn, iktar nazzjonali jew reġjonali li jsawru l-prezz ukoll), il-prezzijiet tal-gass naturali huma bbażati fuq il-prezzijiet globali tal-fjuwils fossili — inkluż taż-żejt. Ovvjament id-dispersjoni kbira bejn il-prezzijiet tal-gass fl-2011-2014 naqset bit-tkabbir tas-swieq tal-LNG globali u provvisti oħrajn; madankollu, reċentement, l-irkupru ekonomiku u ż-żieda fil-prezzijiet taż-żejt wasslu għal prezzijiet tal-gass iktar għoljin. Kif innotat mill-President Juncker f’Lulju 2018, l-UE tibqa’ suq miftuħ għal żieda fl-esportazzjonijiet tal-gass tal-Istati Uniti</w:t>
      </w:r>
      <w:r>
        <w:rPr>
          <w:rStyle w:val="FootnoteReference"/>
          <w:noProof/>
          <w:sz w:val="24"/>
        </w:rPr>
        <w:footnoteReference w:id="5"/>
      </w:r>
      <w:r>
        <w:rPr>
          <w:noProof/>
          <w:sz w:val="24"/>
        </w:rPr>
        <w:t xml:space="preserve">. Il-konverġenza tal-prezzijiet Ewropej u Asjatiċi fix-xhur tar-rebbiegħa u tas-sajf tista’ tkun partikolarment vantaġġuża sabiex timtela l-ħażna. Il-pajjiżi produtturi (l-Istati Uniti, ir-Russja, il-Kanada) għad għandhom l-iktar baxxi baxxi mill-importaturi netti (il-Ġappun, iċ-Ċina, il-Korea), bl-UE tinsab fin-nofs. </w:t>
      </w:r>
    </w:p>
    <w:p>
      <w:pPr>
        <w:pStyle w:val="Caption"/>
        <w:jc w:val="center"/>
        <w:rPr>
          <w:b/>
          <w:i w:val="0"/>
          <w:noProof/>
          <w:color w:val="auto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56910" cy="3745584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4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Toc525807806"/>
      <w:bookmarkStart w:id="8" w:name="_Toc525817331"/>
    </w:p>
    <w:p>
      <w:pPr>
        <w:pStyle w:val="Caption"/>
        <w:jc w:val="center"/>
        <w:rPr>
          <w:b/>
          <w:i w:val="0"/>
          <w:noProof/>
          <w:color w:val="auto"/>
          <w:sz w:val="24"/>
          <w:szCs w:val="24"/>
        </w:rPr>
      </w:pPr>
      <w:r>
        <w:rPr>
          <w:b/>
          <w:i w:val="0"/>
          <w:noProof/>
          <w:color w:val="auto"/>
        </w:rPr>
        <w:t xml:space="preserve">Illustrazzjoni </w:t>
      </w:r>
      <w:r>
        <w:rPr>
          <w:b/>
          <w:i w:val="0"/>
          <w:noProof/>
          <w:color w:val="auto"/>
        </w:rPr>
        <w:fldChar w:fldCharType="begin"/>
      </w:r>
      <w:r>
        <w:rPr>
          <w:b/>
          <w:i w:val="0"/>
          <w:noProof/>
          <w:color w:val="auto"/>
        </w:rPr>
        <w:instrText xml:space="preserve"> SEQ Figure \* ARABIC </w:instrText>
      </w:r>
      <w:r>
        <w:rPr>
          <w:b/>
          <w:i w:val="0"/>
          <w:noProof/>
          <w:color w:val="auto"/>
        </w:rPr>
        <w:fldChar w:fldCharType="separate"/>
      </w:r>
      <w:r>
        <w:rPr>
          <w:b/>
          <w:i w:val="0"/>
          <w:noProof/>
          <w:color w:val="auto"/>
        </w:rPr>
        <w:t>5</w:t>
      </w:r>
      <w:r>
        <w:rPr>
          <w:b/>
          <w:i w:val="0"/>
          <w:noProof/>
          <w:color w:val="auto"/>
        </w:rPr>
        <w:fldChar w:fldCharType="end"/>
      </w:r>
      <w:r>
        <w:rPr>
          <w:b/>
          <w:i w:val="0"/>
          <w:noProof/>
          <w:color w:val="auto"/>
        </w:rPr>
        <w:t xml:space="preserve"> — Prezzijiet tal-gass bl-ingrossa Ewropej, tal-Istati Uniti u Ġappuniżi</w:t>
      </w:r>
      <w:bookmarkEnd w:id="7"/>
      <w:bookmarkEnd w:id="8"/>
      <w:r>
        <w:rPr>
          <w:b/>
          <w:i w:val="0"/>
          <w:noProof/>
          <w:color w:val="auto"/>
        </w:rPr>
        <w:t xml:space="preserve"> — Sorsi: Platts, Thomson Reuters</w:t>
      </w:r>
    </w:p>
    <w:p>
      <w:pPr>
        <w:pStyle w:val="ListParagraph"/>
        <w:spacing w:after="120" w:line="240" w:lineRule="auto"/>
        <w:ind w:left="360"/>
        <w:jc w:val="both"/>
        <w:rPr>
          <w:noProof/>
          <w:sz w:val="16"/>
          <w:szCs w:val="16"/>
        </w:rPr>
      </w:pPr>
    </w:p>
    <w:p>
      <w:pPr>
        <w:spacing w:after="120"/>
        <w:jc w:val="both"/>
        <w:rPr>
          <w:noProof/>
        </w:rPr>
      </w:pPr>
      <w:r>
        <w:rPr>
          <w:noProof/>
        </w:rPr>
        <w:t>Is-swieq tal-gass bl-ingrossa tal-UE huma ntaxxati b’rati iktar baxxi għan-negozju, għal raġunijiet ta’ kompetittività, u għall-unitajiet domestiċi f’xi Stati Membri, fejn il-gass kien is-sors ewlieni ta’ tisħin tal-unitajiet domestiċi u għalhekk ħtieġa primarja. Għalhekk fil-biċċa l-kbira, il-prezzijiet bl-imnut huma ddeterminati mill-prezzijiet bl-ingrossa u l-komponent tal-enerġija jammonta għal 80 % tal-prezz. F’termini assoluti, il-komponent tal-enerġija naqas b’2.4 % fis-sena għall-konsumaturi industrijali u sar 11 % inqas mifrux matul l-aħħar għaxar snin li jindika l-progress lejn it-tlestija tas-suq uniku tal-gass. Interessanti wkoll li wieħed jinnota t-taxxi u l-imposti l-iktar baxxi li jiffaċċjaw il-konsumaturi industrijali kbar tal-enerġija, meta mqabbla mal-konsumaturi industrijali medji tal-enerġija.</w:t>
      </w:r>
    </w:p>
    <w:p>
      <w:pPr>
        <w:pStyle w:val="ListParagraph"/>
        <w:spacing w:after="0" w:line="240" w:lineRule="auto"/>
        <w:ind w:left="0"/>
        <w:jc w:val="center"/>
        <w:rPr>
          <w:noProof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56910" cy="190615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b/>
          <w:i w:val="0"/>
          <w:noProof/>
          <w:color w:val="auto"/>
        </w:rPr>
      </w:pPr>
      <w:r>
        <w:rPr>
          <w:b/>
          <w:i w:val="0"/>
          <w:noProof/>
          <w:color w:val="auto"/>
        </w:rPr>
        <w:t xml:space="preserve">Illustrazzjoni </w:t>
      </w:r>
      <w:r>
        <w:rPr>
          <w:b/>
          <w:i w:val="0"/>
          <w:noProof/>
          <w:color w:val="auto"/>
        </w:rPr>
        <w:fldChar w:fldCharType="begin"/>
      </w:r>
      <w:r>
        <w:rPr>
          <w:b/>
          <w:i w:val="0"/>
          <w:noProof/>
          <w:color w:val="auto"/>
        </w:rPr>
        <w:instrText xml:space="preserve"> SEQ Figure \* ARABIC </w:instrText>
      </w:r>
      <w:r>
        <w:rPr>
          <w:b/>
          <w:i w:val="0"/>
          <w:noProof/>
          <w:color w:val="auto"/>
        </w:rPr>
        <w:fldChar w:fldCharType="separate"/>
      </w:r>
      <w:r>
        <w:rPr>
          <w:b/>
          <w:i w:val="0"/>
          <w:noProof/>
          <w:color w:val="auto"/>
        </w:rPr>
        <w:t>6</w:t>
      </w:r>
      <w:r>
        <w:rPr>
          <w:b/>
          <w:i w:val="0"/>
          <w:noProof/>
          <w:color w:val="auto"/>
        </w:rPr>
        <w:fldChar w:fldCharType="end"/>
      </w:r>
      <w:r>
        <w:rPr>
          <w:b/>
          <w:i w:val="0"/>
          <w:noProof/>
          <w:color w:val="auto"/>
        </w:rPr>
        <w:t xml:space="preserve"> — Prezzijiet tal-gass tal-unitajiet domestiċi fl-2017 — Sorsi: DĠ ENER ġbir ta’ </w:t>
      </w:r>
      <w:r>
        <w:rPr>
          <w:b/>
          <w:noProof/>
          <w:color w:val="auto"/>
        </w:rPr>
        <w:t>data</w:t>
      </w:r>
      <w:r>
        <w:rPr>
          <w:b/>
          <w:i w:val="0"/>
          <w:noProof/>
          <w:color w:val="auto"/>
        </w:rPr>
        <w:t xml:space="preserve"> intern</w:t>
      </w:r>
      <w:r>
        <w:rPr>
          <w:rStyle w:val="FootnoteReference"/>
          <w:b/>
          <w:i w:val="0"/>
          <w:noProof/>
          <w:color w:val="auto"/>
        </w:rPr>
        <w:footnoteReference w:id="6"/>
      </w:r>
    </w:p>
    <w:p>
      <w:pPr>
        <w:rPr>
          <w:b/>
          <w:i/>
          <w:noProof/>
        </w:rPr>
      </w:pPr>
    </w:p>
    <w:p>
      <w:pPr>
        <w:pStyle w:val="ListParagraph"/>
        <w:spacing w:after="0" w:line="240" w:lineRule="auto"/>
        <w:ind w:left="360"/>
        <w:jc w:val="both"/>
        <w:rPr>
          <w:noProof/>
          <w:sz w:val="24"/>
          <w:szCs w:val="24"/>
        </w:rPr>
      </w:pPr>
    </w:p>
    <w:p>
      <w:pPr>
        <w:pStyle w:val="ListParagraph"/>
        <w:spacing w:after="0" w:line="240" w:lineRule="auto"/>
        <w:ind w:left="360"/>
        <w:jc w:val="both"/>
        <w:rPr>
          <w:noProof/>
          <w:sz w:val="24"/>
          <w:szCs w:val="24"/>
        </w:rPr>
      </w:pPr>
    </w:p>
    <w:p>
      <w:pPr>
        <w:pStyle w:val="ListParagraph"/>
        <w:spacing w:after="0" w:line="240" w:lineRule="auto"/>
        <w:ind w:left="0"/>
        <w:jc w:val="center"/>
        <w:rPr>
          <w:noProof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56910" cy="1808403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0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b/>
          <w:i w:val="0"/>
          <w:noProof/>
          <w:color w:val="auto"/>
        </w:rPr>
      </w:pPr>
      <w:bookmarkStart w:id="9" w:name="_Toc525807815"/>
      <w:bookmarkStart w:id="10" w:name="_Toc525817340"/>
      <w:r>
        <w:rPr>
          <w:b/>
          <w:i w:val="0"/>
          <w:noProof/>
          <w:color w:val="auto"/>
        </w:rPr>
        <w:t xml:space="preserve">Illustrazzjoni </w:t>
      </w:r>
      <w:r>
        <w:rPr>
          <w:b/>
          <w:i w:val="0"/>
          <w:noProof/>
          <w:color w:val="auto"/>
        </w:rPr>
        <w:fldChar w:fldCharType="begin"/>
      </w:r>
      <w:r>
        <w:rPr>
          <w:b/>
          <w:i w:val="0"/>
          <w:noProof/>
          <w:color w:val="auto"/>
        </w:rPr>
        <w:instrText xml:space="preserve"> SEQ Figure \* ARABIC </w:instrText>
      </w:r>
      <w:r>
        <w:rPr>
          <w:b/>
          <w:i w:val="0"/>
          <w:noProof/>
          <w:color w:val="auto"/>
        </w:rPr>
        <w:fldChar w:fldCharType="separate"/>
      </w:r>
      <w:r>
        <w:rPr>
          <w:b/>
          <w:i w:val="0"/>
          <w:noProof/>
          <w:color w:val="auto"/>
        </w:rPr>
        <w:t>7</w:t>
      </w:r>
      <w:r>
        <w:rPr>
          <w:b/>
          <w:i w:val="0"/>
          <w:noProof/>
          <w:color w:val="auto"/>
        </w:rPr>
        <w:fldChar w:fldCharType="end"/>
      </w:r>
      <w:r>
        <w:rPr>
          <w:b/>
          <w:i w:val="0"/>
          <w:noProof/>
          <w:color w:val="auto"/>
        </w:rPr>
        <w:t xml:space="preserve"> — Prezzijiet tal-gass industrijali medji u kbar fl-2017</w:t>
      </w:r>
      <w:bookmarkEnd w:id="9"/>
      <w:bookmarkEnd w:id="10"/>
      <w:r>
        <w:rPr>
          <w:b/>
          <w:i w:val="0"/>
          <w:noProof/>
          <w:color w:val="auto"/>
        </w:rPr>
        <w:t xml:space="preserve"> — Sors: DĠ ENER ġbir ta’ </w:t>
      </w:r>
      <w:r>
        <w:rPr>
          <w:b/>
          <w:noProof/>
          <w:color w:val="auto"/>
        </w:rPr>
        <w:t>data</w:t>
      </w:r>
      <w:r>
        <w:rPr>
          <w:b/>
          <w:i w:val="0"/>
          <w:noProof/>
          <w:color w:val="auto"/>
        </w:rPr>
        <w:t xml:space="preserve"> intern</w:t>
      </w:r>
    </w:p>
    <w:p>
      <w:pPr>
        <w:jc w:val="both"/>
        <w:rPr>
          <w:noProof/>
        </w:rPr>
      </w:pPr>
    </w:p>
    <w:p>
      <w:pPr>
        <w:pStyle w:val="Heading"/>
        <w:numPr>
          <w:ilvl w:val="1"/>
          <w:numId w:val="33"/>
        </w:numPr>
        <w:ind w:left="0" w:firstLine="0"/>
        <w:rPr>
          <w:noProof/>
        </w:rPr>
      </w:pPr>
      <w:bookmarkStart w:id="11" w:name="_Toc524619494"/>
      <w:bookmarkStart w:id="12" w:name="_Toc524961041"/>
      <w:bookmarkStart w:id="13" w:name="_Toc525143006"/>
      <w:bookmarkStart w:id="14" w:name="_Toc525222163"/>
      <w:bookmarkStart w:id="15" w:name="_Toc525222332"/>
      <w:bookmarkStart w:id="16" w:name="_Toc525223784"/>
      <w:r>
        <w:rPr>
          <w:noProof/>
        </w:rPr>
        <w:t>Prezzijiet taż-żejt</w:t>
      </w:r>
      <w:bookmarkEnd w:id="11"/>
      <w:bookmarkEnd w:id="12"/>
      <w:bookmarkEnd w:id="13"/>
      <w:bookmarkEnd w:id="14"/>
      <w:bookmarkEnd w:id="15"/>
      <w:bookmarkEnd w:id="16"/>
      <w:r>
        <w:rPr>
          <w:noProof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noProof/>
        </w:rPr>
      </w:pPr>
      <w:r>
        <w:rPr>
          <w:noProof/>
        </w:rPr>
        <w:t xml:space="preserve">Wara t-tnaqqis fil-prezzijiet fl-2014-2016, il-prezzijiet taż-żejt mhux raffinat ġeneralment reġgħu qegħdin jiżdiedu. Iż-żieda li bdiet fir-rebbiegħa tal-2016, kienet immotivata minn fatturi globali (it-tkabbir fid-domanda, l-imġiba strateġika tal-OPEC, it-tensjonijiet tal-Lvant Nofsani, it-tħabbira tas-sanzjonijiet tal-Istati Uniti fuq l-Iran, eċċ.). L-iżviluppi fir-rata tal-kambju jżidu wkoll mal-inċertezza tal-prezzijiet, minħabba li s-swieq globali tal-enerġija huma komunement denominati f’dollari Amerikani pjuttost milli bbażati fuq l-euro.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noProof/>
        </w:rPr>
      </w:pPr>
      <w:r>
        <w:rPr>
          <w:noProof/>
        </w:rPr>
        <w:t xml:space="preserve">L-ishma fiskali relattivament għoljin tal-prezzijiet bl-imnut tal-prodotti taż-żejt fl-Istati Membri tal-UE jnaqqsu l-impatt tal-volatilità tal-prezz taż-żejt. Madankollu, sa nofs l-2018, il-prezzijiet bl-imnut reġgħu lura għal-livelli tal-2015. </w:t>
      </w:r>
    </w:p>
    <w:p>
      <w:pPr>
        <w:tabs>
          <w:tab w:val="left" w:pos="1474"/>
        </w:tabs>
        <w:jc w:val="center"/>
        <w:outlineLvl w:val="5"/>
        <w:rPr>
          <w:bCs/>
          <w:i/>
          <w:noProof/>
          <w:color w:val="000000" w:themeColor="text1"/>
          <w:sz w:val="18"/>
          <w:szCs w:val="18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56910" cy="293447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93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" w:name="_Toc525807821"/>
      <w:bookmarkStart w:id="18" w:name="_Toc525817347"/>
    </w:p>
    <w:p>
      <w:pPr>
        <w:pStyle w:val="Caption"/>
        <w:jc w:val="center"/>
        <w:rPr>
          <w:b/>
          <w:i w:val="0"/>
          <w:noProof/>
          <w:color w:val="auto"/>
        </w:rPr>
      </w:pPr>
      <w:r>
        <w:rPr>
          <w:b/>
          <w:i w:val="0"/>
          <w:noProof/>
          <w:color w:val="auto"/>
        </w:rPr>
        <w:t xml:space="preserve">Illustrazzjoni </w:t>
      </w:r>
      <w:r>
        <w:rPr>
          <w:b/>
          <w:i w:val="0"/>
          <w:noProof/>
          <w:color w:val="auto"/>
        </w:rPr>
        <w:fldChar w:fldCharType="begin"/>
      </w:r>
      <w:r>
        <w:rPr>
          <w:b/>
          <w:i w:val="0"/>
          <w:noProof/>
          <w:color w:val="auto"/>
        </w:rPr>
        <w:instrText xml:space="preserve"> SEQ Figure \* ARABIC </w:instrText>
      </w:r>
      <w:r>
        <w:rPr>
          <w:b/>
          <w:i w:val="0"/>
          <w:noProof/>
          <w:color w:val="auto"/>
        </w:rPr>
        <w:fldChar w:fldCharType="separate"/>
      </w:r>
      <w:r>
        <w:rPr>
          <w:b/>
          <w:i w:val="0"/>
          <w:noProof/>
          <w:color w:val="auto"/>
        </w:rPr>
        <w:t>8</w:t>
      </w:r>
      <w:r>
        <w:rPr>
          <w:b/>
          <w:i w:val="0"/>
          <w:noProof/>
          <w:color w:val="auto"/>
        </w:rPr>
        <w:fldChar w:fldCharType="end"/>
      </w:r>
      <w:r>
        <w:rPr>
          <w:b/>
          <w:i w:val="0"/>
          <w:noProof/>
          <w:color w:val="auto"/>
        </w:rPr>
        <w:t xml:space="preserve"> — Prezzijiet bl-ingrossa Ewropej taż-żejt mhux raffinat (Brent) u petrol, diżil u żejt għat-tisħin — Sors: </w:t>
      </w:r>
      <w:bookmarkEnd w:id="17"/>
      <w:bookmarkEnd w:id="18"/>
      <w:r>
        <w:rPr>
          <w:b/>
          <w:i w:val="0"/>
          <w:noProof/>
          <w:color w:val="auto"/>
        </w:rPr>
        <w:t>Platts, BĊE</w:t>
      </w:r>
    </w:p>
    <w:p>
      <w:pPr>
        <w:spacing w:afterLines="60" w:after="144"/>
        <w:jc w:val="both"/>
        <w:rPr>
          <w:noProof/>
        </w:rPr>
      </w:pPr>
    </w:p>
    <w:p>
      <w:pPr>
        <w:spacing w:afterLines="60" w:after="144"/>
        <w:jc w:val="both"/>
        <w:rPr>
          <w:i/>
          <w:noProof/>
        </w:rPr>
      </w:pPr>
      <w:r>
        <w:rPr>
          <w:noProof/>
        </w:rPr>
        <w:t>Il-prezzijiet tal-fjuwils fossili li qegħdin jogħlew huma tfakkira u inċentiv għall-UE sabiex tiżdied l-effiċjenza enerġetika u jitħaffu l-isforzi ta’ dekarbonizzazzjoni u t-tranżizzjoni tal-enerġija. Il-prezzijiet taż-żejt u tal-gass huma stabbiliti fis-swieq globali. Dawn huma volatili skont il-bidliet fid-domanda u l-provvista globali, u ilhom jiżdiedu (b’mod ġenerali) mill-2016, filwaqt li jfakkru lil ħafna mill-Istati Membri tal-UE dwar il-pożizzjoni tagħhom “dipendenti fuq ix-xerrej” bħala importaturi netti. Il-prezzijiet tal-elettriku jvarjaw indirettament ukoll minħabba l-prezzijiet tal-fjuwils fossili. Għalhekk, l-UE għadha esposta għall-forzi esterni tas-suq u l-ġeopolitika, filwaqt li tħalli lill-industrija u lill-unitajiet domestiċi vulnerabbli għal bidliet fil-prezzijiet u taffettwa l-bilanċ kummerċjali u l-prestazzjoni tal-ekonomija ġenerali. L-immudellar tal-Kummissjoni Ewropea juri li l-prezzijiet taż-żejt ta’ medjament 75 US$/bittija fl-2018</w:t>
      </w:r>
      <w:r>
        <w:rPr>
          <w:rStyle w:val="FootnoteReference"/>
          <w:noProof/>
        </w:rPr>
        <w:footnoteReference w:id="7"/>
      </w:r>
      <w:r>
        <w:rPr>
          <w:noProof/>
        </w:rPr>
        <w:t>, inaqqsu l-PDG tal-UE b’madwar 0.4 % fl-2018 u fl-2019, u jżidu l-inflazzjoni b’0.6 punti perċentwali fl-2018, meta mqabblin ma’ dawk mistennija kieku l-prezzijiet taż-żejt baqgħu fil-livelli tal-2017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spacing w:afterLines="60" w:after="144"/>
        <w:jc w:val="both"/>
        <w:rPr>
          <w:noProof/>
        </w:rPr>
      </w:pPr>
      <w:r>
        <w:rPr>
          <w:noProof/>
        </w:rPr>
        <w:t xml:space="preserve">Ir-rispons tal-politika tal-UE sabiex tipproteġi lilha nnifisha kontra forzi bħal dawn jinkludi t-titjib tal-funzjonament tas-suq intern u d-dekarbonizzazzjoni tal-ekonomija Ewropea; il-politika tal-UE dwar l-enerġija u l-klima tnaqqas id-dipendenza fuq il-provvisti globali tal-fjuwils fossili. </w:t>
      </w:r>
    </w:p>
    <w:p>
      <w:pPr>
        <w:jc w:val="both"/>
        <w:rPr>
          <w:noProof/>
        </w:rPr>
      </w:pPr>
    </w:p>
    <w:p>
      <w:pPr>
        <w:pStyle w:val="Heading"/>
        <w:numPr>
          <w:ilvl w:val="0"/>
          <w:numId w:val="33"/>
        </w:numPr>
        <w:rPr>
          <w:noProof/>
        </w:rPr>
      </w:pPr>
      <w:r>
        <w:rPr>
          <w:noProof/>
        </w:rPr>
        <w:t>Kostijiet tal-enerġija</w:t>
      </w:r>
    </w:p>
    <w:p>
      <w:pPr>
        <w:pStyle w:val="BodyText"/>
        <w:rPr>
          <w:noProof/>
        </w:rPr>
      </w:pPr>
      <w:r>
        <w:rPr>
          <w:noProof/>
        </w:rPr>
        <w:t xml:space="preserve">Għall-unitajiet domestiċi u n-negozji tal-Ewropa, il-kost ġenerali tal-enerġija huwa l-element importanti (u mhux biss il-prezz) fil-każ tal-fehim tal-kwistjoni tal-affordabbiltà u l-kompetittività. Għall-kuntrarju tal-kapaċità tagħna li naffettwaw il-prezzijiet globali tal-fjuwils fossili, l-għażliet kosteffettivi sabiex jitnaqqas il-konsum u jinbidel it-tip ta’ enerġija li nikkunsmaw </w:t>
      </w:r>
      <w:r>
        <w:rPr>
          <w:i/>
          <w:noProof/>
        </w:rPr>
        <w:t>huma</w:t>
      </w:r>
      <w:r>
        <w:rPr>
          <w:noProof/>
        </w:rPr>
        <w:t xml:space="preserve"> disponibbli. </w:t>
      </w:r>
    </w:p>
    <w:p>
      <w:pPr>
        <w:pStyle w:val="BodyText"/>
        <w:rPr>
          <w:noProof/>
        </w:rPr>
      </w:pPr>
      <w:r>
        <w:rPr>
          <w:noProof/>
        </w:rPr>
        <w:t>Biex wieħed jifhem liema setturi u industriji għandhom jiġu appoġġati, u kif l-aħjar jiġu pprovduti politiki u miżuri għall-mitigazzjoni tal-effetti negattivi tal-kostijiet tal-enerġija, huwa utli li tiġi esplorata fid-dettall in-natura ta’ dawn il-kostijiet, kemm għall-unitajiet domestiċi kif ukoll għan-negozji, inklużi id-diversi industriji li jużaw ħafna l-enerġija.</w:t>
      </w:r>
    </w:p>
    <w:p>
      <w:pPr>
        <w:pStyle w:val="Heading"/>
        <w:numPr>
          <w:ilvl w:val="1"/>
          <w:numId w:val="33"/>
        </w:numPr>
        <w:ind w:left="0" w:firstLine="0"/>
        <w:rPr>
          <w:noProof/>
        </w:rPr>
      </w:pPr>
      <w:bookmarkStart w:id="19" w:name="_Toc449014769"/>
      <w:bookmarkStart w:id="20" w:name="_Toc449098099"/>
      <w:bookmarkStart w:id="21" w:name="_Toc468890458"/>
      <w:bookmarkStart w:id="22" w:name="_Toc524619505"/>
      <w:bookmarkStart w:id="23" w:name="_Toc524961052"/>
      <w:bookmarkStart w:id="24" w:name="_Toc525143017"/>
      <w:bookmarkStart w:id="25" w:name="_Toc525222174"/>
      <w:bookmarkStart w:id="26" w:name="_Toc525222343"/>
      <w:bookmarkStart w:id="27" w:name="_Toc525223795"/>
      <w:r>
        <w:rPr>
          <w:noProof/>
        </w:rPr>
        <w:t>Il-kont tal-enerġija tal-UE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noProof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noProof/>
        </w:rPr>
      </w:pPr>
      <w:r>
        <w:rPr>
          <w:noProof/>
        </w:rPr>
        <w:t>Biex nibdew minn perspettiva makroekonomika, indikatur ewlieni tal-impatt tal-prezzijiet globali tal-fjuwils fossili huwa l-“kont tal-importazzjoni” li l-UE tħallas lill-fornituri tal-fjuwils fossili f’pajjiżi oħrajn. Fl-2017, dan kien stmat li hu ta’ EUR 266 biljun, żieda ta’ 26 % meta mqabbel mal-2016 (iżda 34 % inqas mill-ammont massimu ta’ EUR 400 biljun tal-2013). Iż-żieda fil-prezz taż-żejt hija l-kawża ewlenija ta’ din iż-żieda fejn iż-żejt huwa responsabbli għal 68 % tal-kont totali tal-importazzjoni fl-2017, il-gass għal 28 %, u l-faħam għal 4 %.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i/>
          <w:noProof/>
        </w:rPr>
      </w:pPr>
      <w:r>
        <w:rPr>
          <w:noProof/>
        </w:rPr>
        <w:t>L-importazzjonijiet tal-fjuwils fossili għandhom impatt sinifikanti fuq il-bilanċ kummerċjali tal-UE, li jirrifletti d-dipendenza tal-UE fuq l-enerġija u jenfasizza l-kost ekonomiku tal-esponiment tal-fjuwils fossili. Il-kost għandu impatt dirett u sinifikanti fuq it-tkabbir ekonomiku ġenerali. L-UE għadha dipendenti ħafna fuq l-importazzjonijiet tal-fjuwils fossili u suġġetta għall-impatt ta’ prezzijiet volatili globali tal-fjuwils fossili (speċjalment taż-żejt). It-tnaqqis fl-importazzjonijiet tal-faħam u l-kontribuzzjoni tal-faħam fir-rigward tal-kont tal-importazzjoni huwa parzjalment attribwibbli għall-penetrazzjoni li dejjem qed tikber tal-enerġija rinnovabbli fit-taħlita elettrika tal-UE. Iżda għalkemm il-kont tal-enerġija naqas flimkien mal-prezzijiet globali taż-żejt u tal-gass, reġa’ beda jogħla hekk kif bdew jogħlew il-prezzijiet. U l-kont jista’ jikber saħansitra iktar malajr skont l-inċertezza u l-volatilità tar-rati tal-kambju mid-dollaru Amerikan għall-euro. Id-denominazzjoni tat-tranżazzjonijiet tal-komoditajiet tal-enerġija importati f’euro tista’ tgħin sabiex titnaqqas l-inċertezza tal-kostijiet tagħhom</w:t>
      </w:r>
      <w:r>
        <w:rPr>
          <w:rStyle w:val="FootnoteReference"/>
          <w:noProof/>
        </w:rPr>
        <w:footnoteReference w:id="9"/>
      </w:r>
      <w:r>
        <w:rPr>
          <w:noProof/>
        </w:rPr>
        <w:t>.</w:t>
      </w:r>
    </w:p>
    <w:p>
      <w:pPr>
        <w:pStyle w:val="Heading"/>
        <w:numPr>
          <w:ilvl w:val="1"/>
          <w:numId w:val="33"/>
        </w:numPr>
        <w:ind w:left="0" w:firstLine="0"/>
        <w:rPr>
          <w:noProof/>
        </w:rPr>
      </w:pPr>
      <w:r>
        <w:rPr>
          <w:noProof/>
        </w:rPr>
        <w:t>In-nefqa tal-unitajiet domestiċi fuq l-enerġija</w:t>
      </w:r>
    </w:p>
    <w:p>
      <w:pPr>
        <w:spacing w:after="120"/>
        <w:jc w:val="both"/>
        <w:rPr>
          <w:noProof/>
        </w:rPr>
      </w:pPr>
      <w:r>
        <w:rPr>
          <w:noProof/>
        </w:rPr>
        <w:t>L-unitajiet domestiċi tal-Ewropa jonfqu ammont varjabbli tad-dħul tagħhom fuq l-enerġija, skont in-nefqa ġenerali tal-unitajiet domestiċi tal-Istat Membru. Fl-2015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, 9.8 % tan-nefqa tal-ifqar għaxra fil-mija tal-unitajiet domestiċi intefqu fuq l-enerġija, eskluż it-trasport. L-unitajiet domestiċi bi dħul medju nefqu 6 % tan-nefqa tagħhom fuq l-enerġija, u l-unitajiet domestiċi bi dħul ogħla nefqu saħansitra inqas. Fl-UE jseħħu wkoll varjazzjonijiet, fejn unitajiet domestiċi Ewropej tat-Tramuntana u tal-Punent jonfqu 4-8 % u dawk Ewropej Ċentrali u tal-Lvant jonfqu 10-15 %.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noProof/>
        </w:rPr>
      </w:pPr>
      <w:r>
        <w:rPr>
          <w:noProof/>
        </w:rPr>
        <w:t>Il-miżuri li jindirizzaw il-faqar enerġetiku tradizzjonalment iffokaw fuq l-appoġġ tal-prezz jew it-tnaqqis tal-prezz. Intużaw prezzijiet irregolati sabiex jiġu stabbiliti prezzijiet tal-enerġija għal kulħadd. Din il-miżura mhix immirata lejn l-unitajiet domestiċi bi dħul baxx u ddgħajjef ukoll l-inċentivi tal-prezzijiet, kemm għall-produtturi kif ukoll għall-konsumaturi, filwaqt li tfixkel l-użu ta’ teknoloġiji bħal arloġġi intelliġenti. Il-kompetizzjoni tas-suq bl-imnut hija mistennija li ġġib dejjem iktar benefiċċji għall-unitajiet domestiċi kollha. B’mod partikolari, kumpaniji tal-elettriku bl-imnut f’diversi Stati Membri introduċew “kuntratti bi prezzijiet dinamiċi” li japprofittaw minn teknoloġiji ġodda sabiex jipprovdu pprezzar flessibbli u li jirrispondi għas-suq permezz ta’ servizzi awtomatizzati u arloġġi intelliġenti. Dan jista’ jagħti s-setgħa lill-unitajiet domestiċi u jnaqqas il-kont tal-enerġija tagħhom, anke mingħajr ma jkun hemm bżonn ta’ bidla fl-imġiba tagħhom. Għall-unitajiet domestiċi b’konsum modest tal-elettriku, l-użu ta’ dawn il-kuntratti ġie stmat li jwassal għal iffrankar annwali fil-firxa bejn it-22 % u s-70 % tal-komponent tal-provvista tal-enerġija fil-kont annwali. Fil-każ tal-gass naturali, huma mistennija biss benefiċċji kemm kemm iktar baxxi.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noProof/>
        </w:rPr>
      </w:pPr>
      <w:r>
        <w:rPr>
          <w:noProof/>
        </w:rPr>
        <w:t>Lil hinn mill-miżuri tal-ipprezzar tal-unitajiet domestiċi għall-immaiġġjar tal-prezzijiet tal-enerġija, l-UE tinsab fuq quddiem fid-dinja fir-rigward tal-politiki dwar l-effiċjenza enerġetika u l-miżuri għat-tnaqqis tal-kostijiet. L-użu ta’ tagħmir għall-effiċjenza enerġetika skont ir-reġim tal-ekodisinn u t-tikkettar tal-enerġija stabbilit mill-UE, u r-rinnovazzjonijiet tal-bini ffaċilitati mil-leġiżlazzjoni tal-UE u l-iskemi ta’ finanzjament nazzjonali u tal-UE, huma kollha mezzi sabiex jitnaqqas il-konsum tal-enerġija u b’hekk il-kontijiet tal-enerġija tal-unitajiet domestiċi.</w:t>
      </w:r>
    </w:p>
    <w:p>
      <w:pPr>
        <w:pStyle w:val="Heading"/>
        <w:numPr>
          <w:ilvl w:val="1"/>
          <w:numId w:val="33"/>
        </w:numPr>
        <w:ind w:left="0" w:firstLine="0"/>
        <w:rPr>
          <w:noProof/>
        </w:rPr>
      </w:pPr>
      <w:r>
        <w:rPr>
          <w:noProof/>
        </w:rPr>
        <w:t>Kostijiet tal-enerġija industrijali</w:t>
      </w:r>
    </w:p>
    <w:p>
      <w:pPr>
        <w:spacing w:after="120"/>
        <w:jc w:val="both"/>
        <w:rPr>
          <w:noProof/>
        </w:rPr>
      </w:pPr>
      <w:r>
        <w:rPr>
          <w:noProof/>
        </w:rPr>
        <w:t>Peress li huma tant sinifikanti għat-tkabbir ekonomiku u l-prosperità tal-Ewropa, il-kostijiet tal-enerġija għan-negozji Ewropej għandhom jiġu mmonitorjati wkoll. Il-firxa u l-impatt tal-kostijiet tal-enerġija jvarjaw b’mod wiesa’ bejn is-setturi differenti tal-ekonomija: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61"/>
        <w:gridCol w:w="2618"/>
      </w:tblGrid>
      <w:tr>
        <w:trPr>
          <w:jc w:val="center"/>
        </w:trPr>
        <w:tc>
          <w:tcPr>
            <w:tcW w:w="8079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Tabella 1 — Is-sehem tal-enerġija tal-kostijiet tal-produzzjoni tal-industrija fis-setturi kollha</w:t>
            </w:r>
          </w:p>
        </w:tc>
      </w:tr>
      <w:tr>
        <w:trPr>
          <w:jc w:val="center"/>
        </w:trPr>
        <w:tc>
          <w:tcPr>
            <w:tcW w:w="5461" w:type="dxa"/>
            <w:vAlign w:val="center"/>
          </w:tcPr>
          <w:p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Eżempji ta’ setturi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Sehem tal-enerġija tal-kostijiet tal-produzzjoni (firxa)</w:t>
            </w:r>
          </w:p>
        </w:tc>
      </w:tr>
      <w:tr>
        <w:trPr>
          <w:jc w:val="center"/>
        </w:trPr>
        <w:tc>
          <w:tcPr>
            <w:tcW w:w="5461" w:type="dxa"/>
          </w:tcPr>
          <w:p>
            <w:pPr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</w:rPr>
              <w:t xml:space="preserve">Negozju Ewropew medju </w:t>
            </w:r>
          </w:p>
        </w:tc>
        <w:tc>
          <w:tcPr>
            <w:tcW w:w="2618" w:type="dxa"/>
          </w:tcPr>
          <w:p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0-3 %</w:t>
            </w:r>
          </w:p>
        </w:tc>
      </w:tr>
      <w:tr>
        <w:trPr>
          <w:jc w:val="center"/>
        </w:trPr>
        <w:tc>
          <w:tcPr>
            <w:tcW w:w="5461" w:type="dxa"/>
          </w:tcPr>
          <w:p>
            <w:pPr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</w:rPr>
              <w:t xml:space="preserve">Kompjuters u elettronika, vetturi bil-mutur, tagħmir ieħor tat-trasport </w:t>
            </w:r>
          </w:p>
        </w:tc>
        <w:tc>
          <w:tcPr>
            <w:tcW w:w="2618" w:type="dxa"/>
          </w:tcPr>
          <w:p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1 %</w:t>
            </w:r>
          </w:p>
        </w:tc>
      </w:tr>
      <w:tr>
        <w:trPr>
          <w:jc w:val="center"/>
        </w:trPr>
        <w:tc>
          <w:tcPr>
            <w:tcW w:w="5461" w:type="dxa"/>
          </w:tcPr>
          <w:p>
            <w:pPr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</w:rPr>
              <w:t>Immaniġġjar tal-iskart u akkomodazzjoni u ristoranti</w:t>
            </w:r>
          </w:p>
        </w:tc>
        <w:tc>
          <w:tcPr>
            <w:tcW w:w="2618" w:type="dxa"/>
          </w:tcPr>
          <w:p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3-5 %</w:t>
            </w:r>
          </w:p>
        </w:tc>
      </w:tr>
      <w:tr>
        <w:trPr>
          <w:jc w:val="center"/>
        </w:trPr>
        <w:tc>
          <w:tcPr>
            <w:tcW w:w="5461" w:type="dxa"/>
          </w:tcPr>
          <w:p>
            <w:pPr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</w:rPr>
              <w:t>Setturi li jużaw ħafna l-enerġija fil-manifattura</w:t>
            </w:r>
          </w:p>
          <w:p>
            <w:pPr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</w:rPr>
              <w:t>Siment, ġir u ġibs, Materjali tal-bini tat-tafal, Polpa u karta, Ħġieġ, Ħadid u azzar, Sustanzi kimiċi bażiċi, Metalli li ma fihomx ħadid</w:t>
            </w:r>
          </w:p>
        </w:tc>
        <w:tc>
          <w:tcPr>
            <w:tcW w:w="2618" w:type="dxa"/>
          </w:tcPr>
          <w:p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3-20 % </w:t>
            </w:r>
          </w:p>
          <w:p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>
      <w:pPr>
        <w:jc w:val="center"/>
        <w:rPr>
          <w:b/>
          <w:noProof/>
          <w:sz w:val="18"/>
          <w:szCs w:val="18"/>
        </w:rPr>
      </w:pPr>
    </w:p>
    <w:p>
      <w:pPr>
        <w:jc w:val="center"/>
        <w:rPr>
          <w:noProof/>
        </w:rPr>
      </w:pPr>
      <w:r>
        <w:rPr>
          <w:b/>
          <w:noProof/>
          <w:sz w:val="18"/>
        </w:rPr>
        <w:t>Sors: Eurostat, Trinomics</w:t>
      </w:r>
      <w:bookmarkStart w:id="28" w:name="_Ref530413566"/>
      <w:r>
        <w:rPr>
          <w:rStyle w:val="FootnoteReference"/>
          <w:b/>
          <w:i/>
          <w:noProof/>
          <w:sz w:val="18"/>
        </w:rPr>
        <w:footnoteReference w:id="11"/>
      </w:r>
      <w:bookmarkEnd w:id="28"/>
    </w:p>
    <w:p>
      <w:pPr>
        <w:jc w:val="both"/>
        <w:rPr>
          <w:noProof/>
        </w:rPr>
      </w:pPr>
    </w:p>
    <w:p>
      <w:pPr>
        <w:spacing w:after="120"/>
        <w:jc w:val="both"/>
        <w:rPr>
          <w:noProof/>
        </w:rPr>
      </w:pPr>
      <w:r>
        <w:rPr>
          <w:noProof/>
        </w:rPr>
        <w:t xml:space="preserve">B’konferma ta’s-sejbiet preċedenti mir-rapport tal-2016 dwar il-prezzijiet u l-kostijiet tal-enerġija, l-ishma tal-kost tal-enerġija fil-kostijiet tal-produzzjoni ilhom jonqsu għall-maġġoranza l-kbira tas-setturi studjati bejn l-2008 u l-2015 (l-aħħar </w:t>
      </w:r>
      <w:r>
        <w:rPr>
          <w:i/>
          <w:noProof/>
        </w:rPr>
        <w:t>data</w:t>
      </w:r>
      <w:r>
        <w:rPr>
          <w:noProof/>
        </w:rPr>
        <w:t xml:space="preserve"> disponibbli), fejn l-iktar tnaqqis sinifikanti jirriżulta f’xi setturi li jużaw ħafna l-enerġija. L-ammont aggregat tal-kost tal-enerġija tas-setturi studjati naqas bi 8 % bejn l-2010-2015. Dan ġara minkejja ż-żieda fil-prezzijiet, l-effetti tal-produzzjoni stabbli u parzjalment minħabba t-titjib fl-intensità tal-enerġija. Il-kostijiet tal-enerġija ma kkontribwixxewx għal żieda fil-kostijiet totali tal-produzzjoni fil-maġġoranza vasta tas-setturi tal-manifattura analizzati matul dawn l-aħħar snin. Madankollu, dan ma kienx il-każ għas-sottosetturi kollha fis-setturi li jużaw ħafna l-enerġija. Pereżempju, għall-aluminju primarju, il-kostijiet tal-enerġija żdiedu u rrappreżentaw 40 % tal-kostijiet totali tal-produzzjoni fl-2017.</w:t>
      </w:r>
    </w:p>
    <w:p>
      <w:pPr>
        <w:tabs>
          <w:tab w:val="left" w:pos="284"/>
        </w:tabs>
        <w:spacing w:after="120"/>
        <w:jc w:val="both"/>
        <w:rPr>
          <w:noProof/>
        </w:rPr>
      </w:pPr>
      <w:r>
        <w:rPr>
          <w:noProof/>
        </w:rPr>
        <w:t>L-intensità tal-enerġija tvarja konsiderevolment fis-setturi studjati skont il-proċessi tal-produzzjoni. L-intensità tal-enerġija naqset, b’mod ġenerali, fl-azzar, ir-raffineriji, il-karta, it-trasport fuq l-art, il-gass elettriku, minjieri u agrikoltura oħra, u żdiedet fis-siment, il-prodotti taż-żerriegħa, l-istabbilimenti tal-isserrar u s-sustanzi kimiċi, u baqgħet relattivament stabbli fis-setturi li jużaw inqas l-enerġija. Madankollu, ir-riżultati jistgħu jvarjaw b’mod sinifikanti fis-sottosetturi fl-istess settur industrijali.</w:t>
      </w:r>
    </w:p>
    <w:p>
      <w:pPr>
        <w:spacing w:after="240"/>
        <w:jc w:val="both"/>
        <w:rPr>
          <w:noProof/>
        </w:rPr>
      </w:pPr>
      <w:r>
        <w:rPr>
          <w:noProof/>
        </w:rPr>
        <w:t xml:space="preserve">Filwaqt li huwa diffiċli li tinstab </w:t>
      </w:r>
      <w:r>
        <w:rPr>
          <w:i/>
          <w:noProof/>
        </w:rPr>
        <w:t>data</w:t>
      </w:r>
      <w:r>
        <w:rPr>
          <w:noProof/>
        </w:rPr>
        <w:t xml:space="preserve"> paragunabbli bejn il-pajjiżi, l-istudji mnedija mill-Kummissjoni Ewropea ppermettew xi tqabbil. Id-</w:t>
      </w:r>
      <w:r>
        <w:rPr>
          <w:i/>
          <w:noProof/>
        </w:rPr>
        <w:t>data</w:t>
      </w:r>
      <w:r>
        <w:rPr>
          <w:noProof/>
        </w:rPr>
        <w:t xml:space="preserve"> għas-setturi disponibbli turi li l-ishma tal-kost tal-enerġija fil-kostijiet tal-produzzjoni fl-UE ġeneralment huma ogħla milli fl-Asja (il-Ġappun, il-Korea t’Isfel) u paragunabbli mal-Istati Uniti (bl-eċċezzjoni tal-aluminju jew l-azzar, b’inqas ishma tal-kostijiet tal-enerġija fl-Istati Uniti). L-intensità tal-enerġija fis-setturi tal-UE studjati hija sistematikament iktar baxxa milli fiċ-Ċina u t-Turkija u paragunabbli mal-Istati Uniti, għalkemm b’varjazzjoni konsiderevoli skont is-settur.</w:t>
      </w:r>
    </w:p>
    <w:p>
      <w:pPr>
        <w:jc w:val="both"/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56910" cy="2678229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7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b/>
          <w:i w:val="0"/>
          <w:noProof/>
          <w:color w:val="auto"/>
        </w:rPr>
      </w:pPr>
      <w:r>
        <w:rPr>
          <w:b/>
          <w:i w:val="0"/>
          <w:noProof/>
          <w:color w:val="auto"/>
        </w:rPr>
        <w:t xml:space="preserve">Illustrazzjoni </w:t>
      </w:r>
      <w:r>
        <w:rPr>
          <w:b/>
          <w:i w:val="0"/>
          <w:noProof/>
          <w:color w:val="auto"/>
        </w:rPr>
        <w:fldChar w:fldCharType="begin"/>
      </w:r>
      <w:r>
        <w:rPr>
          <w:b/>
          <w:i w:val="0"/>
          <w:noProof/>
          <w:color w:val="auto"/>
        </w:rPr>
        <w:instrText xml:space="preserve"> SEQ Figure \* ARABIC </w:instrText>
      </w:r>
      <w:r>
        <w:rPr>
          <w:b/>
          <w:i w:val="0"/>
          <w:noProof/>
          <w:color w:val="auto"/>
        </w:rPr>
        <w:fldChar w:fldCharType="separate"/>
      </w:r>
      <w:r>
        <w:rPr>
          <w:b/>
          <w:i w:val="0"/>
          <w:noProof/>
          <w:color w:val="auto"/>
        </w:rPr>
        <w:t>9</w:t>
      </w:r>
      <w:r>
        <w:rPr>
          <w:b/>
          <w:i w:val="0"/>
          <w:noProof/>
          <w:color w:val="auto"/>
        </w:rPr>
        <w:fldChar w:fldCharType="end"/>
      </w:r>
      <w:r>
        <w:rPr>
          <w:b/>
          <w:i w:val="0"/>
          <w:noProof/>
          <w:color w:val="auto"/>
        </w:rPr>
        <w:t xml:space="preserve"> — Prezzijiet tal-elettriku għall-industrija fl-UE u l-G20 fl-2016 — Sors: IMD, Eurostat, CEIC, ACCC</w:t>
      </w:r>
    </w:p>
    <w:p>
      <w:pPr>
        <w:jc w:val="both"/>
        <w:rPr>
          <w:noProof/>
        </w:rPr>
      </w:pPr>
      <w:r>
        <w:rPr>
          <w:noProof/>
        </w:rPr>
        <w:t xml:space="preserve">Sar titjib sinifikanti fl-intensità tal-enerġija fl-industrija tal-UE u tnaqqis reċenti fis-sehem tal-enerġija tal-kostijiet tal-produzzjoni. Madankollu, l-industriji ta’ pajjiżi oħrajn xi kultant huma iktar effiċjenti minn dawk fl-Ewropa, u prezzijiet volatili jimplikaw li l-esponiment tal-kost tal-enerġija tan-negozji għadu jista’ jiddeterjora. Fil-fatt, l-esponiment tal-industrija Ġappuniża u Koreana għal prezzijiet tal-enerġija iktar għoljin għamilhom iktar effiċjenti fl-enerġija; pajjiżi li jipproduċu l-enerġija (ir-Russja, l-Istati Uniti) huma inqas effiċjenti fl-enerġija. Iċ-Ċina hija eċċezzjoni. Għalhekk, naraw mill-ġdid li l-prezzijiet tal-enerġija li qed jogħlew jistgħu fihom infushom ixxekklu l-ispinta għal tnaqqis fil-konsum tal-enerġija u iktar effiċjenza fl-enerġija. Madankollu, tali sinjali tal-prezzijiet jeħtieġu miżuri ta’ akkumpanjament sabiex jiffaċilitaw id-dekarbonizzazzjoni kontinwa tal-industrija. Miżuri bħal dawn jistgħu jkunu regolatorji jew finanzjarji, u għalhekk l-iskop għall-intervent tal-gvern b’appoġġ għall-innovazzjoni industrijali jsir parti neċessarja mit-taħlita tal-politika għat-tranżizzjoni tal-enerġija. </w:t>
      </w:r>
    </w:p>
    <w:p>
      <w:pPr>
        <w:rPr>
          <w:i/>
          <w:noProof/>
        </w:rPr>
      </w:pPr>
      <w:r>
        <w:rPr>
          <w:noProof/>
        </w:rPr>
        <w:br w:type="page"/>
      </w:r>
    </w:p>
    <w:p>
      <w:pPr>
        <w:rPr>
          <w:rFonts w:cs="Arial Unicode MS"/>
          <w:b/>
          <w:bCs/>
          <w:smallCaps/>
          <w:noProof/>
          <w:color w:val="000000"/>
          <w:u w:color="000000"/>
        </w:rPr>
      </w:pPr>
    </w:p>
    <w:p>
      <w:pPr>
        <w:pStyle w:val="Heading"/>
        <w:numPr>
          <w:ilvl w:val="0"/>
          <w:numId w:val="33"/>
        </w:numPr>
        <w:rPr>
          <w:noProof/>
        </w:rPr>
      </w:pPr>
      <w:r>
        <w:rPr>
          <w:noProof/>
        </w:rPr>
        <w:t xml:space="preserve">dħul tal-gvern mit-tassazzjoni tal-enerġija u s-sussidji tal-Enerġija </w:t>
      </w:r>
    </w:p>
    <w:p>
      <w:pPr>
        <w:spacing w:after="120"/>
        <w:jc w:val="both"/>
        <w:rPr>
          <w:b/>
          <w:smallCaps/>
          <w:noProof/>
        </w:rPr>
      </w:pPr>
      <w:r>
        <w:rPr>
          <w:b/>
          <w:smallCaps/>
          <w:noProof/>
        </w:rPr>
        <w:t>Dħul tal-Gvern mit-tassazzjoni tal-enerġija</w:t>
      </w:r>
    </w:p>
    <w:p>
      <w:pPr>
        <w:spacing w:after="120"/>
        <w:jc w:val="both"/>
        <w:rPr>
          <w:noProof/>
        </w:rPr>
      </w:pPr>
      <w:r>
        <w:rPr>
          <w:noProof/>
        </w:rPr>
        <w:t>Fl-2016, it-taxxi tal-enerġija miġbura mill-Istati Membri tal-UE ammontaw għal EUR 280 biljun jew 4.7 % tad-dħul totali tat-taxxa. L-importanza relattiva tad-dħul mit-taxxa fuq l-enerġija kienet pjuttost stabbli mill-kriżi ekonomika tal-2008 ’l hawn. Id-dazji tas-sisa (li iktar minn 80 % minnhom ġejjin minn prodotti taż-żejt) jikkostitwixxu l-ikbar parti tat-taxxi tal-enerġija.</w:t>
      </w:r>
    </w:p>
    <w:p>
      <w:pPr>
        <w:spacing w:after="120"/>
        <w:jc w:val="both"/>
        <w:rPr>
          <w:noProof/>
        </w:rPr>
      </w:pPr>
      <w:r>
        <w:rPr>
          <w:noProof/>
        </w:rPr>
        <w:t>Importanti li wieħed jinnota r-rwol li għandha t-tassazzjoni tal-enerġija fl-ekonomija. L-ewwel tipprovdi dħul sinifikanti sabiex tikkontribwixxi għall-baġit ġenerali; importanti mhux biss fi żminijiet ta’ restrizzjonijiet fiskali. Ishma għoljin ta’ taxxi fil-prezzijiet tal-enerġija jistgħu jnaqqsu l-impatt tal-prezzijiet volatili tal-fjuwils fossili; il-mitigazzjoni tal-impatt ta’ tibdil mhux mistenni fil-prezzijiet tipproteġi kemm lill-konsumaturi kif ukoll lill-industrija. Barra minn hekk, it-taxxi u l-imposti tal-enerġija jistgħu jintużaw sabiex jamplifikaw is-sinjali tal-prezzijiet biex jiskoraġġixxu ċerta mġiba (bħal konsum eċċessiv ta’ fjuwils li jniġġsu jew li jagħmlu ħsara b’mod ieħor). Fl-aħħarnett, id-dħul tal-gvern jista’ jintuża sabiex jiġġieled in-nuqqasijiet tas-suq billi jissussidja żviluppi mixtieqa bħal investiment f’oqsma mhux indirizzati b’mod adegwat mis-suq (tal-enerġija). Għalhekk, hemm rabta bejn it-taxxi u l-imposti tal-enerġija, id-dħul u s-sussidji tal-enerġija tal-gvern.</w:t>
      </w:r>
    </w:p>
    <w:p>
      <w:pPr>
        <w:spacing w:after="120"/>
        <w:jc w:val="both"/>
        <w:rPr>
          <w:noProof/>
        </w:rPr>
      </w:pPr>
      <w:r>
        <w:rPr>
          <w:noProof/>
        </w:rPr>
        <w:t>Huwa importanti li fi kwalunkwe diskussjoni dwar is-sussidji wieħed jinnota li hemm bosta raġunijiet leġittimi sabiex isir intervent fis-settur tal-enerġija b’appoġġ finanzjarju jew regolatorju, sabiex jiġu korretti s-swieq imperfetti u sabiex tingħata direzzjoni strateġika fit-tul li ma tkunx ipprovduta b’mod ieħor. Kif innutat hawn fuq, il-ħtieġa li tiġi stimulata l-innovazzjoni f’setturi, materjali jew proċessi ġodda hija raġunament pertinenti ħafna fil-kuntest tad-dekarbonizzazzjoni u t-tranżizzjoni tal-enerġija. B’kunsiderazzjoni ta’ dan, huwa possibbli wkoll li jkun hemm sussidji, li saru żejda jew eċċessivi minħabba ċ-ċirkostanzi li jinbidlu. L-UE (u l-G20) partikolarment talbu li jitneħħew is-sussidji ineffiċjenti tal-fjuwils fossili peress li jfixklu t-tranżizzjoni għall-enerġija nadifa.</w:t>
      </w:r>
    </w:p>
    <w:p>
      <w:pPr>
        <w:spacing w:after="120"/>
        <w:jc w:val="both"/>
        <w:rPr>
          <w:noProof/>
        </w:rPr>
      </w:pPr>
      <w:r>
        <w:rPr>
          <w:noProof/>
        </w:rPr>
        <w:t>Is-sussidji tal-enerġija ġenerali Ewropej żdiedu f’dawn l-aħħar snin, minn EUR 148 biljun fl-2008 għal EUR 169 biljun fl-2016, fejn is-settur tal-enerġija huwa l-benefiċjarju ewlieni (EUR 102 biljun fl-2016), segwit mis-settur residenzjali (EUR 24 biljun), l-industrija tal-manifattura li tuża ħafna l-enerġija (EUR 18 biljun) u t-trasport (EUR 13 biljun). Iż-żieda kienet immotivata mit-tkabbir fis-sussidji tal-enerġija rinnovabbli li laħqu EUR 76 biljun fl-2016. Matul il-perjodu 2008-2016, il-kwoti ta’ emissjonjiet blaħlas naqsu minn EUR 41 biljun għal EUR 4 biljun, minħabba tnaqqis fil-prezzijiet tal-karbonju u inqas setturi eliġibbli sabiex jirċievu l-kwoti tal-ETS b’xejn.</w:t>
      </w:r>
    </w:p>
    <w:p>
      <w:pPr>
        <w:spacing w:after="120"/>
        <w:jc w:val="both"/>
        <w:rPr>
          <w:noProof/>
        </w:rPr>
      </w:pPr>
      <w:r>
        <w:rPr>
          <w:noProof/>
        </w:rPr>
        <w:t>Ovvjament, f’konformità mal-Ftehim ta’ Pariġi, hemm firxa ta’ miżuri fil-livell tal-UE u dak nazzjonali, sabiex tiġi ffaċilitata d-dekarbonizzazzjoni u l-innovazzjoni fis-settur tal-enerġija, fl-unitajiet domestiċi u fit-trasport. Madankollu, minkejja dan u l-impenji internazzjonali li saru fil-kuntest tal-G20 u l-G7, is-sussidji tal-fjuwils fossili fl-UE ma naqsux u huma stmati li huma ta’ EUR 55 biljun, li baqgħu bejn wieħed u ieħor stabbli fis-setturi kollha u jimplikaw li jista’ jkun hemm bżonn li l-politiki nazzjonali u tal-UE jissaħħu sabiex dawn is-sussidji jitneħħew gradwalment</w:t>
      </w:r>
      <w:r>
        <w:rPr>
          <w:b/>
          <w:noProof/>
        </w:rPr>
        <w:t>.</w:t>
      </w:r>
      <w:r>
        <w:rPr>
          <w:noProof/>
        </w:rPr>
        <w:t xml:space="preserve"> Skont l-iktar tqabbil internazzjonali disponibbli reċenti (</w:t>
      </w:r>
      <w:r>
        <w:rPr>
          <w:i/>
          <w:noProof/>
        </w:rPr>
        <w:t>data</w:t>
      </w:r>
      <w:r>
        <w:rPr>
          <w:noProof/>
        </w:rPr>
        <w:t xml:space="preserve"> tal-2015), is-sussidji għall-fjuwils fossili huma saħansitra ogħla barra mill-UE. Is-sussidji għall-prodotti tal-petroleum (prinċipalment it-tnaqqis fit-taxxa) jirrappreżentaw l-ikbar sehem fil-fjuwils fossili.</w:t>
      </w:r>
    </w:p>
    <w:p>
      <w:pPr>
        <w:spacing w:after="240"/>
        <w:jc w:val="center"/>
        <w:rPr>
          <w:b/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56910" cy="212200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12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bookmarkStart w:id="29" w:name="_Toc468890499"/>
      <w:bookmarkStart w:id="30" w:name="_Ref520196018"/>
      <w:bookmarkStart w:id="31" w:name="_Toc524619548"/>
      <w:bookmarkStart w:id="32" w:name="_Toc524961095"/>
      <w:bookmarkStart w:id="33" w:name="_Toc525143056"/>
      <w:bookmarkStart w:id="34" w:name="_Toc525222213"/>
      <w:bookmarkStart w:id="35" w:name="_Toc525222382"/>
      <w:bookmarkStart w:id="36" w:name="_Toc525223834"/>
      <w:r>
        <w:rPr>
          <w:b/>
          <w:noProof/>
          <w:sz w:val="18"/>
        </w:rPr>
        <w:t xml:space="preserve">Illustrazzjoni </w:t>
      </w:r>
      <w:r>
        <w:rPr>
          <w:b/>
          <w:noProof/>
          <w:sz w:val="18"/>
          <w:szCs w:val="18"/>
        </w:rPr>
        <w:fldChar w:fldCharType="begin"/>
      </w:r>
      <w:r>
        <w:rPr>
          <w:b/>
          <w:noProof/>
          <w:sz w:val="18"/>
          <w:szCs w:val="18"/>
        </w:rPr>
        <w:instrText xml:space="preserve"> SEQ Figure \* ARABIC </w:instrText>
      </w:r>
      <w:r>
        <w:rPr>
          <w:b/>
          <w:noProof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10</w:t>
      </w:r>
      <w:r>
        <w:rPr>
          <w:b/>
          <w:noProof/>
          <w:sz w:val="18"/>
          <w:szCs w:val="18"/>
        </w:rPr>
        <w:fldChar w:fldCharType="end"/>
      </w:r>
      <w:r>
        <w:rPr>
          <w:b/>
          <w:noProof/>
          <w:sz w:val="18"/>
        </w:rPr>
        <w:t xml:space="preserve"> — Appoġġ finanzjarju għall-fjuwils fossili fl-UE- Sors: KE, Trinomics</w:t>
      </w:r>
      <w:r>
        <w:rPr>
          <w:b/>
          <w:noProof/>
          <w:sz w:val="18"/>
          <w:szCs w:val="18"/>
        </w:rPr>
        <w:fldChar w:fldCharType="begin"/>
      </w:r>
      <w:r>
        <w:rPr>
          <w:b/>
          <w:noProof/>
          <w:sz w:val="18"/>
          <w:szCs w:val="18"/>
        </w:rPr>
        <w:instrText xml:space="preserve"> NOTEREF _Ref530413566 \f \h  \* MERGEFORMAT </w:instrText>
      </w:r>
      <w:r>
        <w:rPr>
          <w:b/>
          <w:noProof/>
          <w:sz w:val="18"/>
          <w:szCs w:val="18"/>
        </w:rPr>
      </w:r>
      <w:r>
        <w:rPr>
          <w:b/>
          <w:noProof/>
          <w:sz w:val="18"/>
          <w:szCs w:val="18"/>
        </w:rPr>
        <w:fldChar w:fldCharType="separate"/>
      </w:r>
      <w:r>
        <w:rPr>
          <w:rStyle w:val="FootnoteReference"/>
          <w:noProof/>
          <w:sz w:val="18"/>
          <w:szCs w:val="18"/>
        </w:rPr>
        <w:t>9</w:t>
      </w:r>
      <w:r>
        <w:rPr>
          <w:b/>
          <w:noProof/>
          <w:sz w:val="18"/>
          <w:szCs w:val="18"/>
        </w:rPr>
        <w:fldChar w:fldCharType="end"/>
      </w:r>
    </w:p>
    <w:p>
      <w:pPr>
        <w:spacing w:after="120"/>
        <w:jc w:val="center"/>
        <w:rPr>
          <w:b/>
          <w:i/>
          <w:noProof/>
        </w:rPr>
      </w:pPr>
    </w:p>
    <w:bookmarkEnd w:id="29"/>
    <w:bookmarkEnd w:id="30"/>
    <w:bookmarkEnd w:id="31"/>
    <w:bookmarkEnd w:id="32"/>
    <w:bookmarkEnd w:id="33"/>
    <w:bookmarkEnd w:id="34"/>
    <w:bookmarkEnd w:id="35"/>
    <w:bookmarkEnd w:id="36"/>
    <w:p>
      <w:pPr>
        <w:pStyle w:val="Heading"/>
        <w:numPr>
          <w:ilvl w:val="0"/>
          <w:numId w:val="33"/>
        </w:numPr>
        <w:rPr>
          <w:noProof/>
        </w:rPr>
      </w:pPr>
      <w:r>
        <w:rPr>
          <w:noProof/>
        </w:rPr>
        <w:t>Prezzijiet, kostijiet u investiment</w:t>
      </w:r>
    </w:p>
    <w:p>
      <w:pPr>
        <w:spacing w:after="120"/>
        <w:jc w:val="both"/>
        <w:rPr>
          <w:noProof/>
        </w:rPr>
      </w:pPr>
      <w:r>
        <w:rPr>
          <w:noProof/>
        </w:rPr>
        <w:t>Id-diskussjoni ta’ hawn fuq tenfasizza l-impatt li għandhom il-prezzijiet fuq il-konsumaturi tal-enerġija, iżda r-rwol li għandhom il-prezzijiet fil-forniment lill-kumpaniji tal-enerġija bi dħul sabiex ikopru l-kostijiet u l-investimenti tagħhom huwa aspett importanti ieħor. Minkejja l-fluttwazzjonijiet fil-prezzijiet u ż-żiediet fil-prezzijiet, il-kompetizzjoni dejjem ikbar fis-suq Ewropew tal-enerġija, id-dgħjufijiet tad-disinn tas-suq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u l-ħtieġa għal investimenti ġodda sinifikanti fissru li s-suq mhux dejjem ikun kapaċi jiffinanzja l-investiment; il-prezzijiet mhumiex dejjem biżżejjed sabiex ikopru l-kostijiet. Għal din ir-raġuni, huwa importanti li jiġu esplorati x-xejriet tal-prezzijiet tal-enerġija u tal-fjuwil fir-rigward tal-kostijiet tal-investimenti tal-enerġija, b’mod partikolari fir-rigward tal-“kostijiet livellati tal-elettriku” (LCOE) li jiġbor kemm il-kapital kif ukoll il-kostijiet tal-operazzjoni li għandhom ikunu koperti. Bħalissa, kif diskuss hawn fuq, jitħallsu sussidji sinifikanti lill-ġeneraturi tal-enerġija, permezz ta’ sussidji tal-enerġija rinnovabbli u ħlasijiet ta’ mekkaniżmu ta’ kapaċità b’mod partikolari, sabiex ikopru kostijiet ta’ investiment li mhumiex iffinanzjati minn tranżazzjonijiet kummerċjali normali mwettqa mad-disinn attwali tas-suq tal-elettriku. </w:t>
      </w:r>
    </w:p>
    <w:p>
      <w:pPr>
        <w:spacing w:after="120"/>
        <w:jc w:val="both"/>
        <w:rPr>
          <w:noProof/>
        </w:rPr>
      </w:pPr>
      <w:r>
        <w:rPr>
          <w:noProof/>
        </w:rPr>
        <w:t>Minkejja s-sehem dejjem jikber tal-investiment meħtieġ fil-produzzjoni tal-enerġija rinnovabbl tal-elettriku, il-kostijiet imnaqqsa ta’ teknoloġiji bħal dawn, flimkien mal-operat imtejjeb antiċipat tas-suq Ewropew tal-enerġija, inkluż il-kontribut tal-ħażna u l-immaniġġjar tad-domanda li mistennija li jiżdiedu  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, għandhom jirriżultaw fid-dħul dejjem iktar adegwat tas-suq sabiex jiġu ffinanzjati u koperti l-kostijiet tal-investiment tal-kapaċitajiet il-ġodda kollha jew ħafna minnhom, fid-deċennju li ġej. Fl-istess ħin, il-projezzjonijiet tal-prezzijiet tal-fjuwils fossili, il-kostijiet kapitali, il-kostijiet tal-karbonju u l-fatturi tat-tagħbija mnaqqsa jissuġġerixxu li investimenti futuri tal-ġenerazzjoni tal-enerġija tal-fjuwils fossili se jsibuha inqas faċli li jkopru l-ispejjeż (livellati) tal-kapaċità tal-ġenerazzjoni tal-enerġija mill-fjuwils fossili. </w:t>
      </w:r>
    </w:p>
    <w:p>
      <w:pPr>
        <w:spacing w:after="120"/>
        <w:jc w:val="both"/>
        <w:rPr>
          <w:noProof/>
        </w:rPr>
      </w:pPr>
    </w:p>
    <w:p>
      <w:pPr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391150" cy="256857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b/>
          <w:i w:val="0"/>
          <w:noProof/>
          <w:color w:val="auto"/>
        </w:rPr>
      </w:pPr>
      <w:bookmarkStart w:id="37" w:name="_Ref524971613"/>
      <w:bookmarkStart w:id="38" w:name="_Toc525807951"/>
      <w:bookmarkStart w:id="39" w:name="_Toc526433566"/>
      <w:bookmarkStart w:id="40" w:name="_Toc526433844"/>
      <w:bookmarkStart w:id="41" w:name="_Toc526435786"/>
      <w:bookmarkStart w:id="42" w:name="_Toc527544664"/>
    </w:p>
    <w:p>
      <w:pPr>
        <w:pStyle w:val="Caption"/>
        <w:jc w:val="center"/>
        <w:rPr>
          <w:b/>
          <w:i w:val="0"/>
          <w:noProof/>
          <w:color w:val="auto"/>
        </w:rPr>
      </w:pPr>
      <w:r>
        <w:rPr>
          <w:b/>
          <w:i w:val="0"/>
          <w:noProof/>
          <w:color w:val="auto"/>
        </w:rPr>
        <w:t xml:space="preserve">Illustrazzjoni </w:t>
      </w:r>
      <w:bookmarkEnd w:id="37"/>
      <w:r>
        <w:rPr>
          <w:b/>
          <w:i w:val="0"/>
          <w:noProof/>
          <w:color w:val="auto"/>
        </w:rPr>
        <w:t>11 — UU28: prezzijiet u kost tal-elettriku</w:t>
      </w:r>
      <w:bookmarkEnd w:id="38"/>
      <w:bookmarkEnd w:id="39"/>
      <w:bookmarkEnd w:id="40"/>
      <w:bookmarkEnd w:id="41"/>
      <w:bookmarkEnd w:id="42"/>
      <w:r>
        <w:rPr>
          <w:b/>
          <w:i w:val="0"/>
          <w:noProof/>
          <w:color w:val="auto"/>
        </w:rPr>
        <w:t xml:space="preserve"> — Sors: Graff tax-xellug Platts, METIS(2030); graff tal-lemin: PRIMES</w:t>
      </w:r>
    </w:p>
    <w:p>
      <w:pPr>
        <w:keepNext/>
        <w:rPr>
          <w:i/>
          <w:noProof/>
          <w:sz w:val="20"/>
        </w:rPr>
      </w:pPr>
      <w:r>
        <w:rPr>
          <w:i/>
          <w:noProof/>
          <w:sz w:val="20"/>
        </w:rPr>
        <w:t>Nota 1: il-plottijiet tal-kaxxa juru l-minimu osservat f’perjodu partikolari (linja t’isfel), l-ewwel kwartil (kaxxa t’isfel), il-medjan (linja sewda), it-tielet kwartil (kaxxa ta’ fuq) u l-massimu (linja ta’ fuq).</w:t>
      </w:r>
    </w:p>
    <w:p>
      <w:pPr>
        <w:keepNext/>
        <w:jc w:val="both"/>
        <w:rPr>
          <w:i/>
          <w:noProof/>
          <w:sz w:val="20"/>
        </w:rPr>
      </w:pPr>
      <w:r>
        <w:rPr>
          <w:i/>
          <w:noProof/>
          <w:sz w:val="20"/>
        </w:rPr>
        <w:t>Nota 2: għal finijiet ta’ viżwalizzazzjoni il-grafika tax-xellug għandha limitu ta’ 200 €/Mwh </w:t>
      </w:r>
      <w:r>
        <w:rPr>
          <w:rStyle w:val="FootnoteReference"/>
          <w:i/>
          <w:noProof/>
          <w:sz w:val="20"/>
        </w:rPr>
        <w:footnoteReference w:id="14"/>
      </w:r>
      <w:r>
        <w:rPr>
          <w:noProof/>
        </w:rPr>
        <w:t>.</w:t>
      </w:r>
      <w:r>
        <w:rPr>
          <w:i/>
          <w:noProof/>
          <w:sz w:val="20"/>
        </w:rPr>
        <w:t xml:space="preserve"> </w:t>
      </w:r>
    </w:p>
    <w:p>
      <w:pPr>
        <w:keepNext/>
        <w:rPr>
          <w:i/>
          <w:noProof/>
          <w:sz w:val="20"/>
        </w:rPr>
      </w:pPr>
      <w:r>
        <w:rPr>
          <w:i/>
          <w:noProof/>
          <w:sz w:val="20"/>
        </w:rPr>
        <w:t>Nota 3: il-kostijiet għall-ħażna u l-interkonnessjonijiet addizzjonali mhumiex ikkunsidrati f’din l-Illustrazzjoni.</w:t>
      </w:r>
    </w:p>
    <w:p>
      <w:pPr>
        <w:keepNext/>
        <w:rPr>
          <w:i/>
          <w:noProof/>
          <w:sz w:val="20"/>
        </w:rPr>
      </w:pPr>
      <w:r>
        <w:rPr>
          <w:i/>
          <w:noProof/>
          <w:sz w:val="20"/>
        </w:rPr>
        <w:t>Nota 4: il-prezzijiet storiċi huma f’euro kurrenti, il-valuri għall-2030 huma f’euro tal-2013. Ittieħdet il-medja tal-prezzijiet u l-kostijiet fl-EU28.</w:t>
      </w:r>
    </w:p>
    <w:p>
      <w:pPr>
        <w:spacing w:after="120"/>
        <w:jc w:val="both"/>
        <w:rPr>
          <w:noProof/>
        </w:rPr>
      </w:pPr>
    </w:p>
    <w:p>
      <w:pPr>
        <w:spacing w:after="120"/>
        <w:jc w:val="both"/>
        <w:rPr>
          <w:noProof/>
        </w:rPr>
      </w:pPr>
      <w:r>
        <w:rPr>
          <w:noProof/>
        </w:rPr>
        <w:t>F’kuntest ta’ domanda għall-elettriku li qiegħda tikber bil-mod , u ħażna tal-fjuwils fossili li qed tixjieħ, il-firxa pproġettata għall-prezzijiet futuri tal-elettriku hija simili għall-firxa tal-kostijiet ta’ ħafna teknoloġiji tal-enerġija rinnovabbli. Dan ifisser li, lil hinn mill-prezzijiet tas-suq, ikun hemm inqas bżonn ta’ appoġġ pubbliku (jew saħansitra l-ebda) sabiex jiġu permessi investimenti fit-teknoloġiji tal-enerġija rinnovabbli l-aktar maturi.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pStyle w:val="Heading"/>
        <w:numPr>
          <w:ilvl w:val="0"/>
          <w:numId w:val="33"/>
        </w:numPr>
        <w:rPr>
          <w:noProof/>
        </w:rPr>
      </w:pPr>
      <w:r>
        <w:rPr>
          <w:noProof/>
        </w:rPr>
        <w:t>Konklużjoni</w:t>
      </w:r>
    </w:p>
    <w:p>
      <w:pPr>
        <w:pStyle w:val="BodyText"/>
        <w:rPr>
          <w:noProof/>
        </w:rPr>
      </w:pPr>
      <w:r>
        <w:rPr>
          <w:noProof/>
        </w:rPr>
        <w:t xml:space="preserve">Dan ir-rapport wera kif il-prezzijiet qegħdin jogħlew u jonqsu b’modi differenti fi swieq differenti għal fjuwils differenti. Fis-swieq tal-fjuwils fossili, il-prezzijiet huma ġeneralment xprunati minn forzi globali jew stabbiliti f’reġjuni globali permezz ta’ fatturi li ma tantx nistgħu nikkontrollawhom. Il-prezzijiet globali taż-żejt jogħlew u jonqsu skont il-bidliet fil-produzzjoni tal-OPEC, tal-Lvant Nofsani, tal-Amerika t’Isfel jew tal-Istati Uniti; il-prezzijiet tal-gass jistgħu jsegwu l-prezzijiet taż-żejt jew jinbidlu wkoll minħabba skoperti ġodda jew sorsi ġodda li jilħqu s-swieq Ewropej. Min-naħa l-oħra, l-elettriku, filwaqt li jiġi prodott fl-UE, u prodott dejjem iktar b’riżorsi indiġeni ta’ enerġija rinnovabbli, huwa pprezzat skont il-prezz tal-“fjuwil marġinali”, ħafna drabi fjuwil fossili bħal gass. Tali esponiment tal-prezz għandu implikazzjonijiet għall-unitajiet domestiċi u n-negozji, iżda wkoll b’mod iktar ġenerali għall-bilanċ tal-UE għall-kummerċ u l-prestazzjoni makroekonomika. </w:t>
      </w:r>
    </w:p>
    <w:p>
      <w:pPr>
        <w:pStyle w:val="BodyText"/>
        <w:rPr>
          <w:noProof/>
        </w:rPr>
      </w:pPr>
      <w:r>
        <w:rPr>
          <w:noProof/>
        </w:rPr>
        <w:t>Ir-rispons tal-UE għal din is-sitwazzjoni għandha bosta dimensjonijiet. L-ewwel nett, il-ħolqien tas-suq uniku jgħin sabiex l-UE tiġi protetta minn prezzijiet volatili li jaffettwaw Stat Membru individwali. Permezz ta’ interkonnessjonijiet, pipelines tal-gass (fluss fid-direzzjoni opposta) jew terminals tal-LNG, swieq akkoppjati u prezzijiet dinamiċi, il-flessibbilità u l-kummerċ li qed jikber bejn l-Istati Membri jipprovdu lqugħ kontra żidiet drastiċi fil-prezzijiet internazzjonali taż-żejt. Il-konverġenza li qiegħda dejjem tikber fil-prezzijiet madwar l-Istati Membri tissuġġerixxi li dawn l-isforzi qed jagħtu l-frott. It-tieni risposta tal-Istati Membri kienet it-tassazzjoni. Taxxi u imposti pjuttost sinifikanti fuq l-elettriku u l-prodotti tal-petroleum inaqqsu l-impatt taż-żidiet fil-prezz u fl-istess ħin jipprovdu dħul lill-gvernijiet. Dan id-dħul jintuża sabiex tiġi ffinanzjata n-nefqa ġenerali tal-gvern u l-investimenti tal-enerġija għat-tranżizzjoni tal-enerġija nadifa, u jingħata appoġġ lill-unitajiet domestiċi bi dħul baxx jew lin-negozji li jiffaċċjaw kompetizzjoni internazzjonali inġusta. Iż-żieda fil-prezzijiet tal-karbonju tista’ ssaħħaħ ukoll is-sinjal tal-prezz sabiex jitħeġġeġ iktar investiment f’sorsi rinnovabbli ta’ enerġija, filwaqt li s-sussidji tal-fjuwils fossili huma sinjali fid-direzzjoni opposta u jirriskjaw li jfixklu l-investiment meħtieġ u jippromwovu l-konsum ħali tal-enerġija.</w:t>
      </w:r>
    </w:p>
    <w:p>
      <w:pPr>
        <w:pStyle w:val="BodyText"/>
        <w:rPr>
          <w:noProof/>
        </w:rPr>
      </w:pPr>
      <w:r>
        <w:rPr>
          <w:noProof/>
        </w:rPr>
        <w:t xml:space="preserve">It-tielet risposta tal-UE hija li tiffoka fuq il-kost tal-enerġija għall-unitajiet domestiċi u n-negozji pjuttost milli l-prezz tal-unità. Il-kost ġenerali huwa dak importanti għall-fehim tal-kwistjoni tal-affordabbiltà, u tingħata attenzjoni lill-kwistjoni tal-konsum meta jiġi kkunsidrat il-kost. Jekk hemm skop limitat għall-effett fuq il-prezz, l-għażliet għall-aġġustament — it-tnaqqis — il-konsum huma diġà disponibbli, u l-għażliet sabiex tinbidel it-tip ta’ enerġija li nikkunsmaw huma disponibbli wkoll. Dan huwa fejn l-għanijiet tal-UE li ttejjeb is-sigurtà tal-provvista, tindirizza t-tibdil fil-klima u tistimula industriji innovattivi ġodda jingħaqdu flimkien. Miżuri ta’ effiċjenza enerġetika, adottati l-ewwel minn negozju (iktar sensittiv għall-prezz), irriżultaw f’negozji Ewropej fost l-iktar effiċjenti fl-enerġija fid-dinja. Madankollu, jeżistu livelli differenti ta’ effiċjenza u intensità tal-enerġija madwar l-Istati Membri, u għad hemm lok li n-negozji, speċjalment l-SMEs, isiru iktar effiċjenti fl-enerġija. Għal industriji li jużaw ħafna l-enerġija, l-isfidi huma ikbar anke jekk diġà ttieħdu ħafna miżuri. Madankollu, anke hawn l-industrija qiegħda tipproduċi pjanijiet sabiex tnaqqas il-konsum tal-fjuwils fossili u sabiex tiżviluppa materjali newtrali fil-karbonju u proċessi ta’ produzzjoni kosteffikaċi. Għall-unitajiet domestiċi, hemm diversi politiki u miżuri tal-UE sabiex jiffaċilitaw tnaqqis kbir fil-konsum tal-enerġija (filwaqt li fl-istess ħin irawwmu lill-kumpaniji tal-UE li jiżviluppaw materjali, proċessi u servizzi ġodda f’suq globali li qed jikber). </w:t>
      </w:r>
    </w:p>
    <w:p>
      <w:pPr>
        <w:jc w:val="both"/>
        <w:rPr>
          <w:rFonts w:eastAsia="Times New Roman"/>
          <w:noProof/>
        </w:rPr>
      </w:pPr>
      <w:r>
        <w:rPr>
          <w:noProof/>
        </w:rPr>
        <w:t>It-tkabbir tal-enerġija rinnovabbli wkoll għandu rwol dirett fil-mitigazzjoni u t-tnaqqis tal-impatt negattiv tal-prezzijiet tal-fjuwils fossili globali inċerti u r-riskji tar-rata tal-kambju. Għalhekk, il-miri ambizzjużi tal-enerġija rinnovabbli u tal-effiċjenza enerġetika għall-2030 li ġew miftiehma reċentement se jgħinu sabiex titnaqqas id-dipendenza tal-UE fuq l-importazzjonijiet tal-fjuwils fossili u l-vulnerabbiltà għal xokkijiet u inċertezza globali tal-prezzijiet tal-fjuwils fossili. Fl-istess ħin, l-effiċjenza enerġetika u l-investimenti tal-enerġija rinnovabbli iwittu t-triq lill-UE lejn il-konformità mal-Ftehim ta’ Pariġi u se jistimulaw l-innovazzjoni meħtieġa sabiex tinkiseb it-trasformazzjoni tal-enerġija. </w:t>
      </w:r>
    </w:p>
    <w:p>
      <w:pPr>
        <w:pStyle w:val="BodyText"/>
        <w:rPr>
          <w:noProof/>
        </w:rPr>
      </w:pPr>
    </w:p>
    <w:p>
      <w:pPr>
        <w:pStyle w:val="BodyText"/>
        <w:rPr>
          <w:noProof/>
        </w:rPr>
      </w:pPr>
      <w:r>
        <w:rPr>
          <w:noProof/>
        </w:rPr>
        <w:t>Ir-raba’ risposta esplorata f’dan ir-rapport kienet l-istrateġija tal-investiment tal-UE għall-enerġija. It-titjib fid-disinn tas-suq qed jagħmel is-swieq iktar dinamiċi u flessibbli u, b’mod kritiku, iktar kapaċi jiffinanzjaw l-investiment meħtieġ — iffrankar tal-enerġija jew investiment fl-enerġija rinnovabbli — mid-dħul mis-suq pjuttost milli minn appoġġ mill-gvern. Barra minn hekk, l-istrumenti finanzjarji tal-UE u l-inizjattiva tal-UE ta’ finanzjament sostenibbli qegħdin jaħdmu sabiex jorjentaw mill-ġdid is-swieq kapitali globali biex jifhmu aħjar u b’hekk jiffaċilitaw il-provvista tal-kapital ta’ investiment għal teknoloġiji, infrastruttura u kumpaniji tas-servizz b’emissjonijiet baxxi tal-karbonju, meħtieġa sabiex itemmu t-tranżizzjoni tal-enerġija. Għalhekk, hemm qafas solidu fis-seħħ, li jvarja minn taxxi nazzjonali sa politiki tal-UE dwar l-enerġija, il-klima u s-suq tal-kapital biex jiġi żgurat li l-prezzijiet u l-kostijiet tal-enerġija tal-Ewropa jevolvu b’mod effiċjenti u konsistenti mal-iżgurar ta’ enerġija sostenibbli u affordabbli għal kulħadd.</w:t>
      </w:r>
    </w:p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1417" w:right="1417" w:bottom="1417" w:left="1417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2966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COM(2018)773</w:t>
      </w:r>
    </w:p>
  </w:footnote>
  <w:footnote w:id="3">
    <w:p>
      <w:pPr>
        <w:spacing w:after="120"/>
        <w:jc w:val="both"/>
        <w:rPr>
          <w:sz w:val="16"/>
          <w:szCs w:val="16"/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Il-prezzijiet tal-elettriku saru 21</w:t>
      </w:r>
      <w:r>
        <w:t xml:space="preserve"> </w:t>
      </w:r>
      <w:r>
        <w:rPr>
          <w:sz w:val="20"/>
        </w:rPr>
        <w:t>% inqas mifruxa matul l-aħħar għaxar snin u l-kummerċ intra-UE żdied</w:t>
      </w:r>
      <w:r>
        <w:rPr>
          <w:sz w:val="16"/>
        </w:rPr>
        <w:t>.</w:t>
      </w:r>
    </w:p>
  </w:footnote>
  <w:footnote w:id="4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Il-prezz tal-medda “L-iktar rappreżentattiva” huwa l-prezz li nbiegħ l-iktar elettriku bih lill-unitajiet domestiċi f’kull pajjiż. Il-medda l-iktar rappreżentattiva tvarja minn pajjiż għall-ieħor mill-medda DB għall-medda DE tal-Eurostat.</w:t>
      </w:r>
    </w:p>
  </w:footnote>
  <w:footnote w:id="5">
    <w:p>
      <w:pPr>
        <w:pStyle w:val="FootnoteText"/>
        <w:ind w:left="851"/>
      </w:pPr>
      <w:r>
        <w:rPr>
          <w:rStyle w:val="FootnoteReference"/>
        </w:rPr>
        <w:footnoteRef/>
      </w:r>
      <w:r>
        <w:t xml:space="preserve"> http://europa.eu/rapid/press-release_IP-18-4920_mt.htm</w:t>
      </w:r>
    </w:p>
  </w:footnote>
  <w:footnote w:id="6">
    <w:p>
      <w:pPr>
        <w:pStyle w:val="FootnoteText"/>
        <w:ind w:left="851"/>
      </w:pPr>
      <w:r>
        <w:rPr>
          <w:rStyle w:val="FootnoteReference"/>
        </w:rPr>
        <w:footnoteRef/>
      </w:r>
      <w:r>
        <w:t xml:space="preserve"> Id-</w:t>
      </w:r>
      <w:r>
        <w:rPr>
          <w:i/>
        </w:rPr>
        <w:t>data</w:t>
      </w:r>
      <w:r>
        <w:t xml:space="preserve"> għall-Greċja hija għall-2015</w:t>
      </w:r>
    </w:p>
  </w:footnote>
  <w:footnote w:id="7">
    <w:p>
      <w:pPr>
        <w:pStyle w:val="FootnoteText"/>
        <w:ind w:left="851"/>
      </w:pPr>
      <w:r>
        <w:rPr>
          <w:rStyle w:val="FootnoteReference"/>
        </w:rPr>
        <w:footnoteRef/>
      </w:r>
      <w:r>
        <w:t xml:space="preserve"> U 70 US$/bittija fl-2019.</w:t>
      </w:r>
    </w:p>
  </w:footnote>
  <w:footnote w:id="8">
    <w:p>
      <w:pPr>
        <w:pStyle w:val="FootnoteText"/>
        <w:ind w:left="262" w:hanging="131"/>
      </w:pPr>
      <w:r>
        <w:rPr>
          <w:rStyle w:val="FootnoteReference"/>
        </w:rPr>
        <w:footnoteRef/>
      </w:r>
      <w:r>
        <w:t xml:space="preserve"> Il-kalkoli tal-Kummissjoni stess ibbażati fuq l-immudellar intern (il-mudell globali tal-Kummissjoni Ewropea għal diversi pajjiżi). Il-medja annwali fl-2018 tista’ tkun kemxejn inqas minn din is-suppożizzjoni.</w:t>
      </w:r>
    </w:p>
  </w:footnote>
  <w:footnote w:id="9">
    <w:p>
      <w:pPr>
        <w:pStyle w:val="FootnoteText"/>
        <w:ind w:left="851"/>
      </w:pPr>
      <w:r>
        <w:rPr>
          <w:rStyle w:val="FootnoteReference"/>
        </w:rPr>
        <w:footnoteRef/>
      </w:r>
      <w:r>
        <w:t xml:space="preserve"> COM(2018)796 “Lejn rwol internazzjonali aktar b’saħħtu tal-euro”</w:t>
      </w:r>
    </w:p>
  </w:footnote>
  <w:footnote w:id="10">
    <w:p>
      <w:pPr>
        <w:pStyle w:val="FootnoteText"/>
        <w:ind w:left="851"/>
      </w:pPr>
      <w:r>
        <w:rPr>
          <w:rStyle w:val="FootnoteReference"/>
        </w:rPr>
        <w:footnoteRef/>
      </w:r>
      <w:r>
        <w:t xml:space="preserve"> L-iktar </w:t>
      </w:r>
      <w:r>
        <w:rPr>
          <w:i/>
        </w:rPr>
        <w:t>data</w:t>
      </w:r>
      <w:r>
        <w:t xml:space="preserve"> reċenti tal-Eurostat disponibbli dwar in-nefqa tal-enerġija tal-unitajiet domestiċi (eskluż it-trasport)</w:t>
      </w:r>
    </w:p>
  </w:footnote>
  <w:footnote w:id="11">
    <w:p>
      <w:pPr>
        <w:pStyle w:val="FootnoteText"/>
        <w:ind w:left="262" w:hanging="131"/>
      </w:pPr>
      <w:r>
        <w:rPr>
          <w:rStyle w:val="FootnoteReference"/>
        </w:rPr>
        <w:footnoteRef/>
      </w:r>
      <w:r>
        <w:t xml:space="preserve"> Studju dwar “Prezzijiet,. kostijiet u sussidji tal-enerġija u l-impatt tagħhom fuq l-industrija u l-unitajiet domestiċi” minn Trinomics et altri (2018). </w:t>
      </w:r>
    </w:p>
  </w:footnote>
  <w:footnote w:id="12">
    <w:p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Ara l-valutazzjoni tal-impatt dwar ir-regoli riveduti għas-suq tal-elettriku (“Inizjattiva tad-Disinn tas-Suq”): </w:t>
      </w:r>
    </w:p>
    <w:p>
      <w:pPr>
        <w:pStyle w:val="FootnoteText"/>
        <w:ind w:left="131" w:firstLine="0"/>
      </w:pPr>
      <w:r>
        <w:t>https://ec.europa.eu/energy/sites/ener/files/documents/mdi_impact_assessment_main_report_for_publication.pdf</w:t>
      </w:r>
    </w:p>
  </w:footnote>
  <w:footnote w:id="13">
    <w:p>
      <w:pPr>
        <w:pStyle w:val="FootnoteText"/>
        <w:ind w:left="131" w:hanging="131"/>
      </w:pPr>
      <w:r>
        <w:rPr>
          <w:rStyle w:val="FootnoteReference"/>
        </w:rPr>
        <w:footnoteRef/>
      </w:r>
      <w:r>
        <w:t xml:space="preserve"> Iktar ħżin u domanda flessibbli se jgħinu sabiex jittaffew il-prezzijiet, b’mod partikolari billi jtellgħu l-prezz meta jkun hemm provvista abbundanti ta’ sorsi rinnovabbli varjabbli, u b’hekk jikkontrobilanċjaw l-effett ’l isfel fuq il-prezzijiet li se jkollha produzzjoni mir-riħ u mix-xemx li dejjem qed tiżdied, it-tnejn b’kost varjabbli viċin iż-żero, fil-mument li jipproduċu. </w:t>
      </w:r>
    </w:p>
  </w:footnote>
  <w:footnote w:id="14">
    <w:p>
      <w:pPr>
        <w:pStyle w:val="FootnoteText"/>
        <w:ind w:left="131" w:hanging="131"/>
      </w:pPr>
      <w:r>
        <w:rPr>
          <w:rStyle w:val="FootnoteReference"/>
        </w:rPr>
        <w:footnoteRef/>
      </w:r>
      <w:r>
        <w:t xml:space="preserve"> Il-projezzjonijiet tal-prezzijiet spot huma inċerti u l-prezzijiet attwali jiddependu fuq numru ta’ fatturi li diffiċli jiġu mbassra, inklużi l-kundizzjonijiet tat-temp jew avvenimenti imprevedibbli li jaffettwaw il-grilja.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Foo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464"/>
    <w:multiLevelType w:val="multilevel"/>
    <w:tmpl w:val="5CEC35F2"/>
    <w:numStyleLink w:val="ImportedStyle1"/>
  </w:abstractNum>
  <w:abstractNum w:abstractNumId="1">
    <w:nsid w:val="025F37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AC7958"/>
    <w:multiLevelType w:val="multilevel"/>
    <w:tmpl w:val="5CEC35F2"/>
    <w:styleLink w:val="ImportedStyle1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(%6)%7."/>
      <w:lvlJc w:val="left"/>
      <w:pPr>
        <w:ind w:left="118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(%6)%7.%8."/>
      <w:lvlJc w:val="left"/>
      <w:pPr>
        <w:ind w:left="154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(%6)%7.%8.%9."/>
      <w:lvlJc w:val="left"/>
      <w:pPr>
        <w:ind w:left="190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897D54"/>
    <w:multiLevelType w:val="hybridMultilevel"/>
    <w:tmpl w:val="84BC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12D11"/>
    <w:multiLevelType w:val="hybridMultilevel"/>
    <w:tmpl w:val="5228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272DC"/>
    <w:multiLevelType w:val="multilevel"/>
    <w:tmpl w:val="A454B5D8"/>
    <w:lvl w:ilvl="0">
      <w:start w:val="1"/>
      <w:numFmt w:val="decimal"/>
      <w:pStyle w:val="HeaderSensitivity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4A14CF"/>
    <w:multiLevelType w:val="hybridMultilevel"/>
    <w:tmpl w:val="13DC2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59"/>
    <w:multiLevelType w:val="hybridMultilevel"/>
    <w:tmpl w:val="193ECFC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14B04"/>
    <w:multiLevelType w:val="hybridMultilevel"/>
    <w:tmpl w:val="21DA32FE"/>
    <w:lvl w:ilvl="0" w:tplc="888E4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81638"/>
    <w:multiLevelType w:val="hybridMultilevel"/>
    <w:tmpl w:val="1050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A1BFA"/>
    <w:multiLevelType w:val="hybridMultilevel"/>
    <w:tmpl w:val="F5DCC17E"/>
    <w:lvl w:ilvl="0" w:tplc="888E487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29C061E2"/>
    <w:multiLevelType w:val="hybridMultilevel"/>
    <w:tmpl w:val="AA74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35FFD"/>
    <w:multiLevelType w:val="hybridMultilevel"/>
    <w:tmpl w:val="995CDB64"/>
    <w:numStyleLink w:val="ImportedStyle3"/>
  </w:abstractNum>
  <w:abstractNum w:abstractNumId="13">
    <w:nsid w:val="2F000002"/>
    <w:multiLevelType w:val="hybridMultilevel"/>
    <w:tmpl w:val="4B0FA6D2"/>
    <w:lvl w:ilvl="0" w:tplc="A3CEA068">
      <w:start w:val="1"/>
      <w:numFmt w:val="bullet"/>
      <w:lvlText w:val="·"/>
      <w:lvlJc w:val="left"/>
      <w:pPr>
        <w:ind w:left="10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2F8C7BE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BB2408A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B603986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A821008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8DC1AD0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BB2C748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DE025E0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B96E49C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300E35DA"/>
    <w:multiLevelType w:val="hybridMultilevel"/>
    <w:tmpl w:val="7A7C5086"/>
    <w:lvl w:ilvl="0" w:tplc="888E487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3E8D6741"/>
    <w:multiLevelType w:val="hybridMultilevel"/>
    <w:tmpl w:val="D1A8A212"/>
    <w:styleLink w:val="ImportedStyle2"/>
    <w:lvl w:ilvl="0" w:tplc="07B2A3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CCE6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9E14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C4C2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A77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895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1CBE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D850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20F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EB1427E"/>
    <w:multiLevelType w:val="hybridMultilevel"/>
    <w:tmpl w:val="1642339C"/>
    <w:lvl w:ilvl="0" w:tplc="888E4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2539B"/>
    <w:multiLevelType w:val="hybridMultilevel"/>
    <w:tmpl w:val="63C4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01E3"/>
    <w:multiLevelType w:val="hybridMultilevel"/>
    <w:tmpl w:val="0D2E14F0"/>
    <w:lvl w:ilvl="0" w:tplc="888E4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66DFA"/>
    <w:multiLevelType w:val="hybridMultilevel"/>
    <w:tmpl w:val="ABE64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249FD"/>
    <w:multiLevelType w:val="hybridMultilevel"/>
    <w:tmpl w:val="4F70E6AC"/>
    <w:lvl w:ilvl="0" w:tplc="888E4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06ACC"/>
    <w:multiLevelType w:val="hybridMultilevel"/>
    <w:tmpl w:val="C0D09A24"/>
    <w:lvl w:ilvl="0" w:tplc="888E4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55BF6"/>
    <w:multiLevelType w:val="multilevel"/>
    <w:tmpl w:val="080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3">
    <w:nsid w:val="524325C8"/>
    <w:multiLevelType w:val="hybridMultilevel"/>
    <w:tmpl w:val="2CE01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F3A2F"/>
    <w:multiLevelType w:val="hybridMultilevel"/>
    <w:tmpl w:val="BC5ED602"/>
    <w:lvl w:ilvl="0" w:tplc="888E4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50C8A"/>
    <w:multiLevelType w:val="hybridMultilevel"/>
    <w:tmpl w:val="86B68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658BA"/>
    <w:multiLevelType w:val="hybridMultilevel"/>
    <w:tmpl w:val="48AA2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5802DE"/>
    <w:multiLevelType w:val="hybridMultilevel"/>
    <w:tmpl w:val="45B6A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944B83"/>
    <w:multiLevelType w:val="hybridMultilevel"/>
    <w:tmpl w:val="403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A34B2"/>
    <w:multiLevelType w:val="hybridMultilevel"/>
    <w:tmpl w:val="995CDB64"/>
    <w:styleLink w:val="ImportedStyle3"/>
    <w:lvl w:ilvl="0" w:tplc="4EE6545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E623FF4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EE88018">
      <w:start w:val="1"/>
      <w:numFmt w:val="bullet"/>
      <w:lvlText w:val="▪"/>
      <w:lvlJc w:val="left"/>
      <w:pPr>
        <w:tabs>
          <w:tab w:val="left" w:pos="10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68CCF0A">
      <w:start w:val="1"/>
      <w:numFmt w:val="bullet"/>
      <w:lvlText w:val="•"/>
      <w:lvlJc w:val="left"/>
      <w:pPr>
        <w:tabs>
          <w:tab w:val="left" w:pos="108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AA84304">
      <w:start w:val="1"/>
      <w:numFmt w:val="bullet"/>
      <w:lvlText w:val="◦"/>
      <w:lvlJc w:val="left"/>
      <w:pPr>
        <w:tabs>
          <w:tab w:val="left" w:pos="10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F781958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C1AE64A">
      <w:start w:val="1"/>
      <w:numFmt w:val="bullet"/>
      <w:lvlText w:val="•"/>
      <w:lvlJc w:val="left"/>
      <w:pPr>
        <w:tabs>
          <w:tab w:val="left" w:pos="10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D86687E">
      <w:start w:val="1"/>
      <w:numFmt w:val="bullet"/>
      <w:lvlText w:val="◦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6F29852">
      <w:start w:val="1"/>
      <w:numFmt w:val="bullet"/>
      <w:lvlText w:val="▪"/>
      <w:lvlJc w:val="left"/>
      <w:pPr>
        <w:tabs>
          <w:tab w:val="left" w:pos="10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>
    <w:nsid w:val="6D39050C"/>
    <w:multiLevelType w:val="hybridMultilevel"/>
    <w:tmpl w:val="D1A8A212"/>
    <w:numStyleLink w:val="ImportedStyle2"/>
  </w:abstractNum>
  <w:abstractNum w:abstractNumId="31">
    <w:nsid w:val="7333319C"/>
    <w:multiLevelType w:val="hybridMultilevel"/>
    <w:tmpl w:val="10BEA7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A07542"/>
    <w:multiLevelType w:val="hybridMultilevel"/>
    <w:tmpl w:val="7024A8A0"/>
    <w:lvl w:ilvl="0" w:tplc="888E487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CE472D"/>
    <w:multiLevelType w:val="hybridMultilevel"/>
    <w:tmpl w:val="7556F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C456AF"/>
    <w:multiLevelType w:val="multilevel"/>
    <w:tmpl w:val="D8EA4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30"/>
  </w:num>
  <w:num w:numId="5">
    <w:abstractNumId w:val="0"/>
    <w:lvlOverride w:ilvl="0">
      <w:startOverride w:val="3"/>
    </w:lvlOverride>
  </w:num>
  <w:num w:numId="6">
    <w:abstractNumId w:val="29"/>
  </w:num>
  <w:num w:numId="7">
    <w:abstractNumId w:val="12"/>
  </w:num>
  <w:num w:numId="8">
    <w:abstractNumId w:val="11"/>
  </w:num>
  <w:num w:numId="9">
    <w:abstractNumId w:val="25"/>
  </w:num>
  <w:num w:numId="10">
    <w:abstractNumId w:val="23"/>
  </w:num>
  <w:num w:numId="11">
    <w:abstractNumId w:val="28"/>
  </w:num>
  <w:num w:numId="12">
    <w:abstractNumId w:val="17"/>
  </w:num>
  <w:num w:numId="13">
    <w:abstractNumId w:val="3"/>
  </w:num>
  <w:num w:numId="14">
    <w:abstractNumId w:val="13"/>
  </w:num>
  <w:num w:numId="15">
    <w:abstractNumId w:val="14"/>
  </w:num>
  <w:num w:numId="16">
    <w:abstractNumId w:val="10"/>
  </w:num>
  <w:num w:numId="17">
    <w:abstractNumId w:val="24"/>
  </w:num>
  <w:num w:numId="18">
    <w:abstractNumId w:val="18"/>
  </w:num>
  <w:num w:numId="19">
    <w:abstractNumId w:val="16"/>
  </w:num>
  <w:num w:numId="20">
    <w:abstractNumId w:val="8"/>
  </w:num>
  <w:num w:numId="21">
    <w:abstractNumId w:val="20"/>
  </w:num>
  <w:num w:numId="22">
    <w:abstractNumId w:val="21"/>
  </w:num>
  <w:num w:numId="23">
    <w:abstractNumId w:val="32"/>
  </w:num>
  <w:num w:numId="24">
    <w:abstractNumId w:val="26"/>
  </w:num>
  <w:num w:numId="25">
    <w:abstractNumId w:val="31"/>
  </w:num>
  <w:num w:numId="26">
    <w:abstractNumId w:val="33"/>
  </w:num>
  <w:num w:numId="27">
    <w:abstractNumId w:val="7"/>
  </w:num>
  <w:num w:numId="28">
    <w:abstractNumId w:val="27"/>
  </w:num>
  <w:num w:numId="29">
    <w:abstractNumId w:val="4"/>
  </w:num>
  <w:num w:numId="30">
    <w:abstractNumId w:val="9"/>
  </w:num>
  <w:num w:numId="31">
    <w:abstractNumId w:val="22"/>
  </w:num>
  <w:num w:numId="32">
    <w:abstractNumId w:val="1"/>
  </w:num>
  <w:num w:numId="33">
    <w:abstractNumId w:val="5"/>
  </w:num>
  <w:num w:numId="34">
    <w:abstractNumId w:val="19"/>
  </w:num>
  <w:num w:numId="35">
    <w:abstractNumId w:val="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hideSpellingErrors/>
  <w:hideGrammaticalErrors/>
  <w:revisionView w:markup="0"/>
  <w:defaultTabStop w:val="709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docVars>
    <w:docVar w:name="DocStatus" w:val="Green"/>
    <w:docVar w:name="LW_CORRIGENDUM" w:val="&lt;UNUSED&gt;"/>
    <w:docVar w:name="LW_COVERPAGE_EXISTS" w:val="True"/>
    <w:docVar w:name="LW_COVERPAGE_GUID" w:val="EF3FC803-A0E0-4FBD-9651-58D504472A51"/>
    <w:docVar w:name="LW_COVERPAGE_TYPE" w:val="1"/>
    <w:docVar w:name="LW_CROSSREFERENCE" w:val="{SWD(2019) 1 final}"/>
    <w:docVar w:name="LW_DocType" w:val="NORMAL"/>
    <w:docVar w:name="LW_EMISSION" w:val="9.1.2019"/>
    <w:docVar w:name="LW_EMISSION_ISODATE" w:val="2019-01-09"/>
    <w:docVar w:name="LW_EMISSION_LOCATION" w:val="BRX"/>
    <w:docVar w:name="LW_EMISSION_PREFIX" w:val="Brussell, "/>
    <w:docVar w:name="LW_EMISSION_SUFFIX" w:val=" "/>
    <w:docVar w:name="LW_ID_DOCTYPE_NONLW" w:val="CP-008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Il-prezzijiet u l-kostijiet tal-ener\u289?ija fl-Ewropa"/>
    <w:docVar w:name="LW_TYPE.DOC.CP" w:val="RAPPORT TAL-KUMMISSJONI LILL-PARLAMENT EWROPEW, LILL-KUNSILL, LILL-KUMITAT EKONOMIKU U SO\u266?JALI EWROPEW U LILL-KUMITAT TAR-RE\u288?JUN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mt-MT" w:eastAsia="mt-MT" w:bidi="mt-MT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35"/>
        <w:tab w:val="right" w:pos="9071"/>
        <w:tab w:val="right" w:pos="9921"/>
      </w:tabs>
      <w:spacing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12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Nomdelinstitution">
    <w:name w:val="Nom de l'institution"/>
    <w:next w:val="Emission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paragraph" w:customStyle="1" w:styleId="Emission">
    <w:name w:val="Emission"/>
    <w:pPr>
      <w:spacing w:after="120"/>
      <w:ind w:left="5103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Rfrenceinstitutionelle">
    <w:name w:val="Référence institutionelle"/>
    <w:pPr>
      <w:spacing w:after="120"/>
      <w:ind w:left="5103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Confidentialit">
    <w:name w:val="Confidentialité"/>
    <w:pPr>
      <w:spacing w:after="120"/>
      <w:ind w:left="5103"/>
      <w:jc w:val="both"/>
    </w:pPr>
    <w:rPr>
      <w:rFonts w:cs="Arial Unicode MS"/>
      <w:color w:val="000000"/>
      <w:u w:val="single" w:color="000000"/>
    </w:rPr>
  </w:style>
  <w:style w:type="paragraph" w:customStyle="1" w:styleId="Statut">
    <w:name w:val="Statut"/>
    <w:pPr>
      <w:spacing w:after="120"/>
      <w:jc w:val="center"/>
    </w:pPr>
    <w:rPr>
      <w:rFonts w:eastAsia="Times New Roman"/>
      <w:color w:val="000000"/>
      <w:sz w:val="24"/>
      <w:szCs w:val="24"/>
      <w:u w:color="000000"/>
    </w:rPr>
  </w:style>
  <w:style w:type="paragraph" w:customStyle="1" w:styleId="Typedudocument">
    <w:name w:val="Type du document"/>
    <w:pPr>
      <w:spacing w:after="120"/>
      <w:jc w:val="center"/>
    </w:pPr>
    <w:rPr>
      <w:rFonts w:eastAsia="Times New Roman"/>
      <w:b/>
      <w:bCs/>
      <w:color w:val="000000"/>
      <w:u w:color="000000"/>
    </w:rPr>
  </w:style>
  <w:style w:type="paragraph" w:customStyle="1" w:styleId="Prliminairetype">
    <w:name w:val="Préliminaire type"/>
    <w:next w:val="Body"/>
    <w:pPr>
      <w:spacing w:after="120"/>
      <w:jc w:val="center"/>
    </w:pPr>
    <w:rPr>
      <w:rFonts w:cs="Arial Unicode MS"/>
      <w:b/>
      <w:bCs/>
      <w:color w:val="000000"/>
      <w:u w:color="000000"/>
    </w:rPr>
  </w:style>
  <w:style w:type="paragraph" w:customStyle="1" w:styleId="Prliminairetitre">
    <w:name w:val="Préliminaire titre"/>
    <w:next w:val="Body"/>
    <w:pPr>
      <w:spacing w:after="120"/>
      <w:jc w:val="center"/>
    </w:pPr>
    <w:rPr>
      <w:rFonts w:cs="Arial Unicode MS"/>
      <w:b/>
      <w:bCs/>
      <w:color w:val="000000"/>
      <w:u w:color="000000"/>
    </w:rPr>
  </w:style>
  <w:style w:type="paragraph" w:customStyle="1" w:styleId="Phrasefinale">
    <w:name w:val="Phrase finale"/>
    <w:next w:val="Body"/>
    <w:pPr>
      <w:spacing w:after="120"/>
      <w:jc w:val="center"/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link w:val="HeadingChar"/>
    <w:pPr>
      <w:keepNext/>
      <w:tabs>
        <w:tab w:val="left" w:pos="850"/>
      </w:tabs>
      <w:spacing w:after="120"/>
      <w:jc w:val="both"/>
      <w:outlineLvl w:val="0"/>
    </w:pPr>
    <w:rPr>
      <w:rFonts w:cs="Arial Unicode MS"/>
      <w:b/>
      <w:bCs/>
      <w:smallCap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">
    <w:name w:val="Body Text"/>
    <w:link w:val="BodyTextChar"/>
    <w:pPr>
      <w:spacing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,Footnote Text_EP-LC"/>
    <w:link w:val="FootnoteTextChar"/>
    <w:uiPriority w:val="99"/>
    <w:qFormat/>
    <w:pPr>
      <w:spacing w:after="120"/>
      <w:ind w:left="1440" w:hanging="720"/>
      <w:jc w:val="both"/>
    </w:pPr>
    <w:rPr>
      <w:rFonts w:eastAsia="Times New Roman"/>
      <w:color w:val="000000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mt-MT" w:eastAsia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 w:eastAsia="mt-MT"/>
    </w:rPr>
  </w:style>
  <w:style w:type="character" w:styleId="FootnoteReference">
    <w:name w:val="footnote reference"/>
    <w:aliases w:val="SUPERS,-E Fußnotenzeichen,number,Footnote Reference Superscript,EN Footnote Reference,-E Fuﬂnotenzeichen,-E Fuûnotenzeichen,Footnote number,stylish,Footnote symbol,(Footnote Reference),Footnote reference number,note TESI,BVI fnr,fr,o"/>
    <w:basedOn w:val="DefaultParagraphFont"/>
    <w:uiPriority w:val="99"/>
    <w:unhideWhenUsed/>
    <w:qFormat/>
    <w:rPr>
      <w:vertAlign w:val="superscript"/>
    </w:rPr>
  </w:style>
  <w:style w:type="character" w:customStyle="1" w:styleId="FootnoteTextChar">
    <w:name w:val="Footnote Text Char"/>
    <w:aliases w:val="Char Char,Fußnote Char,Carattere Char,fn Char,Footnotes Char,Footnote ak Char,Footnote Text Char1 Char,Footnote Text Char Char Char,fn Char Char Char,footnote text Char Char Char,Footnotes Char Char Char,Footnote ak Char Char Char"/>
    <w:link w:val="FootnoteText"/>
    <w:uiPriority w:val="99"/>
    <w:qFormat/>
    <w:locked/>
    <w:rPr>
      <w:rFonts w:eastAsia="Times New Roman"/>
      <w:color w:val="000000"/>
      <w:u w:color="000000"/>
      <w:lang w:val="mt-MT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List Paragraph11,OBC Bullet,F5 List Paragraph,Colorful List - Accent 11,Normal numbered,L"/>
    <w:basedOn w:val="Normal"/>
    <w:link w:val="ListParagraphChar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List Paragraph11 Char,OBC Bullet Char,L Char"/>
    <w:link w:val="ListParagraph"/>
    <w:uiPriority w:val="34"/>
    <w:qFormat/>
    <w:locked/>
    <w:rPr>
      <w:rFonts w:asciiTheme="minorHAnsi" w:eastAsiaTheme="minorHAnsi" w:hAnsiTheme="minorHAnsi" w:cstheme="minorBidi"/>
      <w:sz w:val="22"/>
      <w:szCs w:val="22"/>
      <w:bdr w:val="none" w:sz="0" w:space="0" w:color="auto"/>
      <w:lang w:eastAsia="mt-MT"/>
    </w:rPr>
  </w:style>
  <w:style w:type="table" w:styleId="TableGrid">
    <w:name w:val="Table Grid"/>
    <w:uiPriority w:val="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mt-MT" w:eastAsia="mt-MT"/>
    </w:rPr>
  </w:style>
  <w:style w:type="character" w:customStyle="1" w:styleId="BodyTextChar">
    <w:name w:val="Body Text Char"/>
    <w:basedOn w:val="DefaultParagraphFont"/>
    <w:link w:val="BodyText"/>
    <w:rPr>
      <w:rFonts w:cs="Arial Unicode MS"/>
      <w:color w:val="000000"/>
      <w:sz w:val="24"/>
      <w:szCs w:val="24"/>
      <w:u w:color="000000"/>
      <w:lang w:val="mt-MT"/>
    </w:rPr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mt-MT" w:eastAsia="mt-MT"/>
    </w:rPr>
  </w:style>
  <w:style w:type="character" w:customStyle="1" w:styleId="FooterChar">
    <w:name w:val="Footer Char"/>
    <w:basedOn w:val="DefaultParagraphFont"/>
    <w:link w:val="Footer"/>
    <w:uiPriority w:val="99"/>
    <w:rPr>
      <w:rFonts w:cs="Arial Unicode MS"/>
      <w:color w:val="000000"/>
      <w:sz w:val="24"/>
      <w:szCs w:val="24"/>
      <w:u w:color="000000"/>
      <w:lang w:val="mt-MT"/>
    </w:rPr>
  </w:style>
  <w:style w:type="paragraph" w:styleId="Caption">
    <w:name w:val="caption"/>
    <w:aliases w:val="Caption-tables,Tasks,Beschriftung Char2,Beschriftung Char1 Char1,Beschriftung Char Char Char1,Beschriftung Char1 Char Char,Beschriftung Char Char Char Char,Beschriftung Char Char1 Char,Beschriftung Char Char2,Beschriftung Char1 Cha...,Eco,Legend"/>
    <w:basedOn w:val="Normal"/>
    <w:next w:val="Normal"/>
    <w:link w:val="CaptionChar"/>
    <w:uiPriority w:val="35"/>
    <w:unhideWhenUsed/>
    <w:qFormat/>
    <w:pPr>
      <w:spacing w:after="200"/>
    </w:pPr>
    <w:rPr>
      <w:i/>
      <w:iCs/>
      <w:color w:val="A7A7A7" w:themeColor="text2"/>
      <w:sz w:val="18"/>
      <w:szCs w:val="18"/>
    </w:rPr>
  </w:style>
  <w:style w:type="paragraph" w:customStyle="1" w:styleId="SUPERSChar">
    <w:name w:val="SUPERS Char"/>
    <w:aliases w:val="EN Footnote Reference Char"/>
    <w:basedOn w:val="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60" w:line="240" w:lineRule="exact"/>
      <w:jc w:val="both"/>
      <w:textAlignment w:val="baseline"/>
    </w:pPr>
    <w:rPr>
      <w:rFonts w:eastAsia="Times New Roman"/>
      <w:sz w:val="20"/>
      <w:szCs w:val="20"/>
      <w:bdr w:val="none" w:sz="0" w:space="0" w:color="auto"/>
      <w:vertAlign w:val="superscript"/>
    </w:rPr>
  </w:style>
  <w:style w:type="character" w:customStyle="1" w:styleId="CaptionChar">
    <w:name w:val="Caption Char"/>
    <w:aliases w:val="Caption-tables Char,Tasks Char,Beschriftung Char2 Char,Beschriftung Char1 Char1 Char,Beschriftung Char Char Char1 Char,Beschriftung Char1 Char Char Char,Beschriftung Char Char Char Char Char,Beschriftung Char Char1 Char Char,Eco Char"/>
    <w:link w:val="Caption"/>
    <w:uiPriority w:val="35"/>
    <w:rPr>
      <w:i/>
      <w:iCs/>
      <w:color w:val="A7A7A7" w:themeColor="text2"/>
      <w:sz w:val="18"/>
      <w:szCs w:val="18"/>
      <w:lang w:val="mt-MT" w:eastAsia="mt-MT"/>
    </w:rPr>
  </w:style>
  <w:style w:type="paragraph" w:styleId="NoSpacing">
    <w:name w:val="No Spacing"/>
    <w:uiPriority w:val="1"/>
    <w:qFormat/>
    <w:rPr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/>
      <w:szCs w:val="22"/>
      <w:bdr w:val="none" w:sz="0" w:space="0" w:color="aut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 w:hanging="360"/>
    </w:pPr>
  </w:style>
  <w:style w:type="character" w:customStyle="1" w:styleId="HeadingChar">
    <w:name w:val="Heading Char"/>
    <w:basedOn w:val="DefaultParagraphFont"/>
    <w:link w:val="Heading"/>
    <w:rPr>
      <w:rFonts w:cs="Arial Unicode MS"/>
      <w:b/>
      <w:bCs/>
      <w:smallCaps/>
      <w:color w:val="000000"/>
      <w:sz w:val="24"/>
      <w:szCs w:val="24"/>
      <w:u w:color="000000"/>
      <w:lang w:val="mt-MT"/>
    </w:rPr>
  </w:style>
  <w:style w:type="character" w:customStyle="1" w:styleId="FooterCoverPageChar">
    <w:name w:val="Footer Cover Page Char"/>
    <w:basedOn w:val="HeadingChar"/>
    <w:link w:val="FooterCoverPage"/>
    <w:rPr>
      <w:rFonts w:cs="Arial Unicode MS"/>
      <w:b w:val="0"/>
      <w:bCs w:val="0"/>
      <w:smallCaps w:val="0"/>
      <w:color w:val="000000"/>
      <w:sz w:val="24"/>
      <w:szCs w:val="24"/>
      <w:u w:color="000000"/>
      <w:lang w:val="mt-MT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 w:hanging="360"/>
      <w:jc w:val="center"/>
    </w:pPr>
    <w:rPr>
      <w:b/>
      <w:sz w:val="32"/>
    </w:rPr>
  </w:style>
  <w:style w:type="character" w:customStyle="1" w:styleId="FooterSensitivityChar">
    <w:name w:val="Footer Sensitivity Char"/>
    <w:basedOn w:val="HeadingChar"/>
    <w:link w:val="FooterSensitivity"/>
    <w:rPr>
      <w:rFonts w:cs="Arial Unicode MS"/>
      <w:b/>
      <w:bCs w:val="0"/>
      <w:smallCaps w:val="0"/>
      <w:color w:val="000000"/>
      <w:sz w:val="32"/>
      <w:szCs w:val="24"/>
      <w:u w:color="000000"/>
      <w:lang w:val="mt-M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ind w:hanging="360"/>
      <w:jc w:val="both"/>
    </w:pPr>
  </w:style>
  <w:style w:type="character" w:customStyle="1" w:styleId="HeaderCoverPageChar">
    <w:name w:val="Header Cover Page Char"/>
    <w:basedOn w:val="HeadingChar"/>
    <w:link w:val="HeaderCoverPage"/>
    <w:rPr>
      <w:rFonts w:cs="Arial Unicode MS"/>
      <w:b w:val="0"/>
      <w:bCs w:val="0"/>
      <w:smallCaps w:val="0"/>
      <w:color w:val="000000"/>
      <w:sz w:val="24"/>
      <w:szCs w:val="24"/>
      <w:u w:color="000000"/>
      <w:lang w:val="mt-MT"/>
    </w:rPr>
  </w:style>
  <w:style w:type="paragraph" w:customStyle="1" w:styleId="HeaderSensitivity">
    <w:name w:val="Header Sensitivity"/>
    <w:basedOn w:val="Normal"/>
    <w:link w:val="HeaderSensitivityChar"/>
    <w:pPr>
      <w:numPr>
        <w:numId w:val="3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HeadingChar"/>
    <w:link w:val="HeaderSensitivity"/>
    <w:rPr>
      <w:rFonts w:cs="Arial Unicode MS"/>
      <w:b/>
      <w:bCs w:val="0"/>
      <w:smallCaps w:val="0"/>
      <w:color w:val="000000"/>
      <w:sz w:val="32"/>
      <w:szCs w:val="24"/>
      <w:u w:color="000000"/>
      <w:lang w:val="mt-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mt-MT" w:eastAsia="mt-MT" w:bidi="mt-MT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35"/>
        <w:tab w:val="right" w:pos="9071"/>
        <w:tab w:val="right" w:pos="9921"/>
      </w:tabs>
      <w:spacing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12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Nomdelinstitution">
    <w:name w:val="Nom de l'institution"/>
    <w:next w:val="Emission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paragraph" w:customStyle="1" w:styleId="Emission">
    <w:name w:val="Emission"/>
    <w:pPr>
      <w:spacing w:after="120"/>
      <w:ind w:left="5103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Rfrenceinstitutionelle">
    <w:name w:val="Référence institutionelle"/>
    <w:pPr>
      <w:spacing w:after="120"/>
      <w:ind w:left="5103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Confidentialit">
    <w:name w:val="Confidentialité"/>
    <w:pPr>
      <w:spacing w:after="120"/>
      <w:ind w:left="5103"/>
      <w:jc w:val="both"/>
    </w:pPr>
    <w:rPr>
      <w:rFonts w:cs="Arial Unicode MS"/>
      <w:color w:val="000000"/>
      <w:u w:val="single" w:color="000000"/>
    </w:rPr>
  </w:style>
  <w:style w:type="paragraph" w:customStyle="1" w:styleId="Statut">
    <w:name w:val="Statut"/>
    <w:pPr>
      <w:spacing w:after="120"/>
      <w:jc w:val="center"/>
    </w:pPr>
    <w:rPr>
      <w:rFonts w:eastAsia="Times New Roman"/>
      <w:color w:val="000000"/>
      <w:sz w:val="24"/>
      <w:szCs w:val="24"/>
      <w:u w:color="000000"/>
    </w:rPr>
  </w:style>
  <w:style w:type="paragraph" w:customStyle="1" w:styleId="Typedudocument">
    <w:name w:val="Type du document"/>
    <w:pPr>
      <w:spacing w:after="120"/>
      <w:jc w:val="center"/>
    </w:pPr>
    <w:rPr>
      <w:rFonts w:eastAsia="Times New Roman"/>
      <w:b/>
      <w:bCs/>
      <w:color w:val="000000"/>
      <w:u w:color="000000"/>
    </w:rPr>
  </w:style>
  <w:style w:type="paragraph" w:customStyle="1" w:styleId="Prliminairetype">
    <w:name w:val="Préliminaire type"/>
    <w:next w:val="Body"/>
    <w:pPr>
      <w:spacing w:after="120"/>
      <w:jc w:val="center"/>
    </w:pPr>
    <w:rPr>
      <w:rFonts w:cs="Arial Unicode MS"/>
      <w:b/>
      <w:bCs/>
      <w:color w:val="000000"/>
      <w:u w:color="000000"/>
    </w:rPr>
  </w:style>
  <w:style w:type="paragraph" w:customStyle="1" w:styleId="Prliminairetitre">
    <w:name w:val="Préliminaire titre"/>
    <w:next w:val="Body"/>
    <w:pPr>
      <w:spacing w:after="120"/>
      <w:jc w:val="center"/>
    </w:pPr>
    <w:rPr>
      <w:rFonts w:cs="Arial Unicode MS"/>
      <w:b/>
      <w:bCs/>
      <w:color w:val="000000"/>
      <w:u w:color="000000"/>
    </w:rPr>
  </w:style>
  <w:style w:type="paragraph" w:customStyle="1" w:styleId="Phrasefinale">
    <w:name w:val="Phrase finale"/>
    <w:next w:val="Body"/>
    <w:pPr>
      <w:spacing w:after="120"/>
      <w:jc w:val="center"/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link w:val="HeadingChar"/>
    <w:pPr>
      <w:keepNext/>
      <w:tabs>
        <w:tab w:val="left" w:pos="850"/>
      </w:tabs>
      <w:spacing w:after="120"/>
      <w:jc w:val="both"/>
      <w:outlineLvl w:val="0"/>
    </w:pPr>
    <w:rPr>
      <w:rFonts w:cs="Arial Unicode MS"/>
      <w:b/>
      <w:bCs/>
      <w:smallCap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">
    <w:name w:val="Body Text"/>
    <w:link w:val="BodyTextChar"/>
    <w:pPr>
      <w:spacing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,Footnote Text_EP-LC"/>
    <w:link w:val="FootnoteTextChar"/>
    <w:uiPriority w:val="99"/>
    <w:qFormat/>
    <w:pPr>
      <w:spacing w:after="120"/>
      <w:ind w:left="1440" w:hanging="720"/>
      <w:jc w:val="both"/>
    </w:pPr>
    <w:rPr>
      <w:rFonts w:eastAsia="Times New Roman"/>
      <w:color w:val="000000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mt-MT" w:eastAsia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 w:eastAsia="mt-MT"/>
    </w:rPr>
  </w:style>
  <w:style w:type="character" w:styleId="FootnoteReference">
    <w:name w:val="footnote reference"/>
    <w:aliases w:val="SUPERS,-E Fußnotenzeichen,number,Footnote Reference Superscript,EN Footnote Reference,-E Fuﬂnotenzeichen,-E Fuûnotenzeichen,Footnote number,stylish,Footnote symbol,(Footnote Reference),Footnote reference number,note TESI,BVI fnr,fr,o"/>
    <w:basedOn w:val="DefaultParagraphFont"/>
    <w:uiPriority w:val="99"/>
    <w:unhideWhenUsed/>
    <w:qFormat/>
    <w:rPr>
      <w:vertAlign w:val="superscript"/>
    </w:rPr>
  </w:style>
  <w:style w:type="character" w:customStyle="1" w:styleId="FootnoteTextChar">
    <w:name w:val="Footnote Text Char"/>
    <w:aliases w:val="Char Char,Fußnote Char,Carattere Char,fn Char,Footnotes Char,Footnote ak Char,Footnote Text Char1 Char,Footnote Text Char Char Char,fn Char Char Char,footnote text Char Char Char,Footnotes Char Char Char,Footnote ak Char Char Char"/>
    <w:link w:val="FootnoteText"/>
    <w:uiPriority w:val="99"/>
    <w:qFormat/>
    <w:locked/>
    <w:rPr>
      <w:rFonts w:eastAsia="Times New Roman"/>
      <w:color w:val="000000"/>
      <w:u w:color="000000"/>
      <w:lang w:val="mt-MT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List Paragraph11,OBC Bullet,F5 List Paragraph,Colorful List - Accent 11,Normal numbered,L"/>
    <w:basedOn w:val="Normal"/>
    <w:link w:val="ListParagraphChar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List Paragraph11 Char,OBC Bullet Char,L Char"/>
    <w:link w:val="ListParagraph"/>
    <w:uiPriority w:val="34"/>
    <w:qFormat/>
    <w:locked/>
    <w:rPr>
      <w:rFonts w:asciiTheme="minorHAnsi" w:eastAsiaTheme="minorHAnsi" w:hAnsiTheme="minorHAnsi" w:cstheme="minorBidi"/>
      <w:sz w:val="22"/>
      <w:szCs w:val="22"/>
      <w:bdr w:val="none" w:sz="0" w:space="0" w:color="auto"/>
      <w:lang w:eastAsia="mt-MT"/>
    </w:rPr>
  </w:style>
  <w:style w:type="table" w:styleId="TableGrid">
    <w:name w:val="Table Grid"/>
    <w:uiPriority w:val="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mt-MT" w:eastAsia="mt-MT"/>
    </w:rPr>
  </w:style>
  <w:style w:type="character" w:customStyle="1" w:styleId="BodyTextChar">
    <w:name w:val="Body Text Char"/>
    <w:basedOn w:val="DefaultParagraphFont"/>
    <w:link w:val="BodyText"/>
    <w:rPr>
      <w:rFonts w:cs="Arial Unicode MS"/>
      <w:color w:val="000000"/>
      <w:sz w:val="24"/>
      <w:szCs w:val="24"/>
      <w:u w:color="000000"/>
      <w:lang w:val="mt-MT"/>
    </w:rPr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mt-MT" w:eastAsia="mt-MT"/>
    </w:rPr>
  </w:style>
  <w:style w:type="character" w:customStyle="1" w:styleId="FooterChar">
    <w:name w:val="Footer Char"/>
    <w:basedOn w:val="DefaultParagraphFont"/>
    <w:link w:val="Footer"/>
    <w:uiPriority w:val="99"/>
    <w:rPr>
      <w:rFonts w:cs="Arial Unicode MS"/>
      <w:color w:val="000000"/>
      <w:sz w:val="24"/>
      <w:szCs w:val="24"/>
      <w:u w:color="000000"/>
      <w:lang w:val="mt-MT"/>
    </w:rPr>
  </w:style>
  <w:style w:type="paragraph" w:styleId="Caption">
    <w:name w:val="caption"/>
    <w:aliases w:val="Caption-tables,Tasks,Beschriftung Char2,Beschriftung Char1 Char1,Beschriftung Char Char Char1,Beschriftung Char1 Char Char,Beschriftung Char Char Char Char,Beschriftung Char Char1 Char,Beschriftung Char Char2,Beschriftung Char1 Cha...,Eco,Legend"/>
    <w:basedOn w:val="Normal"/>
    <w:next w:val="Normal"/>
    <w:link w:val="CaptionChar"/>
    <w:uiPriority w:val="35"/>
    <w:unhideWhenUsed/>
    <w:qFormat/>
    <w:pPr>
      <w:spacing w:after="200"/>
    </w:pPr>
    <w:rPr>
      <w:i/>
      <w:iCs/>
      <w:color w:val="A7A7A7" w:themeColor="text2"/>
      <w:sz w:val="18"/>
      <w:szCs w:val="18"/>
    </w:rPr>
  </w:style>
  <w:style w:type="paragraph" w:customStyle="1" w:styleId="SUPERSChar">
    <w:name w:val="SUPERS Char"/>
    <w:aliases w:val="EN Footnote Reference Char"/>
    <w:basedOn w:val="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60" w:line="240" w:lineRule="exact"/>
      <w:jc w:val="both"/>
      <w:textAlignment w:val="baseline"/>
    </w:pPr>
    <w:rPr>
      <w:rFonts w:eastAsia="Times New Roman"/>
      <w:sz w:val="20"/>
      <w:szCs w:val="20"/>
      <w:bdr w:val="none" w:sz="0" w:space="0" w:color="auto"/>
      <w:vertAlign w:val="superscript"/>
    </w:rPr>
  </w:style>
  <w:style w:type="character" w:customStyle="1" w:styleId="CaptionChar">
    <w:name w:val="Caption Char"/>
    <w:aliases w:val="Caption-tables Char,Tasks Char,Beschriftung Char2 Char,Beschriftung Char1 Char1 Char,Beschriftung Char Char Char1 Char,Beschriftung Char1 Char Char Char,Beschriftung Char Char Char Char Char,Beschriftung Char Char1 Char Char,Eco Char"/>
    <w:link w:val="Caption"/>
    <w:uiPriority w:val="35"/>
    <w:rPr>
      <w:i/>
      <w:iCs/>
      <w:color w:val="A7A7A7" w:themeColor="text2"/>
      <w:sz w:val="18"/>
      <w:szCs w:val="18"/>
      <w:lang w:val="mt-MT" w:eastAsia="mt-MT"/>
    </w:rPr>
  </w:style>
  <w:style w:type="paragraph" w:styleId="NoSpacing">
    <w:name w:val="No Spacing"/>
    <w:uiPriority w:val="1"/>
    <w:qFormat/>
    <w:rPr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/>
      <w:szCs w:val="22"/>
      <w:bdr w:val="none" w:sz="0" w:space="0" w:color="aut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 w:hanging="360"/>
    </w:pPr>
  </w:style>
  <w:style w:type="character" w:customStyle="1" w:styleId="HeadingChar">
    <w:name w:val="Heading Char"/>
    <w:basedOn w:val="DefaultParagraphFont"/>
    <w:link w:val="Heading"/>
    <w:rPr>
      <w:rFonts w:cs="Arial Unicode MS"/>
      <w:b/>
      <w:bCs/>
      <w:smallCaps/>
      <w:color w:val="000000"/>
      <w:sz w:val="24"/>
      <w:szCs w:val="24"/>
      <w:u w:color="000000"/>
      <w:lang w:val="mt-MT"/>
    </w:rPr>
  </w:style>
  <w:style w:type="character" w:customStyle="1" w:styleId="FooterCoverPageChar">
    <w:name w:val="Footer Cover Page Char"/>
    <w:basedOn w:val="HeadingChar"/>
    <w:link w:val="FooterCoverPage"/>
    <w:rPr>
      <w:rFonts w:cs="Arial Unicode MS"/>
      <w:b w:val="0"/>
      <w:bCs w:val="0"/>
      <w:smallCaps w:val="0"/>
      <w:color w:val="000000"/>
      <w:sz w:val="24"/>
      <w:szCs w:val="24"/>
      <w:u w:color="000000"/>
      <w:lang w:val="mt-MT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 w:hanging="360"/>
      <w:jc w:val="center"/>
    </w:pPr>
    <w:rPr>
      <w:b/>
      <w:sz w:val="32"/>
    </w:rPr>
  </w:style>
  <w:style w:type="character" w:customStyle="1" w:styleId="FooterSensitivityChar">
    <w:name w:val="Footer Sensitivity Char"/>
    <w:basedOn w:val="HeadingChar"/>
    <w:link w:val="FooterSensitivity"/>
    <w:rPr>
      <w:rFonts w:cs="Arial Unicode MS"/>
      <w:b/>
      <w:bCs w:val="0"/>
      <w:smallCaps w:val="0"/>
      <w:color w:val="000000"/>
      <w:sz w:val="32"/>
      <w:szCs w:val="24"/>
      <w:u w:color="000000"/>
      <w:lang w:val="mt-M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ind w:hanging="360"/>
      <w:jc w:val="both"/>
    </w:pPr>
  </w:style>
  <w:style w:type="character" w:customStyle="1" w:styleId="HeaderCoverPageChar">
    <w:name w:val="Header Cover Page Char"/>
    <w:basedOn w:val="HeadingChar"/>
    <w:link w:val="HeaderCoverPage"/>
    <w:rPr>
      <w:rFonts w:cs="Arial Unicode MS"/>
      <w:b w:val="0"/>
      <w:bCs w:val="0"/>
      <w:smallCaps w:val="0"/>
      <w:color w:val="000000"/>
      <w:sz w:val="24"/>
      <w:szCs w:val="24"/>
      <w:u w:color="000000"/>
      <w:lang w:val="mt-MT"/>
    </w:rPr>
  </w:style>
  <w:style w:type="paragraph" w:customStyle="1" w:styleId="HeaderSensitivity">
    <w:name w:val="Header Sensitivity"/>
    <w:basedOn w:val="Normal"/>
    <w:link w:val="HeaderSensitivityChar"/>
    <w:pPr>
      <w:numPr>
        <w:numId w:val="3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HeadingChar"/>
    <w:link w:val="HeaderSensitivity"/>
    <w:rPr>
      <w:rFonts w:cs="Arial Unicode MS"/>
      <w:b/>
      <w:bCs w:val="0"/>
      <w:smallCaps w:val="0"/>
      <w:color w:val="000000"/>
      <w:sz w:val="32"/>
      <w:szCs w:val="24"/>
      <w:u w:color="000000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34" Type="http://schemas.openxmlformats.org/officeDocument/2006/relationships/header" Target="header6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image" Target="media/image8.emf"/><Relationship Id="rId33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emf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2.emf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5abd62ad-0606-492b-b6b3-a241217a7a72">EN</EC_Collab_DocumentLanguage>
    <EC_Collab_Status xmlns="5abd62ad-0606-492b-b6b3-a241217a7a72">Draft</EC_Collab_Status>
    <_Status xmlns="http://schemas.microsoft.com/sharepoint/v3/fields">Not Started</_Status>
    <EC_Collab_Reference xmlns="5abd62ad-0606-492b-b6b3-a241217a7a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5E2AC295F185DC4590AEB664EBBB01D6" ma:contentTypeVersion="0" ma:contentTypeDescription="Create a new document in this library." ma:contentTypeScope="" ma:versionID="abc276328bf14133db545bed1cebe430">
  <xsd:schema xmlns:xsd="http://www.w3.org/2001/XMLSchema" xmlns:xs="http://www.w3.org/2001/XMLSchema" xmlns:p="http://schemas.microsoft.com/office/2006/metadata/properties" xmlns:ns2="http://schemas.microsoft.com/sharepoint/v3/fields" xmlns:ns3="5abd62ad-0606-492b-b6b3-a241217a7a72" targetNamespace="http://schemas.microsoft.com/office/2006/metadata/properties" ma:root="true" ma:fieldsID="4b0ef16f64bd1a0eaf27b3e79d160191" ns2:_="" ns3:_="">
    <xsd:import namespace="http://schemas.microsoft.com/sharepoint/v3/fields"/>
    <xsd:import namespace="5abd62ad-0606-492b-b6b3-a241217a7a7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d62ad-0606-492b-b6b3-a241217a7a7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F89C-5625-47DC-8FDC-644B822DDB41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5abd62ad-0606-492b-b6b3-a241217a7a72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AA806D2-A548-499F-962B-C54BCE3DC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F87C3-0B53-4A3E-9C66-499F1F34D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5abd62ad-0606-492b-b6b3-a241217a7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15DCFF-5D43-403D-98DE-4F4D8C1A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4088</Words>
  <Characters>30949</Characters>
  <Application>Microsoft Office Word</Application>
  <DocSecurity>0</DocSecurity>
  <Lines>461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Second clean version post ISC</dc:description>
  <cp:lastModifiedBy/>
  <cp:revision>1</cp:revision>
  <dcterms:created xsi:type="dcterms:W3CDTF">2018-11-27T08:49:00Z</dcterms:created>
  <dcterms:modified xsi:type="dcterms:W3CDTF">2018-12-21T06:47:00Z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0x010100258AA79CEB83498886A3A08681123250005E2AC295F185DC4590AEB664EBBB01D6</vt:lpwstr>
  </property>
  <property fmtid="{D5CDD505-2E9C-101B-9397-08002B2CF9AE}" pid="3" name="Level of sensitivity">
    <vt:lpwstr>Standard treatment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reated using">
    <vt:lpwstr>LW 6.0.1, Build 20180503</vt:lpwstr>
  </property>
  <property fmtid="{D5CDD505-2E9C-101B-9397-08002B2CF9AE}" pid="8" name="Last edited using">
    <vt:lpwstr>LW 6.0.1, Build 20180503</vt:lpwstr>
  </property>
</Properties>
</file>