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BB9AE6-DB7D-4266-AE16-3A855E34F477"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szCs w:val="24"/>
        </w:rPr>
      </w:pPr>
      <w:r>
        <w:rPr>
          <w:noProof/>
        </w:rPr>
        <w:t>Neuvosto ja Euroopan parlamentti hyväksyivät syyskuussa 2018 kaksi säädöstä: asetuksen Euroopan matkustustieto- ja -lupajärjestelmän (ETIAS) perustamisesta</w:t>
      </w:r>
      <w:r>
        <w:rPr>
          <w:rStyle w:val="FootnoteReference0"/>
          <w:noProof/>
        </w:rPr>
        <w:footnoteReference w:id="1"/>
      </w:r>
      <w:r>
        <w:rPr>
          <w:noProof/>
        </w:rPr>
        <w:t xml:space="preserve"> ja Europol-asetuksen muutoksen ETIAS-järjestelmän perustamista varten</w:t>
      </w:r>
      <w:r>
        <w:rPr>
          <w:rStyle w:val="FootnoteReference0"/>
          <w:noProof/>
        </w:rPr>
        <w:footnoteReference w:id="2"/>
      </w:r>
      <w:r>
        <w:rPr>
          <w:noProof/>
        </w:rPr>
        <w:t>.</w:t>
      </w:r>
    </w:p>
    <w:p>
      <w:pPr>
        <w:rPr>
          <w:noProof/>
          <w:szCs w:val="24"/>
        </w:rPr>
      </w:pPr>
      <w:r>
        <w:rPr>
          <w:noProof/>
        </w:rPr>
        <w:t>ETIAS-järjestelmän perustaminen on yksi viime vuosina EU:n tasolla toteutetuista toimista, joiden tarkoituksena on parantaa kansalaisten turvallisuutta ja estää laiton maahanmuutto avoimessa Euroopassa turvaamalla ulkorajat ja tehostamalla edelleen niiden valvontaa</w:t>
      </w:r>
      <w:r>
        <w:rPr>
          <w:rStyle w:val="FootnoteReference0"/>
          <w:noProof/>
        </w:rPr>
        <w:footnoteReference w:id="3"/>
      </w:r>
      <w:r>
        <w:rPr>
          <w:noProof/>
          <w:vertAlign w:val="superscript"/>
        </w:rPr>
        <w:t>,</w:t>
      </w:r>
      <w:r>
        <w:rPr>
          <w:rStyle w:val="FootnoteReference0"/>
          <w:noProof/>
        </w:rPr>
        <w:footnoteReference w:id="4"/>
      </w:r>
      <w:r>
        <w:rPr>
          <w:noProof/>
        </w:rPr>
        <w:t>. Järjestelmän taustaa ja perustamista tarkasteltiin unionin tilaa vuonna 2016 käsitelleessä puheessa, jossa puheenjohtaja Juncker totesi: ”</w:t>
      </w:r>
      <w:r>
        <w:rPr>
          <w:i/>
          <w:noProof/>
        </w:rPr>
        <w:t>Aiomme puolustaa rajojamme […] käynnistämällä […] tiukat tarkastukset, jotka koskevat kaikkia rajat ylittäviä. Aina kun joku saapuu EU:n alueelle tai poistuu sieltä, rajanylityspaikka sekä rajanylityksen aika ja syy on kirjattava muistiin. Aiomme esittää viimeistään marraskuussa [2016] EU:n matkustustietojärjestelmää koskevan ehdotuksen. Tämän automaattisen järjestelmän avulla määritellään, kuka saa luvan matkustaa Eurooppaan. Näin Eurooppaan matkustavat henkilöt ovat tiedossamme jo ennen heidän saapumistaan tänne.</w:t>
      </w:r>
      <w:r>
        <w:rPr>
          <w:noProof/>
        </w:rPr>
        <w:t>”</w:t>
      </w:r>
    </w:p>
    <w:p>
      <w:pPr>
        <w:rPr>
          <w:noProof/>
          <w:szCs w:val="24"/>
        </w:rPr>
      </w:pPr>
      <w:r>
        <w:rPr>
          <w:noProof/>
        </w:rPr>
        <w:t>ETIAS-järjestelmän avulla saadaan lisää tietoja matkailijoista, joilta ei vaadita viisumia ulkorajojen ylittämiseen. Sen avulla voitaisiin määrittää viisumipakosta vapautettujen kolmansien maiden kansalaisten maahantulokelpoisuus ennen kuin he matkustavat Schengen-alueelle ja todeta, aiheuttaako heidän matkansa turvallisuusriskin, laittoman maahanmuuton riskin tai suuren epidemiariskin. ETIAS-järjestelmän ansiosta myös matkailijat voivat luottaa siihen, että he voivat ylittää rajan sujuvasti. Kansalliset ETIAS-yksiköt voivat tarvittaessa evätä ETIAS-matkustusluvan.</w:t>
      </w:r>
    </w:p>
    <w:p>
      <w:pPr>
        <w:rPr>
          <w:noProof/>
          <w:szCs w:val="24"/>
        </w:rPr>
      </w:pPr>
      <w:r>
        <w:rPr>
          <w:noProof/>
        </w:rPr>
        <w:t>Riskien arviointiin sisältyy henkilön matkustuslupaa hakiessaan antamien henkilötietojen automatisoitu käsittely. ETIAS-asetuksen mukaan kutakin hakemuksissa olevaa henkilötietoa olisi verrattava EU:n tietojärjestelmissä tai tietokannoissa (ETIAS-keskusyksikkö, Schengenin tietojärjestelmä (SIS), viisumitietojärjestelmä (VIS), rajanylitystietojärjestelmä (EES) tai Eurodac), Europolin tiedoissa tai Interpolin tietokannoissa (Interpolin varastettujen ja kadonneiden matkustusasiakirjojen SLTD-tietokanta tai TDWAN-tietokanta) olevassa tietueessa, tiedostossa tai kuulutuksessa oleviin tietoihin.</w:t>
      </w:r>
      <w:r>
        <w:rPr>
          <w:rStyle w:val="FootnoteReference0"/>
          <w:noProof/>
        </w:rPr>
        <w:footnoteReference w:id="5"/>
      </w:r>
    </w:p>
    <w:p>
      <w:pPr>
        <w:rPr>
          <w:rStyle w:val="Added"/>
          <w:b w:val="0"/>
          <w:noProof/>
        </w:rPr>
      </w:pPr>
      <w:r>
        <w:rPr>
          <w:noProof/>
        </w:rPr>
        <w:t>Asetuksen 20 artiklassa määritellään, minkä tyyppisiä tietoja hakemustiedostoista voidaan käyttää tehtäessä hakuja muihin järjestelmiin, mutta kaikkia näitä tietoja ei kerätä tai tallenneta samalla tavoin muissa EU:n tietojärjestelmissä ja Europolin tiedoissa. Esimerkiksi yhteen järjestelmään tallennetaan tieto myöntämismaasta, kun toiseen sama tieto tallennetaan eri tavoin, esimerkiksi muodossa ”matkustusasiakirjan myöntäneen maan kolmikirjaiminen tunnus”. Toisissa tapauksissa jonkin tietoluokan tiedot kerätään yhteen järjestelmään mutta ei toiseen. Esimerkiksi hakijan vanhempien etunimet kerätään ETIAS-järjestelmään, mutta ei useimpiin muihin järjestelmiin, joihin ETIAS tekee hakuja.</w:t>
      </w:r>
    </w:p>
    <w:p>
      <w:pPr>
        <w:rPr>
          <w:noProof/>
          <w:szCs w:val="24"/>
        </w:rPr>
      </w:pPr>
      <w:r>
        <w:rPr>
          <w:noProof/>
        </w:rPr>
        <w:t>ETIAS-ehdotuksen</w:t>
      </w:r>
      <w:r>
        <w:rPr>
          <w:rStyle w:val="FootnoteReference0"/>
          <w:noProof/>
        </w:rPr>
        <w:footnoteReference w:id="6"/>
      </w:r>
      <w:r>
        <w:rPr>
          <w:noProof/>
        </w:rPr>
        <w:t xml:space="preserve"> hyväksymisajankohtana myös ETIAS-järjestelmän hakujen kohteena olevien EU:n eri tietojärjestelmien tilanne poikkesi nykytilanteesta. Tuolloin oli ehdotettu myös kahden muun uuden EU:n tietoteknisen järjestelmän perustamista: EES-asetuksesta</w:t>
      </w:r>
      <w:r>
        <w:rPr>
          <w:rStyle w:val="FootnoteReference0"/>
          <w:noProof/>
        </w:rPr>
        <w:footnoteReference w:id="7"/>
      </w:r>
      <w:r>
        <w:rPr>
          <w:noProof/>
        </w:rPr>
        <w:t xml:space="preserve"> käytiin keskusteluja ja kolmansien maiden kansalaisia koskevaa eurooppalaista rikosrekisteritietojärjestelmää (ECRIS-TCN)</w:t>
      </w:r>
      <w:r>
        <w:rPr>
          <w:rStyle w:val="FootnoteReference0"/>
          <w:noProof/>
        </w:rPr>
        <w:footnoteReference w:id="8"/>
      </w:r>
      <w:r>
        <w:rPr>
          <w:noProof/>
        </w:rPr>
        <w:t xml:space="preserve"> koskevaa komission ehdotusta oltiin juuri esittämässä. Jo olemassa olleista tietojärjestelmistä SIS-järjestelmää koskevia lakitekstejä oltiin kehittämässä, sillä sen oikeudelliseen kehykseen ehdotettiin joulukuussa 2016 muutoksia, jotka lainsäätäjät lopulta hyväksyivät marraskuussa 2018.</w:t>
      </w:r>
      <w:r>
        <w:rPr>
          <w:rStyle w:val="FootnoteReference0"/>
          <w:noProof/>
        </w:rPr>
        <w:footnoteReference w:id="9"/>
      </w:r>
      <w:r>
        <w:rPr>
          <w:noProof/>
        </w:rPr>
        <w:t xml:space="preserve"> Komissio on myös ehdottanut Eurodac-asetuksen uudelleenlaatimista</w:t>
      </w:r>
      <w:r>
        <w:rPr>
          <w:rStyle w:val="FootnoteReference0"/>
          <w:noProof/>
        </w:rPr>
        <w:footnoteReference w:id="10"/>
      </w:r>
      <w:r>
        <w:rPr>
          <w:noProof/>
        </w:rPr>
        <w:t xml:space="preserve"> osana Euroopan yhteisen turvapaikkajärjestelmän uudistamista, mutta lainsäätäjät eivät ole vielä hyväksyneet sitä.</w:t>
      </w:r>
      <w:r>
        <w:rPr>
          <w:rStyle w:val="FootnoteReference0"/>
          <w:noProof/>
        </w:rPr>
        <w:footnoteReference w:id="11"/>
      </w:r>
      <w:r>
        <w:rPr>
          <w:noProof/>
        </w:rPr>
        <w:t xml:space="preserve"> Tämä ehdotus on edelleen hyväksymättä.</w:t>
      </w:r>
    </w:p>
    <w:p>
      <w:pPr>
        <w:rPr>
          <w:noProof/>
          <w:szCs w:val="24"/>
        </w:rPr>
      </w:pPr>
      <w:r>
        <w:rPr>
          <w:noProof/>
        </w:rPr>
        <w:t>Tämän vuoksi ETIAS-asetuksen 11 artiklan 2 kohdassa säädetään seuraavaa: ”Muutoksiin, joita tehdään EU:n tietojärjestelmien perustamista koskeviin säädöksiin ja jotka ovat tarpeen niiden yhteentoimivuuden varmistamiseksi ETIAS:n kanssa, sekä vastaavien säännösten lisäämiseen tähän asetukseen sovelletaan erillistä säädöstä.”</w:t>
      </w:r>
    </w:p>
    <w:p>
      <w:pPr>
        <w:rPr>
          <w:noProof/>
          <w:szCs w:val="24"/>
        </w:rPr>
      </w:pPr>
      <w:r>
        <w:rPr>
          <w:rStyle w:val="Added"/>
          <w:b w:val="0"/>
          <w:noProof/>
          <w:u w:val="none"/>
        </w:rPr>
        <w:t xml:space="preserve">Tämän vuoksi tällä ehdotuksella pyritään vahvistamaan ETIAS-järjestelmän täysimääräiseen käyttövalmiuteen saattamiseksi tarvittavat tekniset muutokset muuttamalla säädöksiä, jotka koskevat ETIAS-järjestelmästä tehtyjä kyselyitä EU:n </w:t>
      </w:r>
      <w:r>
        <w:rPr>
          <w:noProof/>
        </w:rPr>
        <w:t xml:space="preserve">tietoteknisiin </w:t>
      </w:r>
      <w:r>
        <w:rPr>
          <w:rStyle w:val="Added"/>
          <w:b w:val="0"/>
          <w:noProof/>
          <w:u w:val="none"/>
        </w:rPr>
        <w:t>järjestelmiin. Tässä ehdotuksessa myös vahvistetaan vastaavat säännökset ja muutetaan ETIAS-asetusta niiden mukaisesti.</w:t>
      </w:r>
    </w:p>
    <w:p>
      <w:pPr>
        <w:rPr>
          <w:noProof/>
          <w:szCs w:val="24"/>
        </w:rPr>
      </w:pPr>
      <w:r>
        <w:rPr>
          <w:noProof/>
        </w:rPr>
        <w:t>Tässä aloitteessa vahvistetaan ensinnäkin ECRIS-TCN-järjestelmään tehtävät muutokset, joille lainsäätäjät antoivat hiljattain periaatteellisen hyväksyntänsä. Näin ollen ETIAS-asetukseen on nyt mahdollista sisällyttää lainsäätäjien ilmaiseman aikomuksen</w:t>
      </w:r>
      <w:r>
        <w:rPr>
          <w:rStyle w:val="FootnoteReference0"/>
          <w:noProof/>
        </w:rPr>
        <w:footnoteReference w:id="12"/>
      </w:r>
      <w:r>
        <w:rPr>
          <w:noProof/>
        </w:rPr>
        <w:t xml:space="preserve"> mukaisesti ETIAS- ja ECRIS-TCN-järjestelmien suhdetta koskevat tarvittavat säännökset ja muuttaa ECRIS-TCN-järjestelmää vastaavasti.</w:t>
      </w:r>
    </w:p>
    <w:p>
      <w:pPr>
        <w:rPr>
          <w:noProof/>
          <w:szCs w:val="24"/>
        </w:rPr>
      </w:pPr>
      <w:r>
        <w:rPr>
          <w:noProof/>
        </w:rPr>
        <w:t>Toiseksi tällä aloitteella on tarkoitus vahvistaa ETIAS- ja SIS-järjestelmien välinen suhde. SIS-järjestelmän oikeuskehyksen tarkistus hyväksyttiin marraskuussa 2018. Tähän ehdotukseen sisältyy muutoksia, jotka aiheutuvat uusien SIS-asetusten hyväksymisestä. SIS-järjestelmän uuden oikeuskehyksen mukaisesti ehdotetaan, että mukaan sisällytetään tiedustelutarkastuksia koskeva uusi kuulutusluokka</w:t>
      </w:r>
      <w:r>
        <w:rPr>
          <w:rStyle w:val="FootnoteReference0"/>
          <w:noProof/>
        </w:rPr>
        <w:footnoteReference w:id="13"/>
      </w:r>
      <w:r>
        <w:rPr>
          <w:noProof/>
        </w:rPr>
        <w:t>. Palauttamispäätöksiä koskevaa kuulutusluokkaa ei ehdoteta käyttöön otettavaksi, sillä nämä kuulutukset poistetaan heti, kun palauttamispäätös on pantu täytäntöön. Tämä tarkoittaa sitä, että SIS-järjestelmässä ei ole tietuetta sellaisten henkilöiden palauttamisesta, jotka hakevat ETIAS-lupaa EU:sta poistumisen jälkeen. Kolmanneksi tällä aloitteella pyritään muuttamaan EES-asetusta, jotta sen suhde ETIAS-järjestelmään voidaan vahvistaa teknisesti.</w:t>
      </w:r>
    </w:p>
    <w:p>
      <w:pPr>
        <w:rPr>
          <w:noProof/>
          <w:szCs w:val="24"/>
        </w:rPr>
      </w:pPr>
      <w:r>
        <w:rPr>
          <w:noProof/>
        </w:rPr>
        <w:t>Neljänneksi aloitteen tavoitteena on muuttaa VIS-asetusta, jotta VIS voi vastaanottaa ja käsitellä ETIAS-kyselyitä ja vastata niihin. Komissio esitti toukokuussa 2018 ehdotuksen VIS-asetuksen muuttamiseksi, jotta kyseistä tietokantaa voitaisiin päivittää. Tällä aloitteella esitetään silti muutoksia nyt voimassa olevaan VIS-asetukseen, sillä neuvottelut asetuksen päivittämisestä eivät ole edenneet riittävästi.</w:t>
      </w:r>
      <w:r>
        <w:rPr>
          <w:noProof/>
          <w:color w:val="000000"/>
        </w:rPr>
        <w:t xml:space="preserve"> Jos ehdotus VIS-asetuksen muuttamiseksi kuitenkin hyväksytään ensin, tähän ehdotukseen saatetaan joutua tekemään joitakin teknisiä muutoksia, jotta se voidaan sovittaa yhteen muutetun VIS-asetuksen kanssa. Jos taas tämä ehdotus hyväksytään ensin, VIS-asetuksen muuttamista koskevaan ehdotukseen saatetaan joutua tekemään joitakin teknisiä muutoksia ennen sen hyväksymistä.</w:t>
      </w:r>
    </w:p>
    <w:p>
      <w:pPr>
        <w:rPr>
          <w:noProof/>
          <w:szCs w:val="24"/>
        </w:rPr>
      </w:pPr>
      <w:r>
        <w:rPr>
          <w:noProof/>
        </w:rPr>
        <w:t>Koska EES- ja ETIAS-asetukset on jo hyväksytty, nyt on lisäksi tarpeen yhdenmukaistaa se, miten EES ja ETIAS toimivat yhteen, sen kanssa, miten EES ja VIS on integroitu rajavalvontaprosesseja varten ja rajanylitysten rekisteröimiseksi EES-järjestelmään. Näin voidaan järkeistää ja yksinkertaistaa rajavartijoiden työtä ottamalla käyttöön aiempaa yhtenäisempi rajavalvontaprosessi, joka koskee kaikkia lyhytaikaista oleskelua varten maahan tulevia kolmansien maiden kansalaisia.</w:t>
      </w:r>
    </w:p>
    <w:p>
      <w:pPr>
        <w:rPr>
          <w:noProof/>
          <w:szCs w:val="24"/>
        </w:rPr>
      </w:pPr>
      <w:r>
        <w:rPr>
          <w:noProof/>
        </w:rPr>
        <w:t>Tähän aloitteeseen ei kuitenkaan sisälly turvapaikanhakijoihin ja laittomaan maahanmuuttoon liittyvää Eurodac-tietokantaa koskevia muutoksia, koska keskusteluja toukokuussa 2016 esitetystä, Eurodac-järjestelmän vahvistamiseen tähtäävästä lainsäädäntöehdotuksesta</w:t>
      </w:r>
      <w:r>
        <w:rPr>
          <w:rStyle w:val="FootnoteReference0"/>
          <w:noProof/>
        </w:rPr>
        <w:footnoteReference w:id="14"/>
      </w:r>
      <w:r>
        <w:rPr>
          <w:noProof/>
        </w:rPr>
        <w:t xml:space="preserve"> ei ole vielä saatu päätökseen. Lisäksi nykyisessä Eurodacissa saatavilla olevat tiedot eivät riitä ETIAS-järjestelmän tarkoituksiin, sillä ne sisältävät ainoastaan biometriset tiedot ja viitenumeron, mutta eivät muita henkilötietoja (esim. nimeä, ikää tai syntymäaikaa), joilla voitaisiin edistää ETIAS-järjestelmän tavoitteita. Toukokuussa 2016 esitetyllä Eurodac-asetuksen uudelleenlaatimista koskevalla lainsäädäntöehdotuksella pyritään laajentamaan tietokannan käyttötarkoitusta niin, että se kattaisi myös laittomasti oleskelevien kolmansien maiden kansalaisten ja EU:hun luvattomasti saapuneiden henkilöiden tunnistamisen. Ehdotuksessa säädetään erityisesti henkilötietojen, kuten nimen (nimien), iän, syntymäajan ja kansalaisuuden sekä henkilöasiakirjoja koskevien tietojen säilyttämisestä tietokannassa. Nämä henkilötiedot ovat välttämättömiä sen varmistamiseksi, että Eurodac voi edistää ETIAS-järjestelmän tavoitteita.</w:t>
      </w:r>
    </w:p>
    <w:p>
      <w:pPr>
        <w:rPr>
          <w:noProof/>
        </w:rPr>
      </w:pPr>
      <w:r>
        <w:rPr>
          <w:noProof/>
        </w:rPr>
        <w:t>Kun lainsäätäjät ovat päässeet poliittiseen yhteisymmärrykseen Eurodac-asetuksen uudelleenlaatimisesta, tätä uudelleenlaadittua Eurodac-asetusta on täydennettävä tarvittavilla muutoksilla, jotta Eurodac ja ETIAS voidaan liittää toisiinsa. Sitten kun lainsäätäjät ovat hyväksyneet turvallisuuteen, rajaturvallisuuteen ja muuttoliikkeen hallintaan liittyvien tietojärjestelmien yhteentoimivuutta koskevat komission lainsäädäntöehdotukset</w:t>
      </w:r>
      <w:r>
        <w:rPr>
          <w:rStyle w:val="FootnoteReference0"/>
          <w:noProof/>
        </w:rPr>
        <w:footnoteReference w:id="15"/>
      </w:r>
      <w:r>
        <w:rPr>
          <w:noProof/>
        </w:rPr>
        <w:t xml:space="preserve"> ja kun uudelleenlaadittua Eurodac-asetusta koskevasta ehdotuksesta on päästy poliittiseen yhteisymmärrykseen, komissio soveltaa samaa lähestymistapaa tarvittavien muutosten suhteen, jotta Eurodac liitetään osaksi yhteentoimivia tietojärjestelmiä.</w:t>
      </w:r>
    </w:p>
    <w:p>
      <w:pPr>
        <w:autoSpaceDE w:val="0"/>
        <w:autoSpaceDN w:val="0"/>
        <w:adjustRightInd w:val="0"/>
        <w:spacing w:after="0"/>
        <w:rPr>
          <w:noProof/>
          <w:szCs w:val="24"/>
        </w:rPr>
      </w:pPr>
      <w:r>
        <w:rPr>
          <w:noProof/>
        </w:rPr>
        <w:t>Komissio julkaisi huhtikuussa 2016 tiedonannon älykkäämmistä tietojärjestelmistä rajaturvallisuuden ja sisäisen turvallisuuden tueksi. Tiedonannon mukaisesti ETIAS-järjestelmä perustuu EES-järjestelmää varten kehitettyjen laitteisto- ja ohjelmistokomponenttien uudelleenkäyttöön.</w:t>
      </w:r>
      <w:r>
        <w:rPr>
          <w:rStyle w:val="FootnoteReference0"/>
          <w:noProof/>
        </w:rPr>
        <w:footnoteReference w:id="16"/>
      </w:r>
      <w:r>
        <w:rPr>
          <w:noProof/>
        </w:rPr>
        <w:t xml:space="preserve"> Tätä lähestymistapaa on käytetty myös tietojärjestelmien yhteentoimivuutta koskevissa lainsäädäntöehdotuksissa.</w:t>
      </w:r>
      <w:r>
        <w:rPr>
          <w:rStyle w:val="FootnoteReference0"/>
          <w:noProof/>
        </w:rPr>
        <w:footnoteReference w:id="17"/>
      </w:r>
      <w:r>
        <w:rPr>
          <w:noProof/>
        </w:rPr>
        <w:t xml:space="preserve"> Yhteisen henkilötietorekisterin ja eurooppalaisen hakuportaalin tekninen kehittäminen tietojärjestelmien yhteentoimivuutta koskevien lainsäädäntöehdotusten mukaisesti toteutettaisiin EES/ETIAS-komponenttien pohjalta.</w:t>
      </w:r>
    </w:p>
    <w:p>
      <w:pPr>
        <w:autoSpaceDE w:val="0"/>
        <w:autoSpaceDN w:val="0"/>
        <w:adjustRightInd w:val="0"/>
        <w:spacing w:after="0"/>
        <w:rPr>
          <w:noProof/>
        </w:rPr>
      </w:pPr>
      <w:r>
        <w:rPr>
          <w:noProof/>
        </w:rPr>
        <w:t>Tämän vuoksi tässä ehdotuksessa esitetään muutoksia ETIAS-asetukseen sen täsmentämiseksi, että ETIAS-keskusyksikkö rakentuu EES:n keskusjärjestelmän laitteisto- ja ohjelmistokomponenttien pohjalle, jotta voidaan perustaa jaettu henkilötietorekisteri sekä ETIAS-hakijoiden että EES-järjestelmään rekisteröityjen kolmansien maiden kansalaisten aakkosnumeeristen tietojen säilyttämistä varten. Jaettu henkilötietorekisteri toimisi yhteisen henkilötietorekisterin täytäntöönpanon perustana sitten kun lainsäätäjät hyväksyvät tietojärjestelmien yhteentoimivuutta koskevat lainsäädäntöehdotukset. Lisäksi ennen kuin eurooppalainen hakuportaali on käytettävissä, ETIAS-hakemusten automatisoidussa käsittelyssä käytettäisiin siirtymäjakson ajan välinettä, joka toimisi eurooppalaisen hakuportaalin kehittämisen ja täytäntöönpanon perustana.</w:t>
      </w:r>
    </w:p>
    <w:p>
      <w:pPr>
        <w:autoSpaceDE w:val="0"/>
        <w:autoSpaceDN w:val="0"/>
        <w:adjustRightInd w:val="0"/>
        <w:spacing w:after="0"/>
        <w:rPr>
          <w:noProof/>
        </w:rPr>
      </w:pPr>
      <w:r>
        <w:rPr>
          <w:noProof/>
        </w:rPr>
        <w:t>Koska jäsenvaltioiden osallistuminen EU:n toimenpiteisiin vapauden, turvallisuuden ja oikeuden alueella perustuu eriytettyyn yhdentymiseen, on tarpeen hyväksyä kaksi erillistä säädöstä, jotka toimivat kuitenkin saumattomasti yhteen. Näin mahdollistetaan järjestelmän laaja toiminta ja käyttö.</w:t>
      </w:r>
    </w:p>
    <w:p>
      <w:pPr>
        <w:pStyle w:val="ManualHeading2"/>
        <w:rPr>
          <w:rFonts w:eastAsia="Arial Unicode MS"/>
          <w:noProof/>
          <w:color w:val="000000"/>
          <w:u w:color="000000"/>
          <w:bdr w:val="nil"/>
        </w:rPr>
      </w:pPr>
      <w:r>
        <w:rPr>
          <w:noProof/>
          <w:color w:val="000000"/>
          <w:u w:color="000000"/>
          <w:bdr w:val="nil"/>
        </w:rPr>
        <w:t>•</w:t>
      </w:r>
      <w:r>
        <w:rPr>
          <w:noProof/>
        </w:rPr>
        <w:tab/>
        <w:t>Voimassa olevat aiemmat säännökset</w:t>
      </w:r>
    </w:p>
    <w:p>
      <w:pPr>
        <w:pBdr>
          <w:top w:val="nil"/>
          <w:left w:val="nil"/>
          <w:bottom w:val="nil"/>
          <w:right w:val="nil"/>
          <w:between w:val="nil"/>
          <w:bar w:val="nil"/>
        </w:pBdr>
        <w:spacing w:before="0" w:after="240"/>
        <w:rPr>
          <w:rFonts w:eastAsia="Arial Unicode MS"/>
          <w:noProof/>
        </w:rPr>
      </w:pPr>
      <w:r>
        <w:rPr>
          <w:noProof/>
        </w:rPr>
        <w:t>ETIAS perustettiin asetuksella (EU) 2018/1240</w:t>
      </w:r>
      <w:r>
        <w:rPr>
          <w:rStyle w:val="FootnoteReference0"/>
          <w:noProof/>
        </w:rPr>
        <w:footnoteReference w:id="18"/>
      </w:r>
      <w:r>
        <w:rPr>
          <w:noProof/>
        </w:rPr>
        <w:t>. Siinä määritellään ETIAS-järjestelmän tavoitteet ja sen tekninen ja organisatorinen rakenne, vahvistetaan toimintaa ja hakijan järjestelmään tallentamien tietojen käyttöä sekä matkustuslupien myöntämistä tai epäämistä koskevat säännöt, määritetään tietojen käsittelytarkoitukset sekä viranomaiset, joilla on pääsy tietoihin, ja vahvistetaan henkilötietojen suojaa koskevat säännöt.</w:t>
      </w:r>
    </w:p>
    <w:p>
      <w:pPr>
        <w:pBdr>
          <w:top w:val="nil"/>
          <w:left w:val="nil"/>
          <w:bottom w:val="nil"/>
          <w:right w:val="nil"/>
          <w:between w:val="nil"/>
          <w:bar w:val="nil"/>
        </w:pBdr>
        <w:spacing w:before="0" w:after="240"/>
        <w:rPr>
          <w:rFonts w:eastAsia="Arial Unicode MS"/>
          <w:noProof/>
        </w:rPr>
      </w:pPr>
      <w:r>
        <w:rPr>
          <w:noProof/>
        </w:rPr>
        <w:t>Tässä ehdotuksessa esitetään ETIAS-asetuksen mukaisesti EU:n tietojärjestelmien perustamista koskeviin säädöksiin muutoksia, joiden avulla voidaan määrittää niiden suhde ETIAS-järjestelmään. Siinä myös lisätään vastaavat säännökset itse ETIAS-asetukseen.</w:t>
      </w:r>
    </w:p>
    <w:p>
      <w:pPr>
        <w:pBdr>
          <w:top w:val="nil"/>
          <w:left w:val="nil"/>
          <w:bottom w:val="nil"/>
          <w:right w:val="nil"/>
          <w:between w:val="nil"/>
          <w:bar w:val="nil"/>
        </w:pBdr>
        <w:spacing w:before="0" w:after="240"/>
        <w:rPr>
          <w:rFonts w:eastAsia="Arial Unicode MS"/>
          <w:noProof/>
        </w:rPr>
      </w:pPr>
      <w:r>
        <w:rPr>
          <w:noProof/>
        </w:rPr>
        <w:t>Tämä ehdotus ei rajoita direktiivin 2004/38/EY</w:t>
      </w:r>
      <w:r>
        <w:rPr>
          <w:rStyle w:val="FootnoteReference0"/>
          <w:noProof/>
        </w:rPr>
        <w:footnoteReference w:id="19"/>
      </w:r>
      <w:r>
        <w:rPr>
          <w:noProof/>
        </w:rPr>
        <w:t xml:space="preserve"> soveltamista. Tällä ehdotuksella ei millään tavoin muuteta direktiiviä 2004/38/EY.</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Tämä ehdotus on yhdenmukainen Euroopan muuttoliikeagendan ja sen jatkotoimina annettujen tiedonantojen kanssa, myös 14. syyskuuta 2016 annetun tiedonannon ”Lisää turvallisuutta liikkuvuuden maailmassa: parannuksia tiedonvaihtoon terrorismin torjumiseksi ja vahvemmat ulkorajat”</w:t>
      </w:r>
      <w:r>
        <w:rPr>
          <w:rStyle w:val="FootnoteReference0"/>
          <w:noProof/>
        </w:rPr>
        <w:footnoteReference w:id="20"/>
      </w:r>
      <w:r>
        <w:rPr>
          <w:noProof/>
        </w:rPr>
        <w:t xml:space="preserve"> sekä Euroopan turvallisuusagendan kanssa. Se on yhdenmukainen myös niiden komission toimien ja edistymisraporttien kanssa, jotka koskevat edistymistä kohti toimivaa ja todellista turvallisuusunionia</w:t>
      </w:r>
      <w:r>
        <w:rPr>
          <w:rStyle w:val="FootnoteReference0"/>
          <w:noProof/>
        </w:rPr>
        <w:footnoteReference w:id="21"/>
      </w:r>
      <w:r>
        <w:rPr>
          <w:noProof/>
        </w:rPr>
        <w:t>.</w:t>
      </w:r>
    </w:p>
    <w:p>
      <w:pPr>
        <w:pStyle w:val="ManualHeading2"/>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Tämän ehdotuksen oikeusperustan muodostavat Euroopan unionin toiminnasta tehdyn sopimuksen, jäljempänä ’SEUT-sopimus’, 82 artiklan 1 kohdan d alakohta yhdessä sen 87 artiklan 2 kohdan a alakohdan kanssa.</w:t>
      </w:r>
    </w:p>
    <w:p>
      <w:pPr>
        <w:pBdr>
          <w:top w:val="nil"/>
          <w:left w:val="nil"/>
          <w:bottom w:val="nil"/>
          <w:right w:val="nil"/>
          <w:between w:val="nil"/>
          <w:bar w:val="nil"/>
        </w:pBdr>
        <w:spacing w:before="0" w:after="240"/>
        <w:rPr>
          <w:noProof/>
        </w:rPr>
      </w:pPr>
      <w:r>
        <w:rPr>
          <w:noProof/>
        </w:rPr>
        <w:t>SEUT-sopimuksen 82 artiklan 1 kohdan d alakohdassa määrätään, että Euroopan parlamentti ja neuvosto voivat säätää toimenpiteistä, joiden tarkoituksena on helpottaa jäsenvaltioiden oikeusviranomaisten tai vastaavien viranomaisten yhteistyötä rikosasioiden käsittelyn ja päätösten täytäntöönpanon yhteydessä.</w:t>
      </w:r>
    </w:p>
    <w:p>
      <w:pPr>
        <w:pBdr>
          <w:top w:val="nil"/>
          <w:left w:val="nil"/>
          <w:bottom w:val="nil"/>
          <w:right w:val="nil"/>
          <w:between w:val="nil"/>
          <w:bar w:val="nil"/>
        </w:pBdr>
        <w:spacing w:before="0" w:after="240"/>
        <w:rPr>
          <w:noProof/>
        </w:rPr>
      </w:pPr>
      <w:r>
        <w:rPr>
          <w:noProof/>
        </w:rPr>
        <w:t>SEUT-sopimuksen 87 artiklan 2 kohdan a alakohdassa määrätään, että Euroopan parlamentti ja neuvosto voivat säätää toimenpiteistä, jotka koskevat rikosten ehkäisemiseen, paljastamiseen ja tutkintaan liittyvää poliisiyhteistyötä varten tarvittavien tietojen keräämistä, tallentamista, käsittelyä, analysointia ja vaihtoa.</w:t>
      </w:r>
    </w:p>
    <w:p>
      <w:pPr>
        <w:pBdr>
          <w:top w:val="nil"/>
          <w:left w:val="nil"/>
          <w:bottom w:val="nil"/>
          <w:right w:val="nil"/>
          <w:between w:val="nil"/>
          <w:bar w:val="nil"/>
        </w:pBdr>
        <w:spacing w:before="0" w:after="240"/>
        <w:rPr>
          <w:noProof/>
        </w:rPr>
      </w:pPr>
      <w:r>
        <w:rPr>
          <w:noProof/>
        </w:rPr>
        <w:t>Näiden perussopimuksen määräysten muodostaman oikeusperustan nojalla on hyväksytty myös asetus (EU) 2018/1862 Schengenin tietojärjestelmän (SIS) perustamisesta, toiminnasta ja käytöstä poliisiyhteistyössä ja rikosasioissa tehtävässä oikeudellisessa yhteistyössä. Ne muodostavat oikeusperustan myös tälle kyseisen asetuksen muuttamista koskevalle ehdotukselle.</w:t>
      </w:r>
    </w:p>
    <w:p>
      <w:pPr>
        <w:pBdr>
          <w:top w:val="nil"/>
          <w:left w:val="nil"/>
          <w:bottom w:val="nil"/>
          <w:right w:val="nil"/>
          <w:between w:val="nil"/>
          <w:bar w:val="nil"/>
        </w:pBdr>
        <w:spacing w:before="0" w:after="240"/>
        <w:rPr>
          <w:noProof/>
        </w:rPr>
      </w:pPr>
      <w:r>
        <w:rPr>
          <w:noProof/>
        </w:rPr>
        <w:t>SEUT-sopimuksen 82 artiklan 1 kohdan d alakohta, joka koskee rikosasioissa tehtävää oikeudellista yhteistyötä ja päätösten täytäntöönpanoa, tarjoaa oikeusperustan myös ECRIS-TCN-järjestelmää koskevalle ehdotukselle, josta lainsäätäjät ovat päässeet poliittiseen yhteisymmärrykseen. Sen vuoksi kyseinen määräys sisältyy myös tämän ehdotuksen oikeusperustaan, koska sillä on tarkoitus muuttaa ECRIS-TCN-asetusta, edellyttäen että se hyväksytään.</w:t>
      </w:r>
    </w:p>
    <w:p>
      <w:pPr>
        <w:pStyle w:val="ManualHeading2"/>
        <w:rPr>
          <w:rFonts w:eastAsia="Arial Unicode MS"/>
          <w:noProof/>
          <w:u w:color="000000"/>
          <w:bdr w:val="nil"/>
        </w:rPr>
      </w:pPr>
      <w:r>
        <w:rPr>
          <w:noProof/>
        </w:rPr>
        <w:t>•</w:t>
      </w:r>
      <w:r>
        <w:rPr>
          <w:noProof/>
        </w:rPr>
        <w:tab/>
        <w:t xml:space="preserve">Toissijaisuusperiaate </w:t>
      </w:r>
    </w:p>
    <w:p>
      <w:pPr>
        <w:pBdr>
          <w:top w:val="nil"/>
          <w:left w:val="nil"/>
          <w:bottom w:val="nil"/>
          <w:right w:val="nil"/>
          <w:between w:val="nil"/>
          <w:bar w:val="nil"/>
        </w:pBdr>
        <w:spacing w:before="0" w:after="240"/>
        <w:rPr>
          <w:noProof/>
          <w:szCs w:val="24"/>
        </w:rPr>
      </w:pPr>
      <w:r>
        <w:rPr>
          <w:noProof/>
        </w:rPr>
        <w:t>Ehdotus sisältää muutoksia asetuksiin, joilla perustetaan EU:n laajuisia tietojärjestelmiä, jotta voidaan turvata ulkorajat ja turvallisuus alueella, jonka sisärajoilla ei tehdä tarkastuksia. Tällaiset tietotekniset järjestelmät ovat luonteeltaan sellaisia, että jäsenvaltiot eivät voi toteuttaa niitä yksin toimimalla, vaan ne voidaan perustaa ainoastaan EU:n tasolla.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Tällä ehdotuksella kehitellään edelleen periaatteita, jotka lainsäätäjä on jo vahvistanut ETIAS-asetuksessa.</w:t>
      </w:r>
    </w:p>
    <w:p>
      <w:pPr>
        <w:pBdr>
          <w:top w:val="nil"/>
          <w:left w:val="nil"/>
          <w:bottom w:val="nil"/>
          <w:right w:val="nil"/>
          <w:between w:val="nil"/>
          <w:bar w:val="nil"/>
        </w:pBdr>
        <w:spacing w:before="0" w:after="240"/>
        <w:rPr>
          <w:noProof/>
        </w:rPr>
      </w:pPr>
      <w:r>
        <w:rPr>
          <w:noProof/>
        </w:rPr>
        <w:t>Tämä käy selvästi ilmi seuraavista seikoista.</w:t>
      </w:r>
    </w:p>
    <w:p>
      <w:pPr>
        <w:pBdr>
          <w:top w:val="nil"/>
          <w:left w:val="nil"/>
          <w:bottom w:val="nil"/>
          <w:right w:val="nil"/>
          <w:between w:val="nil"/>
          <w:bar w:val="nil"/>
        </w:pBdr>
        <w:spacing w:before="0" w:after="240"/>
        <w:rPr>
          <w:rFonts w:eastAsia="Arial Unicode MS"/>
          <w:noProof/>
        </w:rPr>
      </w:pPr>
      <w:r>
        <w:rPr>
          <w:noProof/>
        </w:rPr>
        <w:t>ETIAS-järjestelmän ja EU:n tietojärjestelmien välistä tietojenvaihtoa koskevat eritelmät vastaavat ETIAS-asetuksen 20 ja 23 artiklassa säädettyä tietojenvaihtoa.</w:t>
      </w:r>
    </w:p>
    <w:p>
      <w:pPr>
        <w:pBdr>
          <w:top w:val="nil"/>
          <w:left w:val="nil"/>
          <w:bottom w:val="nil"/>
          <w:right w:val="nil"/>
          <w:between w:val="nil"/>
          <w:bar w:val="nil"/>
        </w:pBdr>
        <w:spacing w:before="0" w:after="240"/>
        <w:rPr>
          <w:rFonts w:eastAsia="Arial Unicode MS"/>
          <w:noProof/>
        </w:rPr>
      </w:pPr>
      <w:r>
        <w:rPr>
          <w:noProof/>
        </w:rPr>
        <w:t>ETIAS-keskusyksikön pääsyoikeus EU:n tietojärjestelmissä (EES, VIS, SIS, ECRIS-TCN) oleviin henkilötietoihin kuuluu velvollisuuksiin, jotka on osoitettu ETIAS-keskusyksikölle ETIAS-asetuksen 7, 22 ja 75 artiklan nojalla.</w:t>
      </w:r>
    </w:p>
    <w:p>
      <w:pPr>
        <w:pBdr>
          <w:top w:val="nil"/>
          <w:left w:val="nil"/>
          <w:bottom w:val="nil"/>
          <w:right w:val="nil"/>
          <w:between w:val="nil"/>
          <w:bar w:val="nil"/>
        </w:pBdr>
        <w:spacing w:before="0" w:after="240"/>
        <w:rPr>
          <w:rFonts w:eastAsia="Arial Unicode MS"/>
          <w:noProof/>
        </w:rPr>
      </w:pPr>
      <w:r>
        <w:rPr>
          <w:noProof/>
        </w:rPr>
        <w:t>Kansallisten ETIAS-yksiköiden pääsyoikeus EU:n muihin tietojärjestelmiin hakemusten manuaalista käsittelyä varten kuuluu velvollisuuksiin, jotka on osoitettu kansallisille ETIAS-yksiköille ETIAS-asetuksen 8 artiklan ja IV luvun nojalla.</w:t>
      </w:r>
    </w:p>
    <w:p>
      <w:pPr>
        <w:pBdr>
          <w:top w:val="nil"/>
          <w:left w:val="nil"/>
          <w:bottom w:val="nil"/>
          <w:right w:val="nil"/>
          <w:between w:val="nil"/>
          <w:bar w:val="nil"/>
        </w:pBdr>
        <w:spacing w:before="0" w:after="240"/>
        <w:rPr>
          <w:rFonts w:eastAsia="Arial Unicode MS"/>
          <w:noProof/>
        </w:rPr>
      </w:pPr>
      <w:r>
        <w:rPr>
          <w:noProof/>
        </w:rPr>
        <w:t>Tiedustelutarkastelua koskevien kuulutusten sisällyttäminen on – myös tässä ehdotuksessa – ETIAS-asetuksen 23 artiklassa esitettyjen SIS-järjestelmän tavoitteiden tukemista koskevien säännösten mukaista.</w:t>
      </w:r>
    </w:p>
    <w:p>
      <w:pPr>
        <w:pBdr>
          <w:top w:val="nil"/>
          <w:left w:val="nil"/>
          <w:bottom w:val="nil"/>
          <w:right w:val="nil"/>
          <w:between w:val="nil"/>
          <w:bar w:val="nil"/>
        </w:pBdr>
        <w:spacing w:before="0" w:after="240"/>
        <w:rPr>
          <w:rFonts w:eastAsia="Arial Unicode MS"/>
          <w:noProof/>
        </w:rPr>
      </w:pPr>
      <w:r>
        <w:rPr>
          <w:noProof/>
        </w:rPr>
        <w:t>Tämä ehdotus on oikeasuhteinen, sillä se ei ylitä sitä, mikä on tarpeen EU:n tason toimien suhteen tavoitteiden saavuttamiseksi.</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Komissio ehdottaa Euroopan parlamentin ja neuvoston asetusta. Ehdotettu säädös koskee EU:n keskitettyjen rajaturvallisuuden ja sisäisen turvallisuuden tietojärjestelmien toimintaa. Kaikki nämä järjestelmät on perustettu tai niitä ehdotetaan perustettaviksi asetuksilla. Tämän vuoksi sääntelytavaksi voidaan valita vain asetus.</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ETIAS-järjestelmää koskeva ehdotus on laadittu toteutettavuustutkimuksen pohjalta. Komissio on koonnut tutkimusta varten jäsenvaltioiden asiantuntijoiden näkemyksiä rajavalvonnasta ja -turvallisuudesta. ETIAS-ehdotuksen pääkohdista keskusteltiin myös yhteentoimivuutta käsittelevässä korkean tason asiantuntijaryhmässä, joka perustettiin 6. huhtikuuta 2016 annetun vahvempia ja älykkäämpiä tietojärjestelmiä koskevan tiedonannon jatkotoimena. Lisäksi on kuultu lento-, meri- ja rautatieliikenteen harjoittajia sekä niiden EU:n jäsenvaltioiden edustajia, joilla on maaulkoraja. Toteutettavuustutkimuksessa kuultiin myös perusoikeusvirastoa.</w:t>
      </w:r>
    </w:p>
    <w:p>
      <w:pPr>
        <w:pBdr>
          <w:top w:val="nil"/>
          <w:left w:val="nil"/>
          <w:bottom w:val="nil"/>
          <w:right w:val="nil"/>
          <w:between w:val="nil"/>
          <w:bar w:val="nil"/>
        </w:pBdr>
        <w:spacing w:before="0" w:after="240"/>
        <w:rPr>
          <w:rFonts w:eastAsia="Arial Unicode MS"/>
          <w:noProof/>
          <w:u w:color="000000"/>
          <w:bdr w:val="nil"/>
        </w:rPr>
      </w:pPr>
      <w:r>
        <w:rPr>
          <w:noProof/>
        </w:rPr>
        <w:t>Tällä ehdotuksella tehdään vain vähäisiä teknisiä muutoksia, jotka vastaavat ETIAS-asetuksessa jo olevia säännöksiä. Koska tekniset mukautukset ovat rajoitettuja, ne eivät edellytä erillistä sidosryhmien kuulemista.</w:t>
      </w:r>
    </w:p>
    <w:p>
      <w:pPr>
        <w:pStyle w:val="ManualHeading2"/>
        <w:rPr>
          <w:noProof/>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Tähän ehdotukseen ei liity vaikutustenarviointia. Ehdotus on yhdenmukainen ETIAS-asetuksen kanssa, ja sitä koskeva ehdotus perustui kesä- ja lokakuun 2016 välillä tehtyyn toteutettavuustutkimukseen.</w:t>
      </w:r>
    </w:p>
    <w:p>
      <w:pPr>
        <w:pBdr>
          <w:top w:val="nil"/>
          <w:left w:val="nil"/>
          <w:bottom w:val="nil"/>
          <w:right w:val="nil"/>
          <w:between w:val="nil"/>
          <w:bar w:val="nil"/>
        </w:pBdr>
        <w:spacing w:before="0" w:after="240"/>
        <w:rPr>
          <w:rFonts w:eastAsia="Arial Unicode MS"/>
          <w:noProof/>
        </w:rPr>
      </w:pPr>
      <w:r>
        <w:rPr>
          <w:noProof/>
        </w:rPr>
        <w:t>Vaikutustenarviointia ei tarvita, koska tähän ehdotukseen ei sisälly uusia poliittisia elementtejä, vaan sillä tehdään ainoastaan vähäisiä teknisiä muutoksia, jotka vastaavat ETIAS-asetukseen jo sisällytettyjä säännöksiä.</w:t>
      </w:r>
    </w:p>
    <w:p>
      <w:pPr>
        <w:pStyle w:val="ManualHeading2"/>
        <w:rPr>
          <w:rFonts w:eastAsia="Arial Unicode MS"/>
          <w:noProof/>
          <w:u w:color="000000"/>
          <w:bdr w:val="nil"/>
        </w:rPr>
      </w:pPr>
      <w:r>
        <w:rPr>
          <w:noProof/>
        </w:rPr>
        <w:tab/>
        <w:t>Perusoikeudet</w:t>
      </w:r>
    </w:p>
    <w:p>
      <w:pPr>
        <w:pBdr>
          <w:top w:val="nil"/>
          <w:left w:val="nil"/>
          <w:bottom w:val="nil"/>
          <w:right w:val="nil"/>
          <w:between w:val="nil"/>
          <w:bar w:val="nil"/>
        </w:pBdr>
        <w:spacing w:before="0" w:after="240"/>
        <w:rPr>
          <w:rFonts w:eastAsia="Arial Unicode MS"/>
          <w:noProof/>
        </w:rPr>
      </w:pPr>
      <w:r>
        <w:rPr>
          <w:noProof/>
        </w:rPr>
        <w:t>ETIAS-asetukseen verrattuna tässä ehdotuksessa ainoastaan esitetään yksityiskohtaisemmin, mitä tietoja verrataan muissa EU:n tietojärjestelmissä oleviin tietoihin, ja vahvistetaan tarvittavat muutokset, joiden nojalla ETIAS-järjestelmän keskusyksikkö ja kansalliset yksiköt saavat pääsyoikeuden näihin muihin järjestelmiin. Näistä syistä tämä ehdotus on Euroopan unionin perusoikeuskirjan mukainen, varsinkin siltä osin kuin on kyse oikeudesta henkilötietojen suojaan. Se on sopusoinnussa myös SEUT-sopimuksen 16 artiklan kanssa, joka takaa jokaiselle oikeuden henkilötietojensa suojaan.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Ehdotuksella ei ole vaikutusta talousarvioon.</w:t>
      </w:r>
    </w:p>
    <w:p>
      <w:pPr>
        <w:pStyle w:val="ManualHeading2"/>
        <w:rPr>
          <w:noProof/>
        </w:rPr>
      </w:pPr>
      <w:r>
        <w:rPr>
          <w:noProof/>
        </w:rPr>
        <w:t>5.</w:t>
      </w:r>
      <w:r>
        <w:rPr>
          <w:noProof/>
        </w:rPr>
        <w:tab/>
        <w:t>LISÄTIEDOT</w:t>
      </w:r>
    </w:p>
    <w:p>
      <w:pPr>
        <w:pStyle w:val="ManualHeading2"/>
      </w:pPr>
      <w:r>
        <w:rPr>
          <w:noProof/>
        </w:rPr>
        <w:t>•</w:t>
      </w:r>
      <w:r>
        <w:rPr>
          <w:noProof/>
        </w:rPr>
        <w:tab/>
        <w:t xml:space="preserve">Osallistuminen </w:t>
      </w:r>
    </w:p>
    <w:p>
      <w:pPr>
        <w:autoSpaceDE w:val="0"/>
        <w:autoSpaceDN w:val="0"/>
        <w:adjustRightInd w:val="0"/>
        <w:spacing w:after="0"/>
        <w:rPr>
          <w:noProof/>
        </w:rPr>
      </w:pPr>
      <w:r>
        <w:rPr>
          <w:noProof/>
        </w:rPr>
        <w:t xml:space="preserve"> Koska tällä ehdotuksella on tarkoitus muuttaa asetusta Schengenin tietojärjestelmän (SIS) perustamisesta poliisiyhteistyötä ja rikosasioissa tehtävää oikeudellista yhteistyötä varten, se perustuu niihin Schengenin säännöstön määräyksiin, jotka koskevat poliisiyhteistyötä ja rikosasioissa tehtävää oikeudellista yhteistyötä. Tästä aiheutuu seurauksia SEU- ja SEUT-sopimuksiin liitettyjen pöytäkirjojen N:o 19 ja N:o 22 sekä Schengenin säännöstöön osallistuvien maiden kanssa tehtyjen sopimusten soveltamiseen.</w:t>
      </w:r>
    </w:p>
    <w:p>
      <w:pPr>
        <w:autoSpaceDE w:val="0"/>
        <w:autoSpaceDN w:val="0"/>
        <w:adjustRightInd w:val="0"/>
        <w:spacing w:after="0"/>
        <w:rPr>
          <w:noProof/>
        </w:rPr>
      </w:pPr>
      <w:r>
        <w:rPr>
          <w:noProof/>
        </w:rPr>
        <w:t>Koska tällä ehdotuksella on tarkoitus muuttaa ehdotettua asetusta niiden jäsenvaltioiden tunnistamista koskevan keskitetyn järjestelmän perustamisesta, joilla on kolmansien maiden kansalaisten ja kansalaisuudettomien henkilöiden tuomioita koskevia tietoja (ECRIS-TCN), siitä aiheutuu seurauksia pöytäkirjojen N:o 21 ja N:o 22 soveltamiseen. Tästä aiheesta ei ole tehty sopimuksia Schengenin säännöstöön osallistuvien maiden kanssa.</w:t>
      </w:r>
    </w:p>
    <w:p>
      <w:pPr>
        <w:autoSpaceDE w:val="0"/>
        <w:autoSpaceDN w:val="0"/>
        <w:adjustRightInd w:val="0"/>
        <w:spacing w:after="0"/>
        <w:rPr>
          <w:noProof/>
        </w:rPr>
      </w:pPr>
      <w:r>
        <w:rPr>
          <w:noProof/>
        </w:rPr>
        <w:t>Nämä seuraukset esitetään seuraavassa maittain jaoteltuna.</w:t>
      </w:r>
    </w:p>
    <w:p>
      <w:pPr>
        <w:autoSpaceDE w:val="0"/>
        <w:autoSpaceDN w:val="0"/>
        <w:adjustRightInd w:val="0"/>
        <w:spacing w:after="0"/>
        <w:rPr>
          <w:noProof/>
        </w:rPr>
      </w:pPr>
      <w:r>
        <w:rPr>
          <w:noProof/>
        </w:rPr>
        <w:t>Tanska: SIS-järjestelmän (poliisiyhteistyö) osalta Tanska päättää perussopimuksiin liitetyssä, Tanskan asemasta tehdyssä pöytäkirjassa N:o 22 olevan 4 artiklan mukaisesti kuuden kuukauden kuluessa siitä, kun neuvosto on hyväksynyt tämän Schengenin säännöstön kehittämistä koskevan ehdotuksen, saattaako se sen osaksi kansallista lainsäädäntöään. ECRIS-TCN-järjestelmän osalta tämä ehdotus ei koske Tanskaa pöytäkirjassa N:o 22 olevan 1 artiklan nojalla.</w:t>
      </w:r>
    </w:p>
    <w:p>
      <w:pPr>
        <w:autoSpaceDE w:val="0"/>
        <w:autoSpaceDN w:val="0"/>
        <w:adjustRightInd w:val="0"/>
        <w:spacing w:after="0"/>
        <w:rPr>
          <w:noProof/>
        </w:rPr>
      </w:pPr>
      <w:r>
        <w:rPr>
          <w:noProof/>
        </w:rPr>
        <w:t>Yhdistynyt kuningaskunta: SIS-järjestelmän (poliisiyhteistyö) osalta tämä asetus sitoo Yhdistynyttä kuningaskuntaa pöytäkirjassa N:o 19 olevan 5 artiklan ja Ison-Britannian ja Pohjois-Irlannin yhdistyneen kuningaskunnan pyynnöstä saada osallistua joihinkin Schengenin säännöstön määräyksiin 29 päivänä toukokuuta 2000 tehdyn neuvoston päätöksen 2000/365/EY 8 artiklan 2 kohdan mukaisesti. ECRIS-TCN-järjestelmän osalta Yhdistynyt kuningaskunta voi päättää osallistua ehdotettuun toimenpiteeseen pöytäkirjassa N:o 21 olevan 3 ja 4 a artiklan nojalla.</w:t>
      </w:r>
    </w:p>
    <w:p>
      <w:pPr>
        <w:autoSpaceDE w:val="0"/>
        <w:autoSpaceDN w:val="0"/>
        <w:adjustRightInd w:val="0"/>
        <w:spacing w:after="0"/>
        <w:rPr>
          <w:noProof/>
        </w:rPr>
      </w:pPr>
      <w:r>
        <w:rPr>
          <w:noProof/>
        </w:rPr>
        <w:t>Irlanti: SIS-järjestelmän (poliisiyhteistyö) osalta tämä asetus sitoo Irlantia pöytäkirjassa N:o 19 olevan 5 artiklan ja Irlannin pyynnöstä saada osallistua joihinkin Schengenin säännöstön määräyksiin 28 päivänä helmikuuta 2002 tehdyn neuvoston päätöksen 2002/192/EY 6 artiklan 2 kohdan mukaisesti. ECRIS-TCN-järjestelmän osalta Irlanti voi päättää osallistua ehdotettuun toimenpiteeseen pöytäkirjassa N:o 21 olevan 3 ja 4 a artiklan nojalla. Sitä varten Irlannin olisi ilmoitettava, että se haluaa osallistua ECRIS-TCN-asetukseen, jonka muuttamista tässä ehdotetaan, sekä koko ECRIS-säännöstöön.</w:t>
      </w:r>
    </w:p>
    <w:p>
      <w:pPr>
        <w:autoSpaceDE w:val="0"/>
        <w:autoSpaceDN w:val="0"/>
        <w:adjustRightInd w:val="0"/>
        <w:spacing w:after="0"/>
        <w:rPr>
          <w:noProof/>
        </w:rPr>
      </w:pPr>
      <w:r>
        <w:rPr>
          <w:noProof/>
        </w:rPr>
        <w:t>Bulgaria ja Romania: SIS-järjestelmän (poliisiyhteistyö) osalta tämä ehdotettu asetus on vuoden 2005 liittymisasiakirjan 4 artiklan 2 kohdassa tarkoitettu Schengenin säännöstöön perustuva tai muuten siihen liittyvä säädös. Ehdotettua asetusta on luettava yhdessä 29 päivänä kesäkuuta 2010 annetun neuvoston päätöksen 2010/365/EU kanssa, jonka mukaan Schengenin tietojärjestelmää koskevia Schengenin säännöstön määräyksiä sovelletaan Bulgariassa ja Romaniassa tietyin rajoituksin. ECRIS-TCN-järjestelmän osalta Bulgaria ja Romania eivät eroa muista jäsenvaltioista.</w:t>
      </w:r>
    </w:p>
    <w:p>
      <w:pPr>
        <w:autoSpaceDE w:val="0"/>
        <w:autoSpaceDN w:val="0"/>
        <w:adjustRightInd w:val="0"/>
        <w:spacing w:after="0"/>
        <w:rPr>
          <w:noProof/>
        </w:rPr>
      </w:pPr>
      <w:r>
        <w:rPr>
          <w:noProof/>
        </w:rPr>
        <w:t>Kypros ja Kroatia: SIS-järjestelmän (poliisiyhteistyö) osalta tämä asetus on vuoden 2003 liittymisasiakirjan 3 artiklan 2 kohdassa ja vuoden 2011 liittymisasiakirjan 4 artiklan 2 kohdassa tarkoitettu Schengenin säännöstöön perustuva tai muuten siihen liittyvä säädös. Kroatian osalta sitä olisi luettava yhdessä Schengenin tietojärjestelmää koskevien Schengenin säännöstön määräysten soveltamisesta Kroatian tasavallassa 25 päivänä huhtikuuta 2017 annetun neuvoston päätöksen (EU) 2017/733</w:t>
      </w:r>
      <w:r>
        <w:rPr>
          <w:rStyle w:val="FootnoteReference0"/>
          <w:noProof/>
        </w:rPr>
        <w:footnoteReference w:id="22"/>
      </w:r>
      <w:r>
        <w:rPr>
          <w:noProof/>
        </w:rPr>
        <w:t xml:space="preserve"> kanssa. ECRIS-TCN-järjestelmän osalta Kypros ja Kroatia eivät eroa muista jäsenvaltioista.</w:t>
      </w:r>
    </w:p>
    <w:p>
      <w:pPr>
        <w:autoSpaceDE w:val="0"/>
        <w:autoSpaceDN w:val="0"/>
        <w:adjustRightInd w:val="0"/>
        <w:spacing w:after="0"/>
        <w:rPr>
          <w:noProof/>
        </w:rPr>
      </w:pPr>
      <w:r>
        <w:rPr>
          <w:noProof/>
        </w:rPr>
        <w:t>Schengenin säännöstöön osallistuvat maat: Ehdotettu asetus sitoo Islantia, Norjaa, Sveitsiä ja Liechtensteinia näiden maiden osallistumisesta Schengenin säännöstön täytäntöönpanoon, soveltamiseen ja kehittämiseen tehtyjen sopimusten perusteella siltä osin kuin asetus koskee SIS-järjestelmää (poliisiyhteistyö) koskevaa asetusta.</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muihin EU:n tietojärjestelmiin pääsyn edellytyksistä sekä asetuksen (EU) 2018/1862 ja asetuksen (EU) yyyy/xxx [ECRIS-TCN] muuttamisesta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82 artiklan 1 kohdan d alakohdan ja 87 artiklan 2 kohdan a alakohdan,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r>
        <w:rPr>
          <w:noProof/>
        </w:rPr>
        <w:t>ottavat huomioon Euroopan talous- ja sosiaalikomitean lausunnon</w:t>
      </w:r>
      <w:r>
        <w:rPr>
          <w:rStyle w:val="FootnoteReference0"/>
          <w:noProof/>
        </w:rPr>
        <w:footnoteReference w:id="23"/>
      </w:r>
      <w:r>
        <w:rPr>
          <w:noProof/>
        </w:rPr>
        <w:t xml:space="preserve">, </w:t>
      </w:r>
    </w:p>
    <w:p>
      <w:pPr>
        <w:rPr>
          <w:noProof/>
        </w:rPr>
      </w:pPr>
      <w:r>
        <w:rPr>
          <w:noProof/>
        </w:rPr>
        <w:t>ottavat huomioon alueiden komitean lausunnon</w:t>
      </w:r>
      <w:r>
        <w:rPr>
          <w:rStyle w:val="FootnoteReference0"/>
          <w:noProof/>
        </w:rPr>
        <w:footnoteReference w:id="24"/>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bookmarkStart w:id="1" w:name="_Ref531358769"/>
      <w:r>
        <w:t>(1)</w:t>
      </w:r>
      <w:r>
        <w:tab/>
      </w:r>
      <w:r>
        <w:rPr>
          <w:noProof/>
        </w:rPr>
        <w:t>Euroopan parlamentin ja neuvoston asetuksella (EU) 2018/1240</w:t>
      </w:r>
      <w:r>
        <w:rPr>
          <w:rStyle w:val="FootnoteReference0"/>
          <w:noProof/>
        </w:rPr>
        <w:footnoteReference w:id="25"/>
      </w:r>
      <w:r>
        <w:rPr>
          <w:noProof/>
        </w:rPr>
        <w:t xml:space="preserve"> perustettiin Euroopan matkustustieto- ja -lupajärjestelmä (ETIAS) niitä kolmansien maiden kansalaisia varten, jotka on vapautettu vaatimuksesta, jonka mukaan heillä on oltava viisumi ulkorajojen ylittämistä varten. Siinä otettiin käyttöön matkustusluvan myöntämisen tai epäämisen edellytykset ja menettelyt.</w:t>
      </w:r>
      <w:bookmarkEnd w:id="1"/>
    </w:p>
    <w:p>
      <w:pPr>
        <w:pStyle w:val="ManualConsidrant"/>
        <w:rPr>
          <w:noProof/>
          <w:sz w:val="22"/>
        </w:rPr>
      </w:pPr>
      <w:r>
        <w:t>(2)</w:t>
      </w:r>
      <w:r>
        <w:tab/>
      </w:r>
      <w:r>
        <w:rPr>
          <w:noProof/>
        </w:rPr>
        <w:t>ETIAS-järjestelmän avulla voidaan harkita, aiheuttaisiko kyseisten kolmansien maiden kansalaisten oleskelu jäsenvaltioiden alueella turvallisuusriskin, laittoman maahanmuuton riskin tai suuren epidemiariskin.</w:t>
      </w:r>
    </w:p>
    <w:p>
      <w:pPr>
        <w:pStyle w:val="ManualConsidrant"/>
        <w:rPr>
          <w:noProof/>
        </w:rPr>
      </w:pPr>
      <w:bookmarkStart w:id="2" w:name="_DV_M31"/>
      <w:bookmarkEnd w:id="2"/>
      <w:r>
        <w:t>(3)</w:t>
      </w:r>
      <w:r>
        <w:tab/>
      </w:r>
      <w:r>
        <w:rPr>
          <w:noProof/>
        </w:rPr>
        <w:t>Jotta olisi mahdollista tehdä asetuksen (EU) 2018/1240 20 artiklassa tarkoitettu tarkistus, on tarpeen saada aikaan asetuksen 11 artiklassa tarkoitettu yhteentoimivuus. ETIAS-järjestelmää ei voida ottaa käyttöön ilman tätä yhteentoimivuutta.</w:t>
      </w:r>
    </w:p>
    <w:p>
      <w:pPr>
        <w:pStyle w:val="ManualConsidrant"/>
        <w:rPr>
          <w:noProof/>
        </w:rPr>
      </w:pPr>
      <w:r>
        <w:t>(4)</w:t>
      </w:r>
      <w:r>
        <w:tab/>
      </w:r>
      <w:r>
        <w:rPr>
          <w:noProof/>
        </w:rPr>
        <w:t>Tässä asetuksessa säädetään siitä, kuinka tämä yhteentoimivuus ja ETIAS-järjestelmän automatisoidun käsittelyn edellytykset tehdä hakuja muihin EU:n tietojärjestelmien ja Europolin tietoihin osumien löytämiseksi toteutetaan. Tämän vuoksi on tarpeen muuttaa Euroopan parlamentin ja neuvoston asetuksia (EU) 2018/1862 (SIS poliisiyhteistyö)</w:t>
      </w:r>
      <w:r>
        <w:rPr>
          <w:rStyle w:val="FootnoteReference0"/>
          <w:noProof/>
        </w:rPr>
        <w:footnoteReference w:id="26"/>
      </w:r>
      <w:r>
        <w:rPr>
          <w:noProof/>
        </w:rPr>
        <w:t xml:space="preserve"> ja (EU) yyyy/xxxx (ECRIS-TCN)</w:t>
      </w:r>
      <w:r>
        <w:rPr>
          <w:rStyle w:val="FootnoteReference0"/>
          <w:noProof/>
        </w:rPr>
        <w:footnoteReference w:id="27"/>
      </w:r>
      <w:r>
        <w:rPr>
          <w:noProof/>
        </w:rPr>
        <w:t>, jotta ETIAS-keskusjärjestelmä voidaan yhdistää muihin EU:n tietojärjestelmiin ja Europolin tietoihin sekä määritellä, mitä tietoja lähetetään kyseisiin EU:n tietojärjestelmiin ja Europolin tietoihin ja vastaanotetaan niistä.</w:t>
      </w:r>
    </w:p>
    <w:p>
      <w:pPr>
        <w:pStyle w:val="ManualConsidrant"/>
        <w:rPr>
          <w:noProof/>
        </w:rPr>
      </w:pPr>
      <w:r>
        <w:t>(5)</w:t>
      </w:r>
      <w:r>
        <w:tab/>
      </w:r>
      <w:r>
        <w:rPr>
          <w:noProof/>
        </w:rPr>
        <w:t>Tarvittavat lisämuutokset hyväksytään asetuksen (EU) 2018/1240 96 artiklan mukaisesti sitten, kun uudelleenlaadittu Euroopan parlamentin ja neuvoston asetus (EU) N:o 603/2013</w:t>
      </w:r>
      <w:r>
        <w:rPr>
          <w:rStyle w:val="FootnoteReference0"/>
          <w:noProof/>
        </w:rPr>
        <w:footnoteReference w:id="28"/>
      </w:r>
      <w:r>
        <w:rPr>
          <w:noProof/>
        </w:rPr>
        <w:t xml:space="preserve"> on hyväksytty.</w:t>
      </w:r>
    </w:p>
    <w:p>
      <w:pPr>
        <w:pStyle w:val="ManualConsidrant"/>
        <w:rPr>
          <w:noProof/>
        </w:rPr>
      </w:pPr>
      <w:r>
        <w:t>(6)</w:t>
      </w:r>
      <w:r>
        <w:tab/>
      </w:r>
      <w:r>
        <w:rPr>
          <w:noProof/>
        </w:rPr>
        <w:t>Tehokkuussyistä ja kustannusten vähentämiseksi ETIAS-järjestelmän olisi käytettävä asetuksen (EU) 2018/1240 6 artiklan 3 kohdassa tarkoitetulla tavalla rajanylitystietojärjestelmää, jäljempänä ’EES’, varten kehitettyjä laitteisto- ja ohjelmistokomponentteja jaetun henkilötietorekisterin kehittämistä varten. Tätä henkilötietorekisteriä käytettäisiin sekä ETIAS-hakijoiden että EES-järjestelmään rekisteröityjen kolmansien maiden kansalaisten aakkosnumeeristen tietojen säilyttämiseen, ja se olisi kehitettävä siten, että se voitaisiin tulevaisuudessa laajentaa yhteiseksi henkilötietorekisteriksi. Samoin perustettavaa välinettä, jonka avulla ETIAS voi yhdellä kyselyllä vertailla tietojaan kaikkien niiden muiden järjestelmien tietoihin, joihin hakuja on tehty, olisi kehitettävä siten, että siitä voi tulla tuleva eurooppalainen hakuportaali.</w:t>
      </w:r>
    </w:p>
    <w:p>
      <w:pPr>
        <w:pStyle w:val="ManualConsidrant"/>
        <w:rPr>
          <w:noProof/>
        </w:rPr>
      </w:pPr>
      <w:r>
        <w:t>(7)</w:t>
      </w:r>
      <w:r>
        <w:tab/>
      </w:r>
      <w:r>
        <w:rPr>
          <w:noProof/>
        </w:rPr>
        <w:t>Olisi määriteltävä tekniset yksityiskohdat, jotta ETIAS voi tarkistaa säännöllisesti ja automaattisesti muista järjestelmistä, täyttyvätkö asetuksessa (EU) 2018/1240 määritellyt hakemustiedostojen säilyttämistä koskevat edellytykset edelleen.</w:t>
      </w:r>
    </w:p>
    <w:p>
      <w:pPr>
        <w:pStyle w:val="ManualConsidrant"/>
        <w:rPr>
          <w:noProof/>
        </w:rPr>
      </w:pPr>
      <w:r>
        <w:t>(8)</w:t>
      </w:r>
      <w:r>
        <w:tab/>
      </w:r>
      <w:r>
        <w:rPr>
          <w:noProof/>
        </w:rPr>
        <w:t>Jotta voidaan varmistaa ETIAS-järjestelmän tavoitteiden saavuttaminen täysimääräisesti ja edistää Schengenin tietojärjestelmän, jäljempänä ’SIS’, tavoitteita, automaattisen varmennuksen piiriin on tarpeen sisällyttää SIS-järjestelmän hiljattain toteutetun tarkistuksen yhteydessä käyttöön otettu uusi kuulutusluokka eli tiedustelutarkastusten piiriin kuuluvien henkilöiden kuulutus.</w:t>
      </w:r>
    </w:p>
    <w:p>
      <w:pPr>
        <w:pStyle w:val="ManualConsidrant"/>
        <w:rPr>
          <w:noProof/>
        </w:rPr>
      </w:pPr>
      <w:r>
        <w:t>(9)</w:t>
      </w:r>
      <w:r>
        <w:tab/>
      </w:r>
      <w:r>
        <w:rPr>
          <w:noProof/>
        </w:rPr>
        <w:t>ETIAS-matkustuslupa voidaan kumota sen jälkeen kun SIS-järjestelmään on rekisteröity uusi kuulutus, joka koskee uutta maahantulo- ja oleskelukieltoa tai kadonneeksi, varastetuksi, kavalletuksi tai mitätöidyksi ilmoitettua matkustusasiakirjaa. Jotta SIS-järjestelmästä ilmoitettaisiin ETIAS-keskusjärjestelmään tällaisista uusista kuulutuksista automaattisesti, SIS- ja ETIAS-järjestelmien välille olisi luotava automatisoitu prosessi.</w:t>
      </w:r>
    </w:p>
    <w:p>
      <w:pPr>
        <w:pStyle w:val="ManualConsidrant"/>
        <w:rPr>
          <w:noProof/>
        </w:rPr>
      </w:pPr>
      <w:r>
        <w:t>(10)</w:t>
      </w:r>
      <w:r>
        <w:tab/>
      </w:r>
      <w:r>
        <w:rPr>
          <w:noProof/>
        </w:rPr>
        <w:t xml:space="preserve">Euroopan parlamentin ja neuvoston asetuksen </w:t>
      </w:r>
      <w:r>
        <w:rPr>
          <w:noProof/>
          <w:color w:val="000000"/>
        </w:rPr>
        <w:t xml:space="preserve">(EU) </w:t>
      </w:r>
      <w:r>
        <w:rPr>
          <w:noProof/>
        </w:rPr>
        <w:t>2018/xxxx</w:t>
      </w:r>
      <w:r>
        <w:rPr>
          <w:rStyle w:val="FootnoteReference0"/>
          <w:noProof/>
        </w:rPr>
        <w:footnoteReference w:id="29"/>
      </w:r>
      <w:r>
        <w:rPr>
          <w:noProof/>
        </w:rPr>
        <w:t xml:space="preserve"> [ECRIS-TCN] ja asetuksessa (EU) 2018/1240 ilmaistun tavoitteen mukaisesti ETIAS-järjestelmän pitäisi kyetä varmistamaan, onko ETIAS-hakemustiedostoissa olevien tietojen ja kolmansien maiden kansalaisia koskevan eurooppalaisen rikosrekisteritietojärjestelmän (ECRIS-TCN) tietojen välillä yhteisessä henkilötietorekisterissä vastaavuuksia siltä osin kuin on kyse siitä, millä jäsenvaltioilla on tietoja kolmansien maiden kansalaisille ja kansalaisuudettomille henkilöille terrorismirikosten tai muiden vakavien rikosten vuoksi annetuista tuomioista. </w:t>
      </w:r>
    </w:p>
    <w:p>
      <w:pPr>
        <w:pStyle w:val="ManualConsidrant"/>
        <w:rPr>
          <w:noProof/>
        </w:rPr>
      </w:pPr>
      <w:r>
        <w:t>(11)</w:t>
      </w:r>
      <w:r>
        <w:tab/>
      </w:r>
      <w:r>
        <w:rPr>
          <w:noProof/>
        </w:rPr>
        <w:t>Ne edellytykset, joiden mukaisesti ETIAS-keskusyksikkö ja kansalliset ETIAS-yksiköt voivat tarkastella muihin EU:n tietojärjestelmiin tallennettuja tietoja ETIAS-järjestelmän tarkoituksia varten, olisi suojattava selkein ja tarkoin säännöin, jotka koskevat ETIAS-keskusyksikön ja kansallisten ETIAS-yksiköiden pääsyä muihin EU:n tietojärjestelmiin tallennettuihin tietoihin, kyselyjen tyyppiä ja tietoluokkia, ja nämä kaikki olisi rajoitettava siihen, mikä on ehdottoman välttämätöntä niiden tehtävien suorittamiseksi. Samoin ETIAS-hakemustiedostoon tallennettujen tietojen olisi oltava ainoastaan niiden jäsenvaltioiden nähtävissä, jotka hallinnoivat taustalla olevia tietojärjestelmiä osallistumistaan koskevien yksityiskohtaisten sääntöjen mukaisesti.</w:t>
      </w:r>
    </w:p>
    <w:p>
      <w:pPr>
        <w:pStyle w:val="ManualConsidrant"/>
        <w:rPr>
          <w:i/>
          <w:noProof/>
        </w:rPr>
      </w:pPr>
      <w:r>
        <w:t>(12)</w:t>
      </w:r>
      <w:r>
        <w:tab/>
      </w:r>
      <w:r>
        <w:rPr>
          <w:noProof/>
        </w:rPr>
        <w:t>Asetuksen (EU) 2018/1240 73 artiklan mukaan Euroopan parlamentin ja neuvoston asetuksella (EU) 2018/1726</w:t>
      </w:r>
      <w:r>
        <w:rPr>
          <w:rStyle w:val="FootnoteReference0"/>
          <w:noProof/>
        </w:rPr>
        <w:footnoteReference w:id="30"/>
      </w:r>
      <w:r>
        <w:rPr>
          <w:noProof/>
        </w:rPr>
        <w:t xml:space="preserve"> perustetun vapauden, turvallisuuden ja oikeuden alueen laaja-alaisten tietojärjestelmien operatiivisesta hallinnoinnista vastaavan eurooppalaisen viraston, jäljempänä ’eu-LISA’, olisi vastattava ETIAS-tietojärjestelmän suunnittelu- ja kehitysvaiheesta.</w:t>
      </w:r>
    </w:p>
    <w:p>
      <w:pPr>
        <w:pStyle w:val="ManualConsidrant"/>
        <w:rPr>
          <w:noProof/>
        </w:rPr>
      </w:pPr>
      <w:r>
        <w:t>(13)</w:t>
      </w:r>
      <w:r>
        <w:tab/>
      </w:r>
      <w:r>
        <w:rPr>
          <w:noProof/>
        </w:rPr>
        <w:t>Tämä asetus ei rajoita direktiivin 2004/38/EY</w:t>
      </w:r>
      <w:r>
        <w:rPr>
          <w:rStyle w:val="FootnoteReference0"/>
          <w:noProof/>
        </w:rPr>
        <w:footnoteReference w:id="31"/>
      </w:r>
      <w:r>
        <w:rPr>
          <w:noProof/>
        </w:rPr>
        <w:t xml:space="preserve"> soveltamista.</w:t>
      </w:r>
    </w:p>
    <w:p>
      <w:pPr>
        <w:pStyle w:val="ManualConsidrant"/>
        <w:rPr>
          <w:noProof/>
        </w:rPr>
      </w:pPr>
      <w:r>
        <w:t>(14)</w:t>
      </w:r>
      <w:r>
        <w:tab/>
      </w:r>
      <w:r>
        <w:rPr>
          <w:noProof/>
        </w:rPr>
        <w:t>Tanska päättää Euroopan unionista tehtyyn sopimukseen ja Euroopan unionin toiminnasta tehtyyn sopimukseen liitetyssä, Tanskan asemasta tehdyssä pöytäkirjassa N:o 22 olevan 4 artiklan mukaisesti kuuden kuukauden kuluessa siitä, kun neuvosto on hyväksynyt tämän Schengenin säännöstön kehittämistä koskevan asetuksen, saattaako se tämän ehdotuksen osaksi kansallista lainsäädäntöään siltä osin kuin sen säännökset liittyvät asetuksella (EU) 2018/1862 säänneltävään SIS-järjestelmään. Pöytäkirjassa N:o 22 olevien 1 ja 2 artiklan mukaisesti Tanska ei osallistu tämän asetuksen hyväksymiseen, asetus ei sido Tanskaa eikä sitä sovelleta Tanskaan siltä osin kuin sen säännökset liittyvät ECRIS-TCN-järjestelmään.</w:t>
      </w:r>
    </w:p>
    <w:p>
      <w:pPr>
        <w:pStyle w:val="ManualConsidrant"/>
        <w:rPr>
          <w:noProof/>
        </w:rPr>
      </w:pPr>
      <w:r>
        <w:t>(15)</w:t>
      </w:r>
      <w:r>
        <w:tab/>
      </w:r>
      <w:r>
        <w:rPr>
          <w:noProof/>
        </w:rPr>
        <w:t>Tämä asetus sitoo Yhdistynyttä kuningaskuntaa Euroopan unionista tehtyyn sopimukseen ja Euroopan unionin toiminnasta tehtyyn sopimukseen liitetyssä, osaksi Euroopan unionia sisällytetystä Schengenin säännöstöstä tehdyssä pöytäkirjassa olevan 5 artiklan sekä Ison-Britannian ja Pohjois-Irlannin yhdistyneen kuningaskunnan pyynnöstä saada osallistua joihinkin Schengenin säännöstön määräyksiin 29 päivänä toukokuuta 2000 tehdyn neuvoston päätöksen 2000/365/EY</w:t>
      </w:r>
      <w:r>
        <w:rPr>
          <w:rStyle w:val="FootnoteReference0"/>
          <w:noProof/>
        </w:rPr>
        <w:footnoteReference w:id="32"/>
      </w:r>
      <w:r>
        <w:rPr>
          <w:noProof/>
        </w:rPr>
        <w:t xml:space="preserve"> 8 artiklan 2 kohdan mukaisesti siltä osin kuin sen säännökset liittyvät asetuksella (EU) 2018/1862 säänneltävään SIS-järjestelmään. Yhdistynyt kuningaskunta voi Euroopan unionista tehtyyn sopimukseen ja Euroopan unionin toiminnasta tehtyyn sopimukseen liitetyssä, Yhdistyneen kuningaskunnan ja Irlannin asemasta vapauden, turvallisuuden ja oikeuden alueen osalta tehdyssä pöytäkirjassa N:o 21 olevan 3 artiklan mukaisesti ilmoittaa neuvoston puheenjohtajalle haluavansa osallistua tämän asetuksen hyväksymiseen ja soveltamiseen siltä osin kuin sen säännökset liittyvät ECRIS-TCN-järjestelmään.</w:t>
      </w:r>
    </w:p>
    <w:p>
      <w:pPr>
        <w:pStyle w:val="ManualConsidrant"/>
        <w:rPr>
          <w:noProof/>
        </w:rPr>
      </w:pPr>
      <w:r>
        <w:t>(16)</w:t>
      </w:r>
      <w:r>
        <w:tab/>
      </w:r>
      <w:r>
        <w:rPr>
          <w:noProof/>
        </w:rPr>
        <w:t>Tämä asetus sitoo Irlantia Euroopan unionista tehtyyn sopimukseen ja Euroopan unionin toiminnasta tehtyyn sopimukseen liitetyssä, osaksi Euroopan unionia sisällytetystä Schengenin säännöstöstä tehdyssä pöytäkirjassa olevan 5 artiklan sekä Irlannin pyynnöstä saada osallistua joihinkin Schengenin säännöstön määräyksiin 28 päivänä helmikuuta 2002 tehdyn neuvoston päätöksen 2002/192/EY</w:t>
      </w:r>
      <w:r>
        <w:rPr>
          <w:rStyle w:val="FootnoteReference0"/>
          <w:noProof/>
        </w:rPr>
        <w:footnoteReference w:id="33"/>
      </w:r>
      <w:r>
        <w:rPr>
          <w:noProof/>
        </w:rPr>
        <w:t xml:space="preserve"> 6 artiklan 2 kohdan mukaisesti siltä osin kuin sen säännökset liittyvät asetuksella (EU) 2018/1862 säänneltävään SIS-järjestelmään. Irlanti voi Euroopan unionista tehtyyn sopimukseen ja Euroopan unionin toiminnasta tehtyyn sopimukseen liitetyssä, Yhdistyneen kuningaskunnan ja Irlannin asemasta vapauden, turvallisuuden ja oikeuden alueen osalta tehdyssä pöytäkirjassa N:o 21 olevan 3 artiklan mukaisesti ilmoittaa neuvoston puheenjohtajalle haluavansa osallistua tämän asetuksen hyväksymiseen ja soveltamiseen siltä osin kuin sen säännökset liittyvät ECRIS-TCN-järjestelmään.</w:t>
      </w:r>
    </w:p>
    <w:p>
      <w:pPr>
        <w:pStyle w:val="ManualConsidrant"/>
        <w:rPr>
          <w:noProof/>
        </w:rPr>
      </w:pPr>
      <w:r>
        <w:t>(17)</w:t>
      </w:r>
      <w:r>
        <w:tab/>
      </w:r>
      <w:r>
        <w:rPr>
          <w:noProof/>
        </w:rPr>
        <w:t>Tämä asetus on vuoden 2005 liittymisasiakirjan 4 artiklan 2 kohdassa tarkoitettu Schengenin säännöstöön perustuva tai muuten siihen liittyvä säädös siltä osin kuin sen säännökset liittyvät asetuksella (EU) 2018/1862 säänneltävään SIS-järjestelmään. Siltä osin tätä asetusta on luettava yhdessä neuvoston päätösten 2010/365/EU</w:t>
      </w:r>
      <w:r>
        <w:rPr>
          <w:rStyle w:val="FootnoteReference0"/>
          <w:noProof/>
        </w:rPr>
        <w:footnoteReference w:id="34"/>
      </w:r>
      <w:r>
        <w:rPr>
          <w:noProof/>
        </w:rPr>
        <w:t xml:space="preserve"> ja 2018/934</w:t>
      </w:r>
      <w:r>
        <w:rPr>
          <w:rStyle w:val="FootnoteReference0"/>
          <w:noProof/>
        </w:rPr>
        <w:footnoteReference w:id="35"/>
      </w:r>
      <w:r>
        <w:rPr>
          <w:noProof/>
        </w:rPr>
        <w:t xml:space="preserve"> kanssa, joiden mukaan Schengenin tietojärjestelmää koskevia Schengenin säännöstön määräyksiä sovelletaan Bulgariassa ja Romaniassa tietyin rajoituksin.</w:t>
      </w:r>
    </w:p>
    <w:p>
      <w:pPr>
        <w:pStyle w:val="ManualConsidrant"/>
        <w:rPr>
          <w:noProof/>
        </w:rPr>
      </w:pPr>
      <w:r>
        <w:t>(18)</w:t>
      </w:r>
      <w:r>
        <w:tab/>
      </w:r>
      <w:r>
        <w:rPr>
          <w:noProof/>
        </w:rPr>
        <w:t>Kyproksen osalta tämä asetus on vuoden 2003 liittymisasiakirjan 3 artiklan 2 kohdassa ja Kroatian osalta vuoden 2011 liittymisasiakirjan 4 artiklan 2 kohdassa tarkoitettu Schengenin säännöstöön perustuva tai muuten siihen liittyvä säädös siltä osin kuin sen säännökset liittyvät asetuksella (EU) 2018/1862 säänneltävään SIS-järjestelmään. Kroatian osalta tätä asetusta on luettava yhdessä neuvoston päätöksen (EU) 2017/733</w:t>
      </w:r>
      <w:r>
        <w:rPr>
          <w:rStyle w:val="FootnoteReference0"/>
          <w:noProof/>
        </w:rPr>
        <w:footnoteReference w:id="36"/>
      </w:r>
      <w:r>
        <w:rPr>
          <w:noProof/>
        </w:rPr>
        <w:t xml:space="preserve"> kanssa, jonka mukaan Schengenin tietojärjestelmää koskevia Schengenin säännöstön määräyksiä sovelletaan Kroatiassa tietyin rajoituksin. </w:t>
      </w:r>
    </w:p>
    <w:p>
      <w:pPr>
        <w:pStyle w:val="ManualConsidrant"/>
        <w:rPr>
          <w:noProof/>
        </w:rPr>
      </w:pPr>
      <w:r>
        <w:t>(19)</w:t>
      </w:r>
      <w:r>
        <w:tab/>
      </w:r>
      <w:r>
        <w:rPr>
          <w:noProof/>
        </w:rPr>
        <w:t>Islannin ja Norjan osalta tällä asetuksella, siltä osin kuin sen säännökset liittyvät asetuksella (EU) 2018/1862 säänneltävään SIS-järjestelmään, kehitetään niitä Schengenin säännöstön määräyksiä, joita tarkoitetaan Euroopan unionin neuvoston sekä Islannin tasavallan ja Norjan kuningaskunnan välisessä sopimuksessa näiden kahden valtion osallistumisesta Schengenin säännöstön täytäntöönpanoon, soveltamiseen ja kehittämiseen</w:t>
      </w:r>
      <w:r>
        <w:rPr>
          <w:rStyle w:val="FootnoteReference0"/>
          <w:noProof/>
        </w:rPr>
        <w:footnoteReference w:id="37"/>
      </w:r>
      <w:r>
        <w:rPr>
          <w:noProof/>
        </w:rPr>
        <w:t xml:space="preserve"> ja jotka kuuluvat neuvoston päätöksen 1999/437/EY</w:t>
      </w:r>
      <w:r>
        <w:rPr>
          <w:rStyle w:val="FootnoteReference0"/>
          <w:noProof/>
        </w:rPr>
        <w:footnoteReference w:id="38"/>
      </w:r>
      <w:r>
        <w:rPr>
          <w:noProof/>
        </w:rPr>
        <w:t xml:space="preserve"> 1 artiklan G kohdassa tarkoitettuun alaan.</w:t>
      </w:r>
      <w:r>
        <w:rPr>
          <w:noProof/>
          <w:color w:val="000000"/>
        </w:rPr>
        <w:t xml:space="preserve"> </w:t>
      </w:r>
    </w:p>
    <w:p>
      <w:pPr>
        <w:pStyle w:val="ManualConsidrant"/>
        <w:rPr>
          <w:noProof/>
        </w:rPr>
      </w:pPr>
      <w:r>
        <w:t>(20)</w:t>
      </w:r>
      <w:r>
        <w:tab/>
      </w:r>
      <w:r>
        <w:rPr>
          <w:noProof/>
        </w:rPr>
        <w:t>Sveitsin osalta tällä asetuksella, siltä osin kuin sen säännökset liittyvät asetuksella (EU) 2018/1862 säänneltävään SIS-järjestelmään, kehitetään niitä Schengenin säännöstön määräyksiä, joita tarkoitetaan Euroopan unionin, Euroopan yhteisön ja Sveitsin valaliiton välillä allekirjoitetussa sopimuksessa Sveitsin valaliiton osallistumisesta Schengenin säännöstön täytäntöönpanoon, soveltamiseen ja kehittämiseen</w:t>
      </w:r>
      <w:r>
        <w:rPr>
          <w:rStyle w:val="FootnoteReference0"/>
          <w:noProof/>
        </w:rPr>
        <w:footnoteReference w:id="39"/>
      </w:r>
      <w:r>
        <w:rPr>
          <w:noProof/>
        </w:rPr>
        <w:t xml:space="preserve"> ja jotka kuuluvat neuvoston päätöksen 1999/437/EY 1 artiklan G kohdassa, tarkasteltuna yhdessä neuvoston päätöksen 2008/146/EY</w:t>
      </w:r>
      <w:r>
        <w:rPr>
          <w:rStyle w:val="FootnoteReference0"/>
          <w:noProof/>
        </w:rPr>
        <w:footnoteReference w:id="40"/>
      </w:r>
      <w:r>
        <w:rPr>
          <w:noProof/>
        </w:rPr>
        <w:t xml:space="preserve"> 3 artiklan kanssa, tarkoitettuun alaan.</w:t>
      </w:r>
      <w:r>
        <w:rPr>
          <w:noProof/>
          <w:color w:val="000000"/>
        </w:rPr>
        <w:t xml:space="preserve"> </w:t>
      </w:r>
    </w:p>
    <w:p>
      <w:pPr>
        <w:pStyle w:val="ManualConsidrant"/>
        <w:rPr>
          <w:noProof/>
        </w:rPr>
      </w:pPr>
      <w:r>
        <w:t>(21)</w:t>
      </w:r>
      <w:r>
        <w:tab/>
      </w:r>
      <w:r>
        <w:rPr>
          <w:noProof/>
        </w:rPr>
        <w:t>Liechtensteinin osalta tällä asetuksella, siltä osin kuin sen säännökset liittyvät asetuksella (EU) 2018/1862 säänneltävään SIS-järjestelmään, kehitetään niitä Schengenin säännöstön määräyksiä, joita tarkoitetaan Euroopan unionin, Euroopan yhteisön, Sveitsin valaliiton ja Liechtensteinin ruhtinaskunnan välillä allekirjoitetussa pöytäkirjassa Liechtensteinin ruhtinaskunnan liittymisestä Euroopan unionin, Euroopan yhteisön ja Sveitsin valaliiton väliseen sopimukseen Sveitsin valaliiton osallistumisesta Schengenin säännöstön täytäntöönpanoon, soveltamiseen ja kehittämiseen</w:t>
      </w:r>
      <w:r>
        <w:rPr>
          <w:rStyle w:val="FootnoteReference0"/>
          <w:noProof/>
        </w:rPr>
        <w:footnoteReference w:id="41"/>
      </w:r>
      <w:r>
        <w:rPr>
          <w:noProof/>
        </w:rPr>
        <w:t xml:space="preserve"> ja jotka kuuluvat neuvoston päätöksen N:o 1999/437/EY 1 artiklan G kohdassa, tarkasteltuna yhdessä neuvoston päätöksen 2011/350/EU</w:t>
      </w:r>
      <w:r>
        <w:rPr>
          <w:rStyle w:val="FootnoteReference0"/>
          <w:noProof/>
        </w:rPr>
        <w:footnoteReference w:id="42"/>
      </w:r>
      <w:r>
        <w:rPr>
          <w:noProof/>
        </w:rPr>
        <w:t xml:space="preserve"> 3 artiklan kanssa, tarkoitettuun alaan.</w:t>
      </w:r>
    </w:p>
    <w:p>
      <w:pPr>
        <w:pStyle w:val="ManualConsidrant"/>
        <w:rPr>
          <w:noProof/>
        </w:rPr>
      </w:pPr>
      <w:r>
        <w:t>(22)</w:t>
      </w:r>
      <w:r>
        <w:tab/>
      </w:r>
      <w:r>
        <w:rPr>
          <w:noProof/>
        </w:rPr>
        <w:t xml:space="preserve">Euroopan parlamentin ja neuvoston asetukset (EU) 2018/1862 (SIS poliisiyhteistyö) ja (EU) yyyy/xxx [ECRIS-TCN] olisi sen vuoksi muutettava. </w:t>
      </w:r>
    </w:p>
    <w:p>
      <w:pPr>
        <w:pStyle w:val="ManualConsidrant"/>
        <w:rPr>
          <w:noProof/>
        </w:rPr>
      </w:pPr>
      <w:r>
        <w:t>(23)</w:t>
      </w:r>
      <w:r>
        <w:tab/>
      </w:r>
      <w:r>
        <w:rPr>
          <w:noProof/>
        </w:rPr>
        <w:t>Euroopan tietosuojavaltuutettua on kuultu Euroopan parlamentin ja neuvoston asetuksen (EU) 2018/1725</w:t>
      </w:r>
      <w:r>
        <w:rPr>
          <w:rStyle w:val="FootnoteReference0"/>
          <w:noProof/>
        </w:rPr>
        <w:footnoteReference w:id="43"/>
      </w:r>
      <w:r>
        <w:rPr>
          <w:noProof/>
        </w:rPr>
        <w:t xml:space="preserve"> 41 artiklan 2 kohdan mukaisesti,</w:t>
      </w:r>
    </w:p>
    <w:p>
      <w:pPr>
        <w:pStyle w:val="Formuledadoption"/>
        <w:rPr>
          <w:noProof/>
        </w:rPr>
      </w:pPr>
      <w:r>
        <w:rPr>
          <w:noProof/>
        </w:rPr>
        <w:t>OVAT HYVÄKSYNEET TÄMÄN ASETUKSEN:</w:t>
      </w:r>
    </w:p>
    <w:p>
      <w:pPr>
        <w:pStyle w:val="Titrearticle"/>
        <w:rPr>
          <w:noProof/>
        </w:rPr>
      </w:pPr>
      <w:r>
        <w:rPr>
          <w:noProof/>
        </w:rPr>
        <w:t>1 artikla</w:t>
      </w:r>
    </w:p>
    <w:p>
      <w:pPr>
        <w:pStyle w:val="Titrearticle"/>
        <w:rPr>
          <w:b/>
          <w:bCs/>
          <w:noProof/>
        </w:rPr>
      </w:pPr>
      <w:r>
        <w:rPr>
          <w:b/>
          <w:noProof/>
        </w:rPr>
        <w:t>Muutokset asetukseen (EU) 2018/1862 (SIS poliisiyhteistyö)</w:t>
      </w:r>
    </w:p>
    <w:p>
      <w:pPr>
        <w:spacing w:before="0" w:after="0"/>
        <w:rPr>
          <w:noProof/>
        </w:rPr>
      </w:pPr>
    </w:p>
    <w:p>
      <w:pPr>
        <w:pStyle w:val="Point0number"/>
        <w:numPr>
          <w:ilvl w:val="0"/>
          <w:numId w:val="6"/>
        </w:numPr>
        <w:rPr>
          <w:noProof/>
        </w:rPr>
      </w:pPr>
      <w:r>
        <w:rPr>
          <w:noProof/>
        </w:rPr>
        <w:t>Lisätään III lukuun artikla seuraavasti:</w:t>
      </w:r>
    </w:p>
    <w:p>
      <w:pPr>
        <w:pStyle w:val="Titrearticle"/>
        <w:rPr>
          <w:b/>
          <w:bCs/>
          <w:noProof/>
        </w:rPr>
      </w:pPr>
      <w:r>
        <w:rPr>
          <w:noProof/>
        </w:rPr>
        <w:t>”18 a artikla</w:t>
      </w:r>
      <w:r>
        <w:rPr>
          <w:noProof/>
        </w:rPr>
        <w:br/>
      </w:r>
      <w:r>
        <w:rPr>
          <w:b/>
          <w:noProof/>
        </w:rPr>
        <w:t>Tietojenkäsittelytapahtumien rekisteröinti yhteentoimivuuden toteuttamiseksi ETIAS-järjestelmän kanssa</w:t>
      </w:r>
    </w:p>
    <w:p>
      <w:pPr>
        <w:pStyle w:val="Point1"/>
        <w:ind w:left="142" w:hanging="1"/>
        <w:rPr>
          <w:noProof/>
        </w:rPr>
      </w:pPr>
      <w:r>
        <w:rPr>
          <w:noProof/>
        </w:rPr>
        <w:t>Kaikista SIS- ja ETIAS-järjestelmissä 50 a ja 50 b artiklan mukaisesti toteutetuista tietojenkäsittelytapahtumista on säilytettävä lokitiedot tämän asetuksen 18 artiklan ja Euroopan parlamentin ja neuvoston asetuksen (EU) 2018/1240* 69 artiklan mukaisesti.</w:t>
      </w:r>
    </w:p>
    <w:p>
      <w:pPr>
        <w:pStyle w:val="Point1"/>
        <w:rPr>
          <w:noProof/>
        </w:rPr>
      </w:pPr>
      <w:r>
        <w:rPr>
          <w:noProof/>
        </w:rPr>
        <w:t>_____________</w:t>
      </w:r>
    </w:p>
    <w:p>
      <w:pPr>
        <w:autoSpaceDE w:val="0"/>
        <w:autoSpaceDN w:val="0"/>
        <w:adjustRightInd w:val="0"/>
        <w:spacing w:before="0" w:after="0"/>
        <w:ind w:left="284"/>
        <w:rPr>
          <w:noProof/>
        </w:rPr>
      </w:pPr>
      <w:r>
        <w:rPr>
          <w:noProof/>
        </w:rPr>
        <w:t>* Euroopan parlamentin ja neuvoston asetus (EU) 2018/1240, annettu 12 päivänä syyskuuta 2018, Euroopan matkustustieto- ja -lupajärjestelmän (ETIAS) perustamisesta ja asetusten (EU) N:o 1077/2011, (EU) N:o 515/2014, (EU) 2016/399, (EU) 2016/1624 ja (EU) 2017/2226 muuttamisesta (EUVL L 236, 19.9.2018, s. 1).”;</w:t>
      </w:r>
    </w:p>
    <w:p>
      <w:pPr>
        <w:autoSpaceDE w:val="0"/>
        <w:autoSpaceDN w:val="0"/>
        <w:adjustRightInd w:val="0"/>
        <w:spacing w:before="0" w:after="0"/>
        <w:ind w:left="284"/>
        <w:rPr>
          <w:noProof/>
          <w:color w:val="000000"/>
        </w:rPr>
      </w:pPr>
    </w:p>
    <w:p>
      <w:pPr>
        <w:pStyle w:val="Point0number"/>
        <w:numPr>
          <w:ilvl w:val="0"/>
          <w:numId w:val="6"/>
        </w:numPr>
        <w:spacing w:before="0"/>
        <w:rPr>
          <w:noProof/>
        </w:rPr>
      </w:pPr>
      <w:r>
        <w:rPr>
          <w:noProof/>
        </w:rPr>
        <w:t>lisätään 44 artiklan 1 kohtaan alakohta seuraavasti:</w:t>
      </w:r>
    </w:p>
    <w:p>
      <w:pPr>
        <w:pStyle w:val="Point1"/>
        <w:spacing w:before="0" w:after="0"/>
        <w:ind w:left="1418" w:hanging="568"/>
        <w:rPr>
          <w:noProof/>
        </w:rPr>
      </w:pPr>
      <w:r>
        <w:rPr>
          <w:noProof/>
        </w:rPr>
        <w:t>”f) ETIAS-hakemusten manuaaliseen käsittelyyn kansallisissa ETIAS-yksiköissä asetuksen (EU) 2018/1240 8 artiklan nojalla.”;</w:t>
      </w:r>
    </w:p>
    <w:p>
      <w:pPr>
        <w:pStyle w:val="Point1"/>
        <w:spacing w:before="0" w:after="0"/>
        <w:ind w:left="1276" w:hanging="426"/>
        <w:rPr>
          <w:noProof/>
        </w:rPr>
      </w:pPr>
    </w:p>
    <w:p>
      <w:pPr>
        <w:pStyle w:val="Point0number"/>
        <w:spacing w:before="0" w:after="0"/>
        <w:rPr>
          <w:noProof/>
        </w:rPr>
      </w:pPr>
      <w:r>
        <w:rPr>
          <w:noProof/>
        </w:rPr>
        <w:t>lisätään artiklat seuraavasti:</w:t>
      </w:r>
    </w:p>
    <w:p>
      <w:pPr>
        <w:pStyle w:val="Titrearticle"/>
        <w:rPr>
          <w:b/>
          <w:noProof/>
        </w:rPr>
      </w:pPr>
      <w:r>
        <w:rPr>
          <w:noProof/>
        </w:rPr>
        <w:t>”50 a artikla</w:t>
      </w:r>
      <w:r>
        <w:rPr>
          <w:noProof/>
        </w:rPr>
        <w:br/>
      </w:r>
      <w:r>
        <w:rPr>
          <w:b/>
          <w:noProof/>
        </w:rPr>
        <w:t>ETIAS-keskusyksikön oikeus käyttää SIS-tietoja</w:t>
      </w:r>
    </w:p>
    <w:p>
      <w:pPr>
        <w:pStyle w:val="ManualNumPar1"/>
        <w:rPr>
          <w:noProof/>
        </w:rPr>
      </w:pPr>
      <w:r>
        <w:t>1.</w:t>
      </w:r>
      <w:r>
        <w:tab/>
      </w:r>
      <w:r>
        <w:rPr>
          <w:noProof/>
        </w:rPr>
        <w:t>ETIAS-keskusyksiköllä, joka on perustettu osaksi Euroopan raja- ja merivartiovirastoa asetuksen (EU) 2018/1240 7 artiklan mukaisesti, on oikeus päästä sille asetuksessa (EU) 2018/1240 annettujen tehtävien suorittamista varten SIS-järjestelmään tallennettuihin tietoihin ja tehdä niihin hakuja. Tähän käyttöoikeuteen ja hakuun sovelletaan tämän asetuksen 50 artiklan 4–8 kohtaa.</w:t>
      </w:r>
    </w:p>
    <w:p>
      <w:pPr>
        <w:pStyle w:val="ManualNumPar1"/>
        <w:rPr>
          <w:noProof/>
        </w:rPr>
      </w:pPr>
      <w:r>
        <w:t>2.</w:t>
      </w:r>
      <w:r>
        <w:tab/>
      </w:r>
      <w:r>
        <w:rPr>
          <w:noProof/>
        </w:rPr>
        <w:t>Kun ETIAS-keskusyksikössä tehty tarkistus vahvistaa, että ETIAS-hakemustiedostoon tallennetut tiedot vastaavat SIS-kuulutusta, sovelletaan asetuksen (EU) 2018/1240 23, 24 ja 26 artiklaa.</w:t>
      </w:r>
    </w:p>
    <w:p>
      <w:pPr>
        <w:pStyle w:val="Titrearticle"/>
        <w:rPr>
          <w:b/>
          <w:bCs/>
          <w:noProof/>
        </w:rPr>
      </w:pPr>
      <w:r>
        <w:rPr>
          <w:noProof/>
        </w:rPr>
        <w:t>50 b artikla</w:t>
      </w:r>
      <w:r>
        <w:rPr>
          <w:noProof/>
        </w:rPr>
        <w:br/>
      </w:r>
      <w:r>
        <w:rPr>
          <w:b/>
          <w:noProof/>
        </w:rPr>
        <w:t>Asetuksen (EU) 2018/1240 11 artiklassa tarkoitettu yhteentoimivuus ETIAS-järjestelmän kanssa</w:t>
      </w:r>
    </w:p>
    <w:p>
      <w:pPr>
        <w:pStyle w:val="ManualNumPar1"/>
        <w:rPr>
          <w:noProof/>
        </w:rPr>
      </w:pPr>
      <w:r>
        <w:t>1.</w:t>
      </w:r>
      <w:r>
        <w:tab/>
      </w:r>
      <w:r>
        <w:rPr>
          <w:noProof/>
        </w:rPr>
        <w:t>Kun ETIAS on otettu käyttöön asetuksen (EU) 2018/1240 88 artiklan 1 kohdan mukaisesti, SIS-keskusjärjestelmä liitetään asetuksen (EU) 2018/1240 11 artiklassa tarkoitettuun välineeseen kyseisessä artiklassa tarkoitetun automatisoidun käsittelyn mahdollistamiseksi.</w:t>
      </w:r>
    </w:p>
    <w:p>
      <w:pPr>
        <w:pStyle w:val="ManualNumPar1"/>
        <w:rPr>
          <w:noProof/>
        </w:rPr>
      </w:pPr>
      <w:r>
        <w:t>2.</w:t>
      </w:r>
      <w:r>
        <w:tab/>
      </w:r>
      <w:r>
        <w:rPr>
          <w:noProof/>
        </w:rPr>
        <w:t xml:space="preserve">Asetuksen (EU) 2018/1240 11 artiklassa tarkoitetun automatisoidun käsittelyn on mahdollistettava 20 ja 23 artiklassa, 24 artiklan 6 kohdan c alakohdan ii alakohdassa, 41 artiklassa ja 54 artiklan 1 kohdan b alakohdassa tarkoitetut tarkistukset sekä mainitun asetuksen 22, 23 ja 26 artiklassa tarkoitetut myöhemmät tarkistukset. </w:t>
      </w:r>
    </w:p>
    <w:p>
      <w:pPr>
        <w:pStyle w:val="ManualNumPar1"/>
        <w:rPr>
          <w:noProof/>
        </w:rPr>
      </w:pPr>
      <w:r>
        <w:t>3.</w:t>
      </w:r>
      <w:r>
        <w:tab/>
      </w:r>
      <w:r>
        <w:rPr>
          <w:noProof/>
        </w:rPr>
        <w:t>Asetuksen (EU) 2018/1240 20 artiklan 2 kohdan a ja d alakohdassa ja m alakohdan i alakohdassa sekä 23 artiklassa tarkoitettuja tarkistuksia varten ETIAS-keskusjärjestelmä käyttää mainitun asetuksen 11 artiklassa tarkoitettua välinettä, jonka avulla asetuksen (EU) 2018/1240 11 artiklan 5 kohdassa tarkoitettuja tietoja verrataan SIS-järjestelmässä oleviin tietoihin mainitun asetuksen 11 artiklan 8 kohdan mukaisesti.</w:t>
      </w:r>
    </w:p>
    <w:p>
      <w:pPr>
        <w:pStyle w:val="ManualNumPar1"/>
        <w:rPr>
          <w:noProof/>
        </w:rPr>
      </w:pPr>
      <w:r>
        <w:t>4.</w:t>
      </w:r>
      <w:r>
        <w:tab/>
      </w:r>
      <w:r>
        <w:rPr>
          <w:noProof/>
        </w:rPr>
        <w:t>Jos asetuksen (EU) 2018/1240 23 artiklan 1 kohdassa tarkoitettu ETIAS-haku tuottaa yhden tai useamman osuman, ETIAS-keskusjärjestelmä lähettää automaattisesti ilmoituksen kuulutuksen tehneen jäsenvaltion SIRENE-toimistolle mainitun asetuksen 23 artiklan 2 ja 3 kohdan mukaisesti.</w:t>
      </w:r>
    </w:p>
    <w:p>
      <w:pPr>
        <w:pStyle w:val="Text1"/>
        <w:rPr>
          <w:noProof/>
        </w:rPr>
      </w:pPr>
      <w:r>
        <w:rPr>
          <w:noProof/>
        </w:rPr>
        <w:t>Jos SIS-järjestelmässä on annettu asetuksen (EU) 2018/1240 41 artiklan 3 kohdassa tarkoitettu uusi kuulutus, joka koskee kadonneeksi, varastetuksi, kavalletuksi tai mitätöidyksi ilmoitettua matkustusasiakirjaa, SIS-järjestelmän on ilmoitettava tästä kuulutuksesta ETIAS-keskusjärjestelmään käyttäen mainitun asetuksen 11 artiklassa tarkoitettua automatisoitua käsittelyä ja välinettä, jotta voidaan tarkistaa, vastaako tämä uusi kuulutus jo olemassa olevaa matkustuslupaa.”.</w:t>
      </w:r>
    </w:p>
    <w:p>
      <w:pPr>
        <w:pStyle w:val="Titrearticle"/>
        <w:rPr>
          <w:noProof/>
        </w:rPr>
      </w:pPr>
      <w:r>
        <w:rPr>
          <w:noProof/>
        </w:rPr>
        <w:t xml:space="preserve"> 2 artikla</w:t>
      </w:r>
    </w:p>
    <w:p>
      <w:pPr>
        <w:pStyle w:val="Titrearticle"/>
        <w:rPr>
          <w:b/>
          <w:bCs/>
          <w:noProof/>
        </w:rPr>
      </w:pPr>
      <w:r>
        <w:rPr>
          <w:b/>
          <w:noProof/>
        </w:rPr>
        <w:t>Muutokset asetukseen (EU) yyyy/xxxx [ECRIS-TCN]</w:t>
      </w:r>
    </w:p>
    <w:p>
      <w:pPr>
        <w:spacing w:before="0" w:after="0"/>
        <w:rPr>
          <w:noProof/>
        </w:rPr>
      </w:pPr>
    </w:p>
    <w:p>
      <w:pPr>
        <w:spacing w:before="0" w:after="0"/>
        <w:rPr>
          <w:noProof/>
        </w:rPr>
      </w:pPr>
      <w:r>
        <w:rPr>
          <w:noProof/>
        </w:rPr>
        <w:t>Muutetaan asetus (EU) yyyy/xxxx (ECRIS-TCN-asetus) seuraavasti</w:t>
      </w:r>
      <w:r>
        <w:rPr>
          <w:rStyle w:val="FootnoteReference0"/>
          <w:noProof/>
        </w:rPr>
        <w:footnoteReference w:id="44"/>
      </w:r>
      <w:r>
        <w:rPr>
          <w:noProof/>
          <w:vertAlign w:val="superscript"/>
        </w:rPr>
        <w:t>,</w:t>
      </w:r>
      <w:r>
        <w:rPr>
          <w:rStyle w:val="FootnoteReference0"/>
          <w:noProof/>
        </w:rPr>
        <w:footnoteReference w:id="45"/>
      </w:r>
      <w:r>
        <w:rPr>
          <w:noProof/>
        </w:rPr>
        <w:t>:</w:t>
      </w:r>
    </w:p>
    <w:p>
      <w:pPr>
        <w:spacing w:before="0" w:after="0"/>
        <w:rPr>
          <w:noProof/>
        </w:rPr>
      </w:pPr>
    </w:p>
    <w:p>
      <w:pPr>
        <w:pStyle w:val="Point0number"/>
        <w:numPr>
          <w:ilvl w:val="0"/>
          <w:numId w:val="13"/>
        </w:numPr>
        <w:spacing w:before="0"/>
        <w:rPr>
          <w:noProof/>
        </w:rPr>
      </w:pPr>
      <w:r>
        <w:rPr>
          <w:noProof/>
        </w:rPr>
        <w:t xml:space="preserve">lisätään 1 artiklaan alakohta seuraavasti: </w:t>
      </w:r>
    </w:p>
    <w:p>
      <w:pPr>
        <w:spacing w:after="0"/>
        <w:ind w:left="1418" w:hanging="567"/>
        <w:rPr>
          <w:noProof/>
        </w:rPr>
      </w:pPr>
      <w:r>
        <w:rPr>
          <w:noProof/>
        </w:rPr>
        <w:t xml:space="preserve">”d) </w:t>
      </w:r>
      <w:r>
        <w:rPr>
          <w:noProof/>
        </w:rPr>
        <w:tab/>
        <w:t>edellytykset, joiden nojalla ECRIS-TCN-järjestelmään sisältyviä tietoja voidaan käyttää rajaturvallisuuden tarkoituksiin Euroopan parlamentin ja neuvoston asetuksen (EU) 2018/1240* mukaisesti.</w:t>
      </w:r>
    </w:p>
    <w:p>
      <w:pPr>
        <w:pStyle w:val="Point1"/>
        <w:rPr>
          <w:noProof/>
        </w:rPr>
      </w:pPr>
      <w:r>
        <w:rPr>
          <w:noProof/>
        </w:rPr>
        <w:t>_____________</w:t>
      </w:r>
    </w:p>
    <w:p>
      <w:pPr>
        <w:spacing w:before="0" w:after="0"/>
        <w:ind w:left="1145" w:hanging="425"/>
        <w:rPr>
          <w:noProof/>
        </w:rPr>
      </w:pPr>
      <w:r>
        <w:rPr>
          <w:noProof/>
        </w:rPr>
        <w:t xml:space="preserve">* Euroopan parlamentin ja neuvoston asetus (EU) 2018/1240, annettu 12 päivänä syyskuuta 2018, Euroopan matkustustieto- ja -lupajärjestelmän (ETIAS) perustamisesta ja asetusten (EU) N:o 1077/2011, (EU) N:o 515/2014, (EU) 2016/399, (EU) 2016/1624 ja (EU) 2017/2226 muuttamisesta (EUVL L 236, 19.9.2018, s. 1).”; </w:t>
      </w:r>
    </w:p>
    <w:p>
      <w:pPr>
        <w:spacing w:before="0" w:after="0"/>
        <w:ind w:left="1145" w:hanging="425"/>
        <w:rPr>
          <w:noProof/>
        </w:rPr>
      </w:pPr>
    </w:p>
    <w:p>
      <w:pPr>
        <w:pStyle w:val="Point0number"/>
        <w:tabs>
          <w:tab w:val="clear" w:pos="850"/>
          <w:tab w:val="num" w:pos="567"/>
        </w:tabs>
        <w:spacing w:before="0"/>
        <w:rPr>
          <w:noProof/>
        </w:rPr>
      </w:pPr>
      <w:r>
        <w:rPr>
          <w:noProof/>
        </w:rPr>
        <w:t>korvataan 2 artikla seuraavasti:</w:t>
      </w:r>
    </w:p>
    <w:p>
      <w:pPr>
        <w:pStyle w:val="Titrearticle"/>
        <w:rPr>
          <w:b/>
          <w:noProof/>
        </w:rPr>
      </w:pPr>
      <w:r>
        <w:rPr>
          <w:noProof/>
        </w:rPr>
        <w:t>”2 artikla</w:t>
      </w:r>
      <w:r>
        <w:rPr>
          <w:noProof/>
        </w:rPr>
        <w:br/>
      </w:r>
      <w:r>
        <w:rPr>
          <w:b/>
          <w:noProof/>
        </w:rPr>
        <w:t>Soveltamisala</w:t>
      </w:r>
    </w:p>
    <w:p>
      <w:pPr>
        <w:pStyle w:val="Point1"/>
        <w:ind w:left="851" w:hanging="1"/>
        <w:rPr>
          <w:noProof/>
        </w:rPr>
      </w:pPr>
      <w:r>
        <w:rPr>
          <w:noProof/>
        </w:rPr>
        <w:t xml:space="preserve">Tätä asetusta sovelletaan sellaisten kolmansien maiden kansalaisten henkilöllisyyden määrittämistä koskevien tietojen käsittelyyn, jotka ovat saaneet tuomion jäsenvaltioissa, sen jäsenvaltion (niiden jäsenvaltioiden) tunnistamiseksi, jo(i)ssa kyseiset tuomiot on annettu, sekä rajaturvallisuuden tarkoituksiin [ja jotta voidaan helpottaa henkilöiden virheetöntä tunnistamista ja auttaa siinä]. </w:t>
      </w:r>
    </w:p>
    <w:p>
      <w:pPr>
        <w:pStyle w:val="Point1"/>
        <w:spacing w:before="0" w:after="0"/>
        <w:ind w:left="851" w:hanging="1"/>
        <w:rPr>
          <w:noProof/>
        </w:rPr>
      </w:pPr>
      <w:r>
        <w:rPr>
          <w:noProof/>
        </w:rPr>
        <w:t>Jäljempänä olevaa 5 artiklan 1 kohdan b alakohdan ii alakohtaa lukuun ottamatta kolmansien maiden kansalaisiin sovellettavia tämän asetuksen säännöksiä sovelletaan myös unionin kansalaisiin, joilla on myös kolmannen maan kansalaisuus ja jotka ovat saaneet tuomion jäsenvaltiossa.”;</w:t>
      </w:r>
    </w:p>
    <w:p>
      <w:pPr>
        <w:pStyle w:val="Point1"/>
        <w:spacing w:before="0" w:after="0"/>
        <w:ind w:left="851" w:hanging="1"/>
        <w:rPr>
          <w:noProof/>
        </w:rPr>
      </w:pPr>
    </w:p>
    <w:p>
      <w:pPr>
        <w:pStyle w:val="Point0number"/>
        <w:tabs>
          <w:tab w:val="clear" w:pos="850"/>
          <w:tab w:val="num" w:pos="567"/>
        </w:tabs>
        <w:rPr>
          <w:noProof/>
        </w:rPr>
      </w:pPr>
      <w:r>
        <w:rPr>
          <w:noProof/>
        </w:rPr>
        <w:t>muutetaan 3 artikla seuraavasti:</w:t>
      </w:r>
    </w:p>
    <w:p>
      <w:pPr>
        <w:pStyle w:val="Point1letter"/>
        <w:rPr>
          <w:noProof/>
        </w:rPr>
      </w:pPr>
      <w:r>
        <w:rPr>
          <w:noProof/>
        </w:rPr>
        <w:t>korvataan f alakohta seuraavasti:</w:t>
      </w:r>
    </w:p>
    <w:p>
      <w:pPr>
        <w:pStyle w:val="Point2"/>
        <w:ind w:left="1418"/>
        <w:rPr>
          <w:noProof/>
        </w:rPr>
      </w:pPr>
      <w:r>
        <w:rPr>
          <w:noProof/>
        </w:rPr>
        <w:t>”f)</w:t>
      </w:r>
      <w:r>
        <w:rPr>
          <w:noProof/>
        </w:rPr>
        <w:tab/>
        <w:t>’toimivaltaisilla viranomaisilla’ keskusviranomaisia ja unionin elimiä (Eurojust, Europol, Euroopan syyttäjänvirasto, osaksi Euroopan raja- ja merivartiovirastoa perustettu ETIAS-keskusyksikkö), joilla on pääsy ECRIS-TCN-järjestelmään tai oikeus tehdä hakuja ECRIS-TCN-järjestelmässä tämän asetuksen mukaisesti;”;</w:t>
      </w:r>
    </w:p>
    <w:p>
      <w:pPr>
        <w:pStyle w:val="Point1letter"/>
        <w:rPr>
          <w:noProof/>
        </w:rPr>
      </w:pPr>
      <w:r>
        <w:rPr>
          <w:noProof/>
        </w:rPr>
        <w:t>lisätään alakohdat seuraavasti:</w:t>
      </w:r>
    </w:p>
    <w:p>
      <w:pPr>
        <w:pStyle w:val="Point2"/>
        <w:ind w:left="1418"/>
        <w:rPr>
          <w:noProof/>
        </w:rPr>
      </w:pPr>
      <w:r>
        <w:rPr>
          <w:noProof/>
        </w:rPr>
        <w:t>”t) ’terrorismirikoksella’ rikosta, joka on Euroopan parlamentin ja neuvoston direktiivissä (EU) 2017/541* tarkoitettu rikos tai sitä vastaava rikos;</w:t>
      </w:r>
    </w:p>
    <w:p>
      <w:pPr>
        <w:pStyle w:val="Point2"/>
        <w:ind w:left="1418"/>
        <w:rPr>
          <w:noProof/>
        </w:rPr>
      </w:pPr>
      <w:r>
        <w:rPr>
          <w:noProof/>
        </w:rPr>
        <w:t xml:space="preserve"> u)</w:t>
      </w:r>
      <w:r>
        <w:rPr>
          <w:noProof/>
        </w:rPr>
        <w:tab/>
        <w:t>’vakavalla rikoksella’ rikosta, joka on neuvoston puitepäätöksen 2002/584/YOS** 2 artiklan 2 kohdassa tarkoitettu rikos tai sitä vastaava rikos, jos siitä voi seurata kansallisen lainsäädännön mukaan vapaudenmenetyksen käsittävä rangaistus tai turvaamistoimenpide, jonka enimmäiskesto on vähintään kolme vuotta.</w:t>
      </w:r>
    </w:p>
    <w:p>
      <w:pPr>
        <w:pStyle w:val="Point1"/>
        <w:rPr>
          <w:noProof/>
        </w:rPr>
      </w:pPr>
      <w:r>
        <w:rPr>
          <w:noProof/>
        </w:rPr>
        <w:t>_____________</w:t>
      </w:r>
    </w:p>
    <w:p>
      <w:pPr>
        <w:pStyle w:val="Point2"/>
        <w:ind w:left="1418" w:hanging="1"/>
        <w:rPr>
          <w:noProof/>
        </w:rPr>
      </w:pPr>
      <w:r>
        <w:rPr>
          <w:noProof/>
        </w:rPr>
        <w:t>* Euroopan parlamentin ja neuvoston direktiivi (EU) 2017/541, annettu 15 päivänä maaliskuuta 2017, terrorismin torjumisesta sekä neuvoston puitepäätöksen 2002/475/YOS korvaamisesta sekä neuvoston päätöksen 2005/671/YOS muuttamisesta (EUVL L 88, 31.3.2017, s. 6).</w:t>
      </w:r>
    </w:p>
    <w:p>
      <w:pPr>
        <w:pStyle w:val="Point2"/>
        <w:spacing w:before="0" w:after="0"/>
        <w:ind w:left="1418" w:hanging="1"/>
        <w:rPr>
          <w:noProof/>
        </w:rPr>
      </w:pPr>
      <w:r>
        <w:rPr>
          <w:noProof/>
        </w:rPr>
        <w:t xml:space="preserve">** Neuvoston puitepäätös 2002/584/YOS, tehty 13 päivänä kesäkuuta 2002, eurooppalaisesta pidätysmääräyksestä ja jäsenvaltioiden välisistä luovuttamismenettelyistä (EYVL L 190, 18.7.2002, s. 1)”; </w:t>
      </w:r>
    </w:p>
    <w:p>
      <w:pPr>
        <w:pStyle w:val="Point2"/>
        <w:spacing w:before="0" w:after="0"/>
        <w:ind w:left="1418" w:hanging="1"/>
        <w:rPr>
          <w:noProof/>
        </w:rPr>
      </w:pPr>
    </w:p>
    <w:p>
      <w:pPr>
        <w:pStyle w:val="Point0number"/>
        <w:spacing w:before="0"/>
        <w:rPr>
          <w:noProof/>
        </w:rPr>
      </w:pPr>
      <w:r>
        <w:rPr>
          <w:noProof/>
        </w:rPr>
        <w:t xml:space="preserve">muutetaan 5 artikla seuraavasti: </w:t>
      </w:r>
    </w:p>
    <w:p>
      <w:pPr>
        <w:pStyle w:val="Point1letter"/>
        <w:rPr>
          <w:noProof/>
        </w:rPr>
      </w:pPr>
      <w:r>
        <w:rPr>
          <w:noProof/>
        </w:rPr>
        <w:t>lisätään 1 kohtaan alakohta seuraavasti:</w:t>
      </w:r>
    </w:p>
    <w:p>
      <w:pPr>
        <w:pStyle w:val="Point2"/>
        <w:ind w:left="1418"/>
        <w:rPr>
          <w:noProof/>
        </w:rPr>
      </w:pPr>
      <w:r>
        <w:rPr>
          <w:noProof/>
        </w:rPr>
        <w:t>”c)</w:t>
      </w:r>
      <w:r>
        <w:rPr>
          <w:noProof/>
        </w:rPr>
        <w:tab/>
        <w:t xml:space="preserve">tarvittaessa liputus, joka osoittaa, että henkilö on tuomittu terrorismirikoksesta tai muusta vakavasta rikoksesta, ja tällaisissa tapauksissa tuomion antaneen jäsenvaltion tai jäsenvaltioiden tunnus.”; </w:t>
      </w:r>
    </w:p>
    <w:p>
      <w:pPr>
        <w:pStyle w:val="Point1letter"/>
        <w:rPr>
          <w:noProof/>
        </w:rPr>
      </w:pPr>
      <w:r>
        <w:rPr>
          <w:noProof/>
        </w:rPr>
        <w:t>korvataan 1 a kohta seuraavasti:</w:t>
      </w:r>
    </w:p>
    <w:p>
      <w:pPr>
        <w:pStyle w:val="Point2"/>
        <w:spacing w:before="0" w:after="0"/>
        <w:ind w:left="1418"/>
        <w:rPr>
          <w:noProof/>
        </w:rPr>
      </w:pPr>
      <w:r>
        <w:rPr>
          <w:noProof/>
        </w:rPr>
        <w:t>”1 a.</w:t>
      </w:r>
      <w:r>
        <w:rPr>
          <w:noProof/>
        </w:rPr>
        <w:tab/>
        <w:t xml:space="preserve">[CIR sisältää 1 kohdan b ja c alakohdassa ja 2 kohdassa tarkoitetut tiedot sekä seuraavat 1 kohdan a alakohdassa tarkoitetut tiedot: sukunimi; etunimi tai etunimet; syntymäaika; syntymäpaikka (kaupunki ja valtio); kansalaisuus tai kansalaisuudet; sukupuoli; matkustusasiakirjan tai -asiakirjojen laji ja numero sekä asiakirjan (asiakirjat) myöntänyt viranomainen; ja tapauksen mukaan aiemmat nimet, peite- ja/tai lisänimi (-nimet) sekä 1 kohdan c alakohdassa tarkoitetuissa tapauksissa tuomion antaneen jäsenvaltion tunnus. Muut ECRIS-TCN-tiedot tallennetaan ECRIS-TCN-järjestelmän keskusjärjestelmään.]”; </w:t>
      </w:r>
    </w:p>
    <w:p>
      <w:pPr>
        <w:pStyle w:val="Point2"/>
        <w:spacing w:before="0" w:after="0"/>
        <w:rPr>
          <w:noProof/>
        </w:rPr>
      </w:pPr>
    </w:p>
    <w:p>
      <w:pPr>
        <w:pStyle w:val="Point0number"/>
        <w:spacing w:before="0"/>
        <w:rPr>
          <w:rFonts w:eastAsia="Times New Roman"/>
          <w:noProof/>
        </w:rPr>
      </w:pPr>
      <w:r>
        <w:rPr>
          <w:noProof/>
        </w:rPr>
        <w:t>korvataan 7 artiklan 5 kohta seuraavasti:</w:t>
      </w:r>
    </w:p>
    <w:p>
      <w:pPr>
        <w:pStyle w:val="Point1"/>
        <w:spacing w:before="0" w:after="0"/>
        <w:rPr>
          <w:noProof/>
        </w:rPr>
      </w:pPr>
      <w:r>
        <w:rPr>
          <w:noProof/>
        </w:rPr>
        <w:t>”5.</w:t>
      </w:r>
      <w:r>
        <w:rPr>
          <w:noProof/>
        </w:rPr>
        <w:tab/>
        <w:t>Jos haun tuloksena on osuma, keskusjärjestelmä [tai CIR] antaa toimivaltaiselle viranomaiselle automaattisesti tiedot jäsenvaltiosta (jäsenvaltioista), jo(i)lla on rikosrekisteritietoja kolmannen maan kansalaisesta, sekä 5 artiklan 1 kohdassa tarkoitetun tietoihin liittyvän viitenumeron tai viitenumerot ja henkilöllisyyden määrittämistä koskevat tiedot. Tällaisia henkilöllisyyden määrittämistä koskevia tietoja saa käyttää ainoastaan kyseessä olevan kolmannen maan kansalaisen henkilöllisyyden todentamiseen. Keskusjärjestelmässä tehdyn haun tuloksia saa käyttää ainoastaan puitepäätöksen 2009/315/YOS 6 artiklassa tarkoitetun pyynnön tai tämän asetuksen 16 artiklan 4 kohdassa tarkoitetun pyynnön tekemiseen, tai rajaturvallisuuden tarkoituksiin [ja jotta voidaan helpottaa ECRIS-TCN-järjestelmään rekisteröityjen henkilöiden virheetöntä tunnistamista ja auttaa siinä].”;</w:t>
      </w:r>
    </w:p>
    <w:p>
      <w:pPr>
        <w:pStyle w:val="Point1"/>
        <w:spacing w:before="0" w:after="0"/>
        <w:rPr>
          <w:noProof/>
        </w:rPr>
      </w:pPr>
    </w:p>
    <w:p>
      <w:pPr>
        <w:pStyle w:val="Point0number"/>
        <w:rPr>
          <w:noProof/>
        </w:rPr>
      </w:pPr>
      <w:r>
        <w:rPr>
          <w:noProof/>
        </w:rPr>
        <w:t>lisätään II lukuun artikla seuraavasti:</w:t>
      </w:r>
    </w:p>
    <w:p>
      <w:pPr>
        <w:pStyle w:val="Titrearticle"/>
        <w:rPr>
          <w:rFonts w:eastAsia="Times New Roman"/>
          <w:b/>
          <w:noProof/>
        </w:rPr>
      </w:pPr>
      <w:r>
        <w:rPr>
          <w:noProof/>
        </w:rPr>
        <w:t>”7 a artikla</w:t>
      </w:r>
      <w:r>
        <w:rPr>
          <w:noProof/>
        </w:rPr>
        <w:br/>
      </w:r>
      <w:r>
        <w:rPr>
          <w:b/>
          <w:noProof/>
        </w:rPr>
        <w:t>ECRIS-TCN-järjestelmän käyttö ETIAS-tarkistuksia varten</w:t>
      </w:r>
    </w:p>
    <w:p>
      <w:pPr>
        <w:pStyle w:val="ManualNumPar1"/>
        <w:rPr>
          <w:rFonts w:eastAsia="Times New Roman"/>
          <w:noProof/>
        </w:rPr>
      </w:pPr>
      <w:r>
        <w:t>1.</w:t>
      </w:r>
      <w:r>
        <w:tab/>
      </w:r>
      <w:r>
        <w:rPr>
          <w:noProof/>
        </w:rPr>
        <w:t>ETIAS-keskusyksiköllä, joka on perustettu osaksi Euroopan raja- ja merivartiovirastoa asetuksen (EU) 2018/1240 7 artiklan mukaisesti, on oikeus päästä sille asetuksessa (EU) 2018/1240 annettujen tehtävien suorittamista varten ECRIS-TCN-järjestelmään tallennettuihin tietoihin ja tehdä niihin hakuja [CIR:ssä]. Sillä on kuitenkin pääsy ainoastaan sellaisiin tietueisiin, joihin on lisätty liputus tämän asetuksen 5 artiklan 1 kohdan c alakohdan mukaisesti.</w:t>
      </w:r>
    </w:p>
    <w:p>
      <w:pPr>
        <w:pStyle w:val="ManualNumPar1"/>
        <w:rPr>
          <w:noProof/>
        </w:rPr>
      </w:pPr>
      <w:r>
        <w:t>2.</w:t>
      </w:r>
      <w:r>
        <w:tab/>
      </w:r>
      <w:r>
        <w:rPr>
          <w:noProof/>
        </w:rPr>
        <w:t>[CIR] liitetään asetuksen (EU) 2018/1240 11 artiklassa tarkoitettuun välineeseen kyseisessä artiklassa tarkoitetun automatisoidun käsittelyn mahdollistamiseksi.</w:t>
      </w:r>
    </w:p>
    <w:p>
      <w:pPr>
        <w:pStyle w:val="ManualNumPar1"/>
        <w:rPr>
          <w:noProof/>
        </w:rPr>
      </w:pPr>
      <w:r>
        <w:t>3.</w:t>
      </w:r>
      <w:r>
        <w:tab/>
      </w:r>
      <w:r>
        <w:rPr>
          <w:noProof/>
        </w:rPr>
        <w:t>Asetuksen (EU) 2018/1240 24 artiklan soveltamista rajoittamatta asetuksen (EU) 2018/1240 11 artiklassa tarkoitetun automatisoidun käsittelyn on mahdollistettava mainitun asetuksen 20 artiklassa tarkoitetut tarkistukset sekä asetuksen 22 ja 26 artiklassa tarkoitetut myöhemmät tarkistukset.</w:t>
      </w:r>
    </w:p>
    <w:p>
      <w:pPr>
        <w:pStyle w:val="Point1"/>
        <w:spacing w:before="0" w:after="0"/>
        <w:ind w:left="851" w:firstLine="1"/>
        <w:rPr>
          <w:noProof/>
        </w:rPr>
      </w:pPr>
      <w:r>
        <w:rPr>
          <w:noProof/>
        </w:rPr>
        <w:t xml:space="preserve">Asetuksen (EU) 2018/1240 20 artiklan 2 kohdan n alakohdassa tarkoitettuja tarkistuksia varten ETIAS-keskusjärjestelmä käyttää mainitun asetuksen 11 artiklassa tarkoitettua välinettä, jonka avulla ETIAS-järjestelmässä olevia tietoja verrataan ECRIS-TCN-järjestelmässä [CIR:ssä] oleviin tietoihin, joihin on lisätty liputus, tämän asetuksen 5 artiklan 1 kohdan c alakohdan nojalla ja asetuksen (EU) 2018/1240 11 artiklan 8 kohdan mukaisesti, liitteessä II olevassa taulukossa lueteltuja vastaavuuksia käyttäen.”; </w:t>
      </w:r>
    </w:p>
    <w:p>
      <w:pPr>
        <w:pStyle w:val="Point1"/>
        <w:spacing w:before="0" w:after="0"/>
        <w:ind w:left="851" w:firstLine="1"/>
        <w:rPr>
          <w:noProof/>
        </w:rPr>
      </w:pPr>
    </w:p>
    <w:p>
      <w:pPr>
        <w:pStyle w:val="Point0number"/>
        <w:rPr>
          <w:noProof/>
        </w:rPr>
      </w:pPr>
      <w:r>
        <w:rPr>
          <w:noProof/>
        </w:rPr>
        <w:t>korvataan 8 artiklan 2 kohta seuraavasti:</w:t>
      </w:r>
    </w:p>
    <w:p>
      <w:pPr>
        <w:pStyle w:val="Point1"/>
        <w:spacing w:before="0" w:after="0"/>
        <w:rPr>
          <w:noProof/>
        </w:rPr>
      </w:pPr>
      <w:r>
        <w:rPr>
          <w:noProof/>
        </w:rPr>
        <w:t xml:space="preserve">”2. </w:t>
      </w:r>
      <w:r>
        <w:rPr>
          <w:noProof/>
        </w:rPr>
        <w:tab/>
        <w:t>Edellä 1 kohdassa tarkoitetun säilyttämisajan päätyttyä tuomiojäsenvaltion keskusviranomaisen on poistettava tietue keskusjärjestelmästä [ja CIR:stä], sormenjäljet, kasvokuvat ja 5 artiklan 1 kohdan c alakohdassa tarkoitetut liputukset mukaan lukien. Siinä tapauksessa, että kansallisesta rikosrekisteristä poistetaan tiedot 5 artiklan 1 kohdan c alakohdassa tarkoitetusta terrorismirikoksen tai muun vakavan rikoksen vuoksi annetusta tuomiosta, mutta tiedot samaa henkilöä koskevista muista tuomioista säilytetään, tietueesta poistetaan ainoastaan 5 artiklan 1 kohdan c alakohdassa tarkoitettu liputus. Poiston on tapahduttava automaattisesti, jos se on mahdollista, ja joka tapauksessa viimeistään yhden kuukauden kuluttua säilyttämisajan päättymisestä.”;</w:t>
      </w:r>
    </w:p>
    <w:p>
      <w:pPr>
        <w:pStyle w:val="Point1"/>
        <w:spacing w:before="0" w:after="0"/>
        <w:rPr>
          <w:noProof/>
        </w:rPr>
      </w:pPr>
    </w:p>
    <w:p>
      <w:pPr>
        <w:pStyle w:val="Point0number"/>
        <w:rPr>
          <w:i/>
          <w:noProof/>
        </w:rPr>
      </w:pPr>
      <w:r>
        <w:rPr>
          <w:noProof/>
        </w:rPr>
        <w:t>korvataan 22 artiklan 1 kohta seuraavasti:</w:t>
      </w:r>
    </w:p>
    <w:p>
      <w:pPr>
        <w:pStyle w:val="Point1"/>
        <w:spacing w:before="0" w:after="0"/>
        <w:rPr>
          <w:noProof/>
        </w:rPr>
      </w:pPr>
      <w:r>
        <w:rPr>
          <w:noProof/>
        </w:rPr>
        <w:t xml:space="preserve">”1. </w:t>
      </w:r>
      <w:r>
        <w:rPr>
          <w:noProof/>
        </w:rPr>
        <w:tab/>
        <w:t>Keskusjärjestelmään [ja CIR:ään] sisältyviä tietoja voidaan käsitellä ainoastaan sen selvittämiseksi, missä jäsenvaltiossa (jäsenvaltioissa) on rikosrekisteritietoja kolmansien maiden kansalaisista, sekä rajaturvallisuuden tarkoituksiin [ja jotta voidaan helpottaa ECRIS-TCN-järjestelmään rekisteröityjen henkilöiden virheetöntä tunnistamista ja auttaa siinä].”;</w:t>
      </w:r>
    </w:p>
    <w:p>
      <w:pPr>
        <w:pStyle w:val="Point1"/>
        <w:spacing w:before="0" w:after="0"/>
        <w:rPr>
          <w:noProof/>
        </w:rPr>
      </w:pPr>
    </w:p>
    <w:p>
      <w:pPr>
        <w:pStyle w:val="Point0number"/>
        <w:rPr>
          <w:noProof/>
        </w:rPr>
      </w:pPr>
      <w:r>
        <w:rPr>
          <w:noProof/>
        </w:rPr>
        <w:t>korvataan 30 artiklan 4 kohdan toinen alakohta seuraavasti:</w:t>
      </w:r>
    </w:p>
    <w:p>
      <w:pPr>
        <w:pStyle w:val="Point1"/>
        <w:spacing w:before="0" w:after="0"/>
        <w:ind w:left="993" w:hanging="143"/>
        <w:rPr>
          <w:noProof/>
        </w:rPr>
      </w:pPr>
      <w:r>
        <w:rPr>
          <w:noProof/>
        </w:rPr>
        <w:t>”Eu-LISA toimittaa kuukausittain komissiolle tilastot, jotka liittyvät rikosrekisteritietojen tallentamiseen, säilyttämiseen ja vaihtoon ECRIS-TCN-järjestelmän ja ECRIS-viitesovelluksen kautta ja joiden perusteella ei voida tunnistaa yksittäisiä henkilöitä, mukaan lukien tietueet, joihin sisältyy 5 artiklan 1 kohdan c alakohdan mukainen liputus.”;</w:t>
      </w:r>
    </w:p>
    <w:p>
      <w:pPr>
        <w:pStyle w:val="Point1"/>
        <w:spacing w:before="0" w:after="0"/>
        <w:ind w:left="851" w:hanging="1"/>
        <w:rPr>
          <w:noProof/>
        </w:rPr>
      </w:pPr>
    </w:p>
    <w:p>
      <w:pPr>
        <w:pStyle w:val="Point0number"/>
        <w:rPr>
          <w:noProof/>
        </w:rPr>
      </w:pPr>
      <w:r>
        <w:rPr>
          <w:noProof/>
        </w:rPr>
        <w:t>lisätään artikla seuraavasti:</w:t>
      </w:r>
    </w:p>
    <w:p>
      <w:pPr>
        <w:pStyle w:val="Titrearticle"/>
        <w:rPr>
          <w:b/>
          <w:bCs/>
          <w:noProof/>
        </w:rPr>
      </w:pPr>
      <w:r>
        <w:rPr>
          <w:noProof/>
        </w:rPr>
        <w:t>”29 a artikla</w:t>
      </w:r>
      <w:r>
        <w:rPr>
          <w:noProof/>
        </w:rPr>
        <w:br/>
      </w:r>
      <w:r>
        <w:rPr>
          <w:b/>
          <w:noProof/>
        </w:rPr>
        <w:t>Tietojenkäsittelytapahtumien rekisteröinti ETIAS-järjestelmää varten</w:t>
      </w:r>
    </w:p>
    <w:p>
      <w:pPr>
        <w:autoSpaceDE w:val="0"/>
        <w:autoSpaceDN w:val="0"/>
        <w:adjustRightInd w:val="0"/>
        <w:ind w:left="284"/>
        <w:rPr>
          <w:noProof/>
        </w:rPr>
      </w:pPr>
      <w:r>
        <w:rPr>
          <w:noProof/>
        </w:rPr>
        <w:t>Tämän asetuksen 7 a artiklassa lueteltujen tapahtumien osalta jokaisesta [CIR:ssä] ja ETIAS-järjestelmässä toteutetusta ECRIS-TCN-tietojenkäsittelytapahtumasta on pidettävä kirjaa asetuksen (EU) 2018/1240 69 artiklan mukaisesti.”;</w:t>
      </w:r>
    </w:p>
    <w:p>
      <w:pPr>
        <w:autoSpaceDE w:val="0"/>
        <w:autoSpaceDN w:val="0"/>
        <w:adjustRightInd w:val="0"/>
        <w:spacing w:before="0" w:after="0"/>
        <w:ind w:left="284"/>
        <w:rPr>
          <w:noProof/>
        </w:rPr>
      </w:pPr>
    </w:p>
    <w:p>
      <w:pPr>
        <w:pStyle w:val="Point0number"/>
        <w:spacing w:before="0"/>
        <w:rPr>
          <w:noProof/>
        </w:rPr>
      </w:pPr>
      <w:r>
        <w:rPr>
          <w:noProof/>
        </w:rPr>
        <w:t>lisätään liite seuraavasti:</w:t>
      </w:r>
    </w:p>
    <w:p>
      <w:pPr>
        <w:autoSpaceDE w:val="0"/>
        <w:autoSpaceDN w:val="0"/>
        <w:adjustRightInd w:val="0"/>
        <w:spacing w:after="0"/>
        <w:rPr>
          <w:noProof/>
        </w:rPr>
      </w:pPr>
      <w:r>
        <w:rPr>
          <w:noProof/>
        </w:rPr>
        <w:t>”Liite II</w:t>
      </w:r>
    </w:p>
    <w:p>
      <w:pPr>
        <w:autoSpaceDE w:val="0"/>
        <w:autoSpaceDN w:val="0"/>
        <w:adjustRightInd w:val="0"/>
        <w:rPr>
          <w:noProof/>
        </w:rPr>
      </w:pPr>
      <w:r>
        <w:rPr>
          <w:noProof/>
        </w:rPr>
        <w:t>7 a artiklassa tarkoitettu vastaavuustaulukko</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i/>
                <w:noProof/>
              </w:rPr>
              <w:t>ETIAS-keskusjärjestelmästä lähetetyt asetuksen 2018/1240 17 artiklan 2 kohdassa tarkoitetut tiedot</w:t>
            </w:r>
          </w:p>
        </w:tc>
        <w:tc>
          <w:tcPr>
            <w:tcW w:w="4016" w:type="dxa"/>
            <w:hideMark/>
          </w:tcPr>
          <w:p>
            <w:pPr>
              <w:autoSpaceDE w:val="0"/>
              <w:autoSpaceDN w:val="0"/>
              <w:spacing w:before="0" w:after="0"/>
              <w:jc w:val="center"/>
              <w:rPr>
                <w:rFonts w:eastAsia="Calibri"/>
                <w:b/>
                <w:bCs/>
                <w:i/>
                <w:iCs/>
                <w:noProof/>
              </w:rPr>
            </w:pPr>
            <w:r>
              <w:rPr>
                <w:b/>
                <w:i/>
                <w:noProof/>
              </w:rPr>
              <w:t>Tämän asetuksen 5 artiklan 1 kohdassa tarkoitetut [CIR:ään] sisältyvät vastaavat ECRIS-TCN-järjestelmän tiedot, joihin ETIAS-järjestelmän tietoja olisi verrattava</w:t>
            </w:r>
          </w:p>
        </w:tc>
      </w:tr>
      <w:tr>
        <w:tc>
          <w:tcPr>
            <w:tcW w:w="4208" w:type="dxa"/>
            <w:hideMark/>
          </w:tcPr>
          <w:p>
            <w:pPr>
              <w:autoSpaceDE w:val="0"/>
              <w:autoSpaceDN w:val="0"/>
              <w:spacing w:before="0" w:after="0"/>
              <w:rPr>
                <w:rFonts w:eastAsia="Calibri"/>
                <w:noProof/>
              </w:rPr>
            </w:pPr>
            <w:r>
              <w:rPr>
                <w:noProof/>
              </w:rPr>
              <w:t>sukunimi</w:t>
            </w:r>
          </w:p>
        </w:tc>
        <w:tc>
          <w:tcPr>
            <w:tcW w:w="4016" w:type="dxa"/>
            <w:hideMark/>
          </w:tcPr>
          <w:p>
            <w:pPr>
              <w:autoSpaceDE w:val="0"/>
              <w:autoSpaceDN w:val="0"/>
              <w:spacing w:before="0" w:after="0"/>
              <w:rPr>
                <w:rFonts w:eastAsia="Calibri"/>
                <w:noProof/>
              </w:rPr>
            </w:pPr>
            <w:r>
              <w:rPr>
                <w:noProof/>
              </w:rPr>
              <w:t>sukunimi</w:t>
            </w:r>
          </w:p>
        </w:tc>
      </w:tr>
      <w:tr>
        <w:tc>
          <w:tcPr>
            <w:tcW w:w="4208" w:type="dxa"/>
            <w:hideMark/>
          </w:tcPr>
          <w:p>
            <w:pPr>
              <w:autoSpaceDE w:val="0"/>
              <w:autoSpaceDN w:val="0"/>
              <w:spacing w:before="0" w:after="0"/>
              <w:rPr>
                <w:rFonts w:eastAsia="Calibri"/>
                <w:noProof/>
              </w:rPr>
            </w:pPr>
            <w:r>
              <w:rPr>
                <w:noProof/>
              </w:rPr>
              <w:t>syntymäsukunimi</w:t>
            </w:r>
          </w:p>
        </w:tc>
        <w:tc>
          <w:tcPr>
            <w:tcW w:w="4016" w:type="dxa"/>
            <w:hideMark/>
          </w:tcPr>
          <w:p>
            <w:pPr>
              <w:autoSpaceDE w:val="0"/>
              <w:autoSpaceDN w:val="0"/>
              <w:spacing w:before="0" w:after="0"/>
              <w:rPr>
                <w:rFonts w:eastAsia="Calibri"/>
                <w:noProof/>
              </w:rPr>
            </w:pPr>
            <w:r>
              <w:rPr>
                <w:noProof/>
              </w:rPr>
              <w:t>entinen nimi (nimet)</w:t>
            </w:r>
          </w:p>
        </w:tc>
      </w:tr>
      <w:tr>
        <w:tc>
          <w:tcPr>
            <w:tcW w:w="4208" w:type="dxa"/>
            <w:hideMark/>
          </w:tcPr>
          <w:p>
            <w:pPr>
              <w:autoSpaceDE w:val="0"/>
              <w:autoSpaceDN w:val="0"/>
              <w:spacing w:before="0" w:after="0"/>
              <w:rPr>
                <w:rFonts w:eastAsia="Calibri"/>
                <w:noProof/>
              </w:rPr>
            </w:pPr>
            <w:r>
              <w:rPr>
                <w:noProof/>
              </w:rPr>
              <w:t>etunimi tai -nimet</w:t>
            </w:r>
          </w:p>
        </w:tc>
        <w:tc>
          <w:tcPr>
            <w:tcW w:w="4016" w:type="dxa"/>
            <w:hideMark/>
          </w:tcPr>
          <w:p>
            <w:pPr>
              <w:autoSpaceDE w:val="0"/>
              <w:autoSpaceDN w:val="0"/>
              <w:spacing w:before="0" w:after="0"/>
              <w:rPr>
                <w:rFonts w:eastAsia="Calibri"/>
                <w:noProof/>
              </w:rPr>
            </w:pPr>
            <w:r>
              <w:rPr>
                <w:noProof/>
              </w:rPr>
              <w:t>etunimi tai -nimet</w:t>
            </w:r>
          </w:p>
        </w:tc>
      </w:tr>
      <w:tr>
        <w:tc>
          <w:tcPr>
            <w:tcW w:w="4208" w:type="dxa"/>
            <w:hideMark/>
          </w:tcPr>
          <w:p>
            <w:pPr>
              <w:autoSpaceDE w:val="0"/>
              <w:autoSpaceDN w:val="0"/>
              <w:spacing w:before="0" w:after="0"/>
              <w:rPr>
                <w:rFonts w:eastAsia="Calibri"/>
                <w:noProof/>
              </w:rPr>
            </w:pPr>
            <w:r>
              <w:rPr>
                <w:noProof/>
              </w:rPr>
              <w:t>muut nimet (lisänimi/-nimet, taiteilijanimi/-nimet, kutsumanimi/-nimet)</w:t>
            </w:r>
          </w:p>
        </w:tc>
        <w:tc>
          <w:tcPr>
            <w:tcW w:w="4016" w:type="dxa"/>
            <w:hideMark/>
          </w:tcPr>
          <w:p>
            <w:pPr>
              <w:autoSpaceDE w:val="0"/>
              <w:autoSpaceDN w:val="0"/>
              <w:spacing w:before="0" w:after="0"/>
              <w:rPr>
                <w:rFonts w:eastAsia="Calibri"/>
                <w:noProof/>
              </w:rPr>
            </w:pPr>
            <w:r>
              <w:rPr>
                <w:noProof/>
              </w:rPr>
              <w:t>peite- ja/tai lisänimi (-nimet)</w:t>
            </w:r>
          </w:p>
        </w:tc>
      </w:tr>
      <w:tr>
        <w:tc>
          <w:tcPr>
            <w:tcW w:w="4208" w:type="dxa"/>
            <w:hideMark/>
          </w:tcPr>
          <w:p>
            <w:pPr>
              <w:autoSpaceDE w:val="0"/>
              <w:autoSpaceDN w:val="0"/>
              <w:spacing w:before="0" w:after="0"/>
              <w:rPr>
                <w:rFonts w:eastAsia="Calibri"/>
                <w:noProof/>
              </w:rPr>
            </w:pPr>
            <w:r>
              <w:rPr>
                <w:noProof/>
              </w:rPr>
              <w:t>syntymäaika</w:t>
            </w:r>
          </w:p>
        </w:tc>
        <w:tc>
          <w:tcPr>
            <w:tcW w:w="4016" w:type="dxa"/>
            <w:hideMark/>
          </w:tcPr>
          <w:p>
            <w:pPr>
              <w:autoSpaceDE w:val="0"/>
              <w:autoSpaceDN w:val="0"/>
              <w:spacing w:before="0" w:after="0"/>
              <w:rPr>
                <w:rFonts w:eastAsia="Calibri"/>
                <w:noProof/>
              </w:rPr>
            </w:pPr>
            <w:r>
              <w:rPr>
                <w:noProof/>
              </w:rPr>
              <w:t>syntymäaika</w:t>
            </w:r>
          </w:p>
        </w:tc>
      </w:tr>
      <w:tr>
        <w:tc>
          <w:tcPr>
            <w:tcW w:w="4208" w:type="dxa"/>
            <w:hideMark/>
          </w:tcPr>
          <w:p>
            <w:pPr>
              <w:autoSpaceDE w:val="0"/>
              <w:autoSpaceDN w:val="0"/>
              <w:spacing w:before="0" w:after="0"/>
              <w:rPr>
                <w:rFonts w:eastAsia="Calibri"/>
                <w:noProof/>
              </w:rPr>
            </w:pPr>
            <w:r>
              <w:rPr>
                <w:noProof/>
              </w:rPr>
              <w:t xml:space="preserve">syntymäpaikka </w:t>
            </w:r>
          </w:p>
        </w:tc>
        <w:tc>
          <w:tcPr>
            <w:tcW w:w="4016" w:type="dxa"/>
            <w:hideMark/>
          </w:tcPr>
          <w:p>
            <w:pPr>
              <w:autoSpaceDE w:val="0"/>
              <w:autoSpaceDN w:val="0"/>
              <w:spacing w:before="0" w:after="0"/>
              <w:rPr>
                <w:rFonts w:eastAsia="Calibri"/>
                <w:noProof/>
              </w:rPr>
            </w:pPr>
            <w:r>
              <w:rPr>
                <w:noProof/>
              </w:rPr>
              <w:t>syntymäpaikka (kaupunki ja valtio)</w:t>
            </w:r>
          </w:p>
        </w:tc>
      </w:tr>
      <w:tr>
        <w:tc>
          <w:tcPr>
            <w:tcW w:w="4208" w:type="dxa"/>
            <w:hideMark/>
          </w:tcPr>
          <w:p>
            <w:pPr>
              <w:autoSpaceDE w:val="0"/>
              <w:autoSpaceDN w:val="0"/>
              <w:spacing w:before="0" w:after="0"/>
              <w:rPr>
                <w:rFonts w:eastAsia="Calibri"/>
                <w:noProof/>
              </w:rPr>
            </w:pPr>
            <w:r>
              <w:rPr>
                <w:noProof/>
              </w:rPr>
              <w:t>syntymämaa</w:t>
            </w:r>
          </w:p>
        </w:tc>
        <w:tc>
          <w:tcPr>
            <w:tcW w:w="4016" w:type="dxa"/>
            <w:hideMark/>
          </w:tcPr>
          <w:p>
            <w:pPr>
              <w:autoSpaceDE w:val="0"/>
              <w:autoSpaceDN w:val="0"/>
              <w:spacing w:before="0" w:after="0"/>
              <w:rPr>
                <w:rFonts w:eastAsia="Calibri"/>
                <w:noProof/>
              </w:rPr>
            </w:pPr>
            <w:r>
              <w:rPr>
                <w:noProof/>
              </w:rPr>
              <w:t>syntymäpaikka (kaupunki ja valtio)</w:t>
            </w:r>
          </w:p>
        </w:tc>
      </w:tr>
      <w:tr>
        <w:tc>
          <w:tcPr>
            <w:tcW w:w="4208" w:type="dxa"/>
            <w:hideMark/>
          </w:tcPr>
          <w:p>
            <w:pPr>
              <w:autoSpaceDE w:val="0"/>
              <w:autoSpaceDN w:val="0"/>
              <w:spacing w:before="0" w:after="0"/>
              <w:rPr>
                <w:rFonts w:eastAsia="Calibri"/>
                <w:noProof/>
              </w:rPr>
            </w:pPr>
            <w:r>
              <w:rPr>
                <w:noProof/>
              </w:rPr>
              <w:t>sukupuoli</w:t>
            </w:r>
          </w:p>
        </w:tc>
        <w:tc>
          <w:tcPr>
            <w:tcW w:w="4016" w:type="dxa"/>
            <w:hideMark/>
          </w:tcPr>
          <w:p>
            <w:pPr>
              <w:autoSpaceDE w:val="0"/>
              <w:autoSpaceDN w:val="0"/>
              <w:spacing w:before="0" w:after="0"/>
              <w:rPr>
                <w:rFonts w:eastAsia="Calibri"/>
                <w:noProof/>
              </w:rPr>
            </w:pPr>
            <w:r>
              <w:rPr>
                <w:noProof/>
              </w:rPr>
              <w:t>sukupuoli</w:t>
            </w:r>
          </w:p>
        </w:tc>
      </w:tr>
      <w:tr>
        <w:tc>
          <w:tcPr>
            <w:tcW w:w="4208" w:type="dxa"/>
            <w:hideMark/>
          </w:tcPr>
          <w:p>
            <w:pPr>
              <w:autoSpaceDE w:val="0"/>
              <w:autoSpaceDN w:val="0"/>
              <w:spacing w:before="0" w:after="0"/>
              <w:rPr>
                <w:rFonts w:eastAsia="Calibri"/>
                <w:noProof/>
              </w:rPr>
            </w:pPr>
            <w:r>
              <w:rPr>
                <w:noProof/>
              </w:rPr>
              <w:t>nykyinen kansalaisuus</w:t>
            </w:r>
          </w:p>
        </w:tc>
        <w:tc>
          <w:tcPr>
            <w:tcW w:w="4016" w:type="dxa"/>
            <w:hideMark/>
          </w:tcPr>
          <w:p>
            <w:pPr>
              <w:autoSpaceDE w:val="0"/>
              <w:autoSpaceDN w:val="0"/>
              <w:spacing w:before="0" w:after="0"/>
              <w:rPr>
                <w:rFonts w:eastAsia="Calibri"/>
                <w:noProof/>
              </w:rPr>
            </w:pPr>
            <w:r>
              <w:rPr>
                <w:noProof/>
              </w:rPr>
              <w:t>kansalaisuus tai kansalaisuudet</w:t>
            </w:r>
          </w:p>
        </w:tc>
      </w:tr>
      <w:tr>
        <w:trPr>
          <w:trHeight w:val="74"/>
        </w:trPr>
        <w:tc>
          <w:tcPr>
            <w:tcW w:w="4208" w:type="dxa"/>
            <w:hideMark/>
          </w:tcPr>
          <w:p>
            <w:pPr>
              <w:autoSpaceDE w:val="0"/>
              <w:autoSpaceDN w:val="0"/>
              <w:spacing w:before="0" w:after="0"/>
              <w:rPr>
                <w:rFonts w:eastAsia="Calibri"/>
                <w:noProof/>
              </w:rPr>
            </w:pPr>
            <w:r>
              <w:rPr>
                <w:noProof/>
              </w:rPr>
              <w:t>mahdolliset muut kansalaisuudet</w:t>
            </w:r>
          </w:p>
        </w:tc>
        <w:tc>
          <w:tcPr>
            <w:tcW w:w="4016" w:type="dxa"/>
            <w:hideMark/>
          </w:tcPr>
          <w:p>
            <w:pPr>
              <w:autoSpaceDE w:val="0"/>
              <w:autoSpaceDN w:val="0"/>
              <w:spacing w:before="0" w:after="0"/>
              <w:rPr>
                <w:rFonts w:eastAsia="Calibri"/>
                <w:noProof/>
              </w:rPr>
            </w:pPr>
            <w:r>
              <w:rPr>
                <w:noProof/>
              </w:rPr>
              <w:t>kansalaisuus tai kansalaisuudet</w:t>
            </w:r>
          </w:p>
        </w:tc>
      </w:tr>
      <w:tr>
        <w:tc>
          <w:tcPr>
            <w:tcW w:w="4208" w:type="dxa"/>
            <w:hideMark/>
          </w:tcPr>
          <w:p>
            <w:pPr>
              <w:autoSpaceDE w:val="0"/>
              <w:autoSpaceDN w:val="0"/>
              <w:spacing w:before="0" w:after="0"/>
              <w:rPr>
                <w:rFonts w:eastAsia="Calibri"/>
                <w:noProof/>
              </w:rPr>
            </w:pPr>
            <w:r>
              <w:rPr>
                <w:noProof/>
              </w:rPr>
              <w:t>matkustusasiakirjan tyyppi</w:t>
            </w:r>
          </w:p>
        </w:tc>
        <w:tc>
          <w:tcPr>
            <w:tcW w:w="4016" w:type="dxa"/>
            <w:hideMark/>
          </w:tcPr>
          <w:p>
            <w:pPr>
              <w:autoSpaceDE w:val="0"/>
              <w:autoSpaceDN w:val="0"/>
              <w:spacing w:before="0" w:after="0"/>
              <w:rPr>
                <w:rFonts w:eastAsia="Calibri"/>
                <w:noProof/>
              </w:rPr>
            </w:pPr>
            <w:r>
              <w:rPr>
                <w:noProof/>
              </w:rPr>
              <w:t>henkilötodistuksen (-todistusten) luokka</w:t>
            </w:r>
          </w:p>
        </w:tc>
      </w:tr>
      <w:tr>
        <w:tc>
          <w:tcPr>
            <w:tcW w:w="4208" w:type="dxa"/>
            <w:hideMark/>
          </w:tcPr>
          <w:p>
            <w:pPr>
              <w:autoSpaceDE w:val="0"/>
              <w:autoSpaceDN w:val="0"/>
              <w:spacing w:before="0" w:after="0"/>
              <w:rPr>
                <w:rFonts w:eastAsia="Calibri"/>
                <w:noProof/>
              </w:rPr>
            </w:pPr>
            <w:r>
              <w:rPr>
                <w:noProof/>
              </w:rPr>
              <w:t>matkustusasiakirjan numero</w:t>
            </w:r>
          </w:p>
        </w:tc>
        <w:tc>
          <w:tcPr>
            <w:tcW w:w="4016" w:type="dxa"/>
            <w:hideMark/>
          </w:tcPr>
          <w:p>
            <w:pPr>
              <w:autoSpaceDE w:val="0"/>
              <w:autoSpaceDN w:val="0"/>
              <w:spacing w:before="0" w:after="0"/>
              <w:rPr>
                <w:rFonts w:eastAsia="Calibri"/>
                <w:noProof/>
              </w:rPr>
            </w:pPr>
            <w:r>
              <w:rPr>
                <w:noProof/>
              </w:rPr>
              <w:t>henkilötodistuksen (-todistusten) numero</w:t>
            </w:r>
          </w:p>
        </w:tc>
      </w:tr>
      <w:tr>
        <w:tc>
          <w:tcPr>
            <w:tcW w:w="4208" w:type="dxa"/>
            <w:hideMark/>
          </w:tcPr>
          <w:p>
            <w:pPr>
              <w:autoSpaceDE w:val="0"/>
              <w:autoSpaceDN w:val="0"/>
              <w:spacing w:before="0" w:after="0"/>
              <w:rPr>
                <w:rFonts w:eastAsia="Calibri"/>
                <w:noProof/>
              </w:rPr>
            </w:pPr>
            <w:r>
              <w:rPr>
                <w:noProof/>
              </w:rPr>
              <w:t>matkustusasiakirjan myöntämismaa</w:t>
            </w:r>
          </w:p>
        </w:tc>
        <w:tc>
          <w:tcPr>
            <w:tcW w:w="4016" w:type="dxa"/>
            <w:hideMark/>
          </w:tcPr>
          <w:p>
            <w:pPr>
              <w:autoSpaceDE w:val="0"/>
              <w:autoSpaceDN w:val="0"/>
              <w:spacing w:before="0" w:after="0"/>
              <w:rPr>
                <w:rFonts w:eastAsia="Calibri"/>
                <w:noProof/>
              </w:rPr>
            </w:pPr>
            <w:r>
              <w:rPr>
                <w:noProof/>
              </w:rPr>
              <w:t>myöntävä viranomainen</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3 artikla</w:t>
      </w:r>
    </w:p>
    <w:p>
      <w:pPr>
        <w:pStyle w:val="Titrearticle"/>
        <w:rPr>
          <w:noProof/>
        </w:rPr>
      </w:pPr>
      <w:r>
        <w:rPr>
          <w:b/>
          <w:noProof/>
        </w:rPr>
        <w:t>Voimaantulo</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rPr>
          <w:noProof/>
        </w:rPr>
      </w:pPr>
      <w:r>
        <w:rPr>
          <w:noProof/>
        </w:rPr>
        <w:t xml:space="preserve">Sitä sovelletaan asetuksen (EU) 2018/1240 96 artiklan toisen kohdan mukaisesti määritetystä päivämäärästä alkaen. </w:t>
      </w:r>
    </w:p>
    <w:p>
      <w:pPr>
        <w:rPr>
          <w:noProof/>
        </w:rPr>
      </w:pPr>
    </w:p>
    <w:p>
      <w:pPr>
        <w:pStyle w:val="Applicationdirecte"/>
        <w:rPr>
          <w:noProof/>
        </w:rPr>
      </w:pPr>
      <w:r>
        <w:rPr>
          <w:noProof/>
        </w:rPr>
        <w:t>Tämä asetus on kaikilta osiltaan velvoittava, ja sitä sovelletaan sellaisenaan jäsenvaltioissa perussopimusten mukaisesti.</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Euroopan parlamentin ja neuvoston asetus (EU) 2018/1240, annettu 12 päivänä syyskuuta 2018, Euroopan matkustustieto- ja -lupajärjestelmän (ETIAS) perustamisesta ja asetusten (EU) N:o 1077/2011, (EU) N:o 515/2014, (EU) 2016/399, (EU) 2016/1624 ja (EU) 2017/2226 muuttamisesta (EUVL L 236, 19.9.2018, s. 1).</w:t>
      </w:r>
    </w:p>
  </w:footnote>
  <w:footnote w:id="2">
    <w:p>
      <w:pPr>
        <w:pStyle w:val="FootnoteText"/>
      </w:pPr>
      <w:r>
        <w:rPr>
          <w:rStyle w:val="FootnoteReference0"/>
        </w:rPr>
        <w:footnoteRef/>
      </w:r>
      <w:r>
        <w:tab/>
        <w:t>Euroopan parlamentin ja neuvoston asetus (EU) 2018/1241, annettu 12 päivänä syyskuuta 2018, asetuksen (EU) 2016/794 muuttamisesta Euroopan matkustustieto- ja -lupajärjestelmän (ETIAS) perustamiseksi (EUVL L 236, 19.9.2018, s.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Alaviitteessä (1) mainitun asetuksen (EU) 2018/1240 20 artiklan 2 kohta ja 23 artiklan 1 kohta.</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Asetus (EU) 2017/2226 rajanylitystietojärjestelmän (EES) perustamisesta, EUVL L 327, 9.12.2017, s.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COM(2016) 883 final, COM(2016) 882 final, COM(2016) 881 final.</w:t>
      </w:r>
    </w:p>
  </w:footnote>
  <w:footnote w:id="10">
    <w:p>
      <w:pPr>
        <w:pStyle w:val="FootnoteText"/>
      </w:pPr>
      <w:r>
        <w:rPr>
          <w:rStyle w:val="FootnoteReference0"/>
        </w:rPr>
        <w:footnoteRef/>
      </w:r>
      <w:r>
        <w:tab/>
        <w:t>Euroopan parlamentin ja neuvoston asetus (EU) N:o 603/2013, annettu 26 päivänä kesäkuuta 2013, Eurodac-järjestelmän perustamisesta sormenjälkien vertailua varten kolmannen maan kansalaisen tai kansalaisuudettoman henkilön johonkin jäsenvaltioon jättämän kansainvälistä suojelua koskevan hakemuksen käsittelystä vastuussa olevan jäsenvaltion määrittämisperusteiden ja -menettelyjen vahvistamisesta annetun asetuksen (EU) N:o 604/2013 tehokkaaksi soveltamiseksi sekä jäsenvaltioiden lainvalvontaviranomaisten ja Europolin esittämistä, Eurodac-tietoihin lainvalvontatarkoituksessa tehtäviä vertailuja koskevista pyynnöistä sekä vapauden, turvallisuuden ja oikeuden alueen laaja-alaisten tietojärjestelmien operatiivisesta hallinnoinnista vastaavan eurooppalaisen viraston perustamisesta annetun asetuksen (EU) N:o 1077/2011 muuttamisesta (EUVL L 180, 29.6.2013, s. 1).</w:t>
      </w:r>
    </w:p>
  </w:footnote>
  <w:footnote w:id="11">
    <w:p>
      <w:pPr>
        <w:pStyle w:val="FootnoteText"/>
      </w:pPr>
      <w:r>
        <w:rPr>
          <w:rStyle w:val="FootnoteReference0"/>
        </w:rPr>
        <w:footnoteRef/>
      </w:r>
      <w:r>
        <w:tab/>
        <w:t>ETIAS-asetuksessa (EU) 2018/1240 on edelleen samoja viittauksia Eurodaciin kuin komission ETIAS-ehdotuksessa. Sen 97 artiklassa kuitenkin mainitaan, että Eurodac-järjestelmän tietoihin tutustumista koskevat säännökset tulevat voimaan vasta, kun uudelleenlaadittua Eurodac-asetusta aletaan soveltaa.</w:t>
      </w:r>
    </w:p>
  </w:footnote>
  <w:footnote w:id="12">
    <w:p>
      <w:pPr>
        <w:pStyle w:val="FootnoteText"/>
      </w:pPr>
      <w:r>
        <w:rPr>
          <w:rStyle w:val="FootnoteReference0"/>
        </w:rPr>
        <w:footnoteRef/>
      </w:r>
      <w:r>
        <w:tab/>
        <w:t>Alaviitteessä (1) mainitun asetuksen (EU) 2018/1240 johdanto-osan 58 kappale.</w:t>
      </w:r>
    </w:p>
  </w:footnote>
  <w:footnote w:id="13">
    <w:p>
      <w:pPr>
        <w:pStyle w:val="FootnoteText"/>
      </w:pPr>
      <w:r>
        <w:rPr>
          <w:rStyle w:val="FootnoteReference0"/>
        </w:rPr>
        <w:footnoteRef/>
      </w:r>
      <w:r>
        <w:tab/>
        <w:t>Euroopan parlamentin ja neuvoston asetus (EU) 2018/1862, annettu 28 päivänä marraskuuta 2018, Schengenin tietojärjestelmän (SIS) perustamisesta, toiminnasta ja käytöstä poliisiyhteistyössä ja rikosasioissa tehtävässä oikeudellisessa yhteistyössä, neuvoston päätöksen 2007/533/YOS muuttamisesta ja kumoamisesta sekä Euroopan parlamentin ja neuvoston asetuksen (EY) N:o 1986/2006 ja komission päätöksen 2010/261/EU kumoamisesta.</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COM(2018) 478 final ja COM(2018) 480 final.</w:t>
      </w:r>
    </w:p>
  </w:footnote>
  <w:footnote w:id="16">
    <w:p>
      <w:pPr>
        <w:pStyle w:val="FootnoteText"/>
      </w:pPr>
      <w:r>
        <w:rPr>
          <w:rStyle w:val="FootnoteReference0"/>
        </w:rPr>
        <w:footnoteRef/>
      </w:r>
      <w:r>
        <w:tab/>
        <w:t>Asetus (EU) 2226/2017 rajanylitystietojärjestelmän (EES) perustamisesta, EUVL L 327, 9.12.2017, s. 20.</w:t>
      </w:r>
    </w:p>
  </w:footnote>
  <w:footnote w:id="17">
    <w:p>
      <w:pPr>
        <w:pStyle w:val="FootnoteText"/>
        <w:rPr>
          <w:lang w:val="pt-PT"/>
        </w:rPr>
      </w:pPr>
      <w:r>
        <w:rPr>
          <w:rStyle w:val="FootnoteReference0"/>
        </w:rPr>
        <w:footnoteRef/>
      </w:r>
      <w:r>
        <w:rPr>
          <w:lang w:val="pt-PT"/>
        </w:rPr>
        <w:tab/>
        <w:t>COM(2018) 478 final ja COM(2018) 480 final.</w:t>
      </w:r>
    </w:p>
  </w:footnote>
  <w:footnote w:id="18">
    <w:p>
      <w:pPr>
        <w:pStyle w:val="FootnoteText"/>
      </w:pPr>
      <w:r>
        <w:rPr>
          <w:rStyle w:val="FootnoteReference0"/>
        </w:rPr>
        <w:footnoteRef/>
      </w:r>
      <w:r>
        <w:tab/>
        <w:t>Ks. alaviite (1).</w:t>
      </w:r>
    </w:p>
  </w:footnote>
  <w:footnote w:id="19">
    <w:p>
      <w:pPr>
        <w:pStyle w:val="FootnoteText"/>
      </w:pPr>
      <w:r>
        <w:rPr>
          <w:rStyle w:val="FootnoteReference0"/>
        </w:rPr>
        <w:footnoteRef/>
      </w:r>
      <w:r>
        <w:tab/>
        <w:t>Euroopan parlamentin ja neuvoston direktiivi 2004/38/EY, annettu 29 päivänä huhtikuuta 2004, Euroopan unionin kansalaisten ja heidän perheenjäsentensä oikeudesta liikkua ja oleskella vapaasti jäsenvaltioiden alueella, asetuksen (ETY) N:o 1612/68 muuttamisesta ja direktiivien 64/221/ETY, 68/360/ETY, 72/194/ETY, 73/148/ETY, 75/34/ETY, 75/35/ETY, 90/364/ETY, 90/365/ETY ja 93/96/ETY kumoamisesta (EUVL L 158, 30.4.2004, s. 77).</w:t>
      </w:r>
    </w:p>
  </w:footnote>
  <w:footnote w:id="20">
    <w:p>
      <w:pPr>
        <w:pStyle w:val="FootnoteText"/>
        <w:rPr>
          <w:lang w:val="pt-PT"/>
        </w:rPr>
      </w:pPr>
      <w:r>
        <w:rPr>
          <w:rStyle w:val="FootnoteReference0"/>
        </w:rPr>
        <w:footnoteRef/>
      </w:r>
      <w:r>
        <w:rPr>
          <w:lang w:val="pt-PT"/>
        </w:rPr>
        <w:tab/>
        <w:t>COM(2015) 185 final.</w:t>
      </w:r>
    </w:p>
  </w:footnote>
  <w:footnote w:id="21">
    <w:p>
      <w:pPr>
        <w:pStyle w:val="FootnoteText"/>
        <w:rPr>
          <w:lang w:val="pt-PT"/>
        </w:rPr>
      </w:pPr>
      <w:r>
        <w:rPr>
          <w:rStyle w:val="FootnoteReference0"/>
        </w:rPr>
        <w:footnoteRef/>
      </w:r>
      <w:r>
        <w:rPr>
          <w:lang w:val="pt-PT"/>
        </w:rPr>
        <w:tab/>
        <w:t>COM(2018) 470 final.</w:t>
      </w:r>
    </w:p>
  </w:footnote>
  <w:footnote w:id="22">
    <w:p>
      <w:pPr>
        <w:pStyle w:val="FootnoteText"/>
        <w:rPr>
          <w:lang w:val="pt-PT"/>
        </w:rPr>
      </w:pPr>
      <w:r>
        <w:rPr>
          <w:rStyle w:val="FootnoteReference0"/>
        </w:rPr>
        <w:footnoteRef/>
      </w:r>
      <w:r>
        <w:rPr>
          <w:lang w:val="pt-PT"/>
        </w:rPr>
        <w:tab/>
        <w:t>EUVL L 108, 26.4.2017, s. 31.</w:t>
      </w:r>
    </w:p>
  </w:footnote>
  <w:footnote w:id="23">
    <w:p>
      <w:pPr>
        <w:pStyle w:val="FootnoteText"/>
      </w:pPr>
      <w:r>
        <w:rPr>
          <w:rStyle w:val="FootnoteReference0"/>
        </w:rPr>
        <w:footnoteRef/>
      </w:r>
      <w:r>
        <w:tab/>
        <w:t>EUVL C , , s. .</w:t>
      </w:r>
    </w:p>
  </w:footnote>
  <w:footnote w:id="24">
    <w:p>
      <w:pPr>
        <w:pStyle w:val="FootnoteText"/>
      </w:pPr>
      <w:r>
        <w:rPr>
          <w:rStyle w:val="FootnoteReference0"/>
        </w:rPr>
        <w:footnoteRef/>
      </w:r>
      <w:r>
        <w:tab/>
        <w:t>EUVL C , , s. .</w:t>
      </w:r>
    </w:p>
  </w:footnote>
  <w:footnote w:id="25">
    <w:p>
      <w:pPr>
        <w:pStyle w:val="FootnoteText"/>
      </w:pPr>
      <w:r>
        <w:rPr>
          <w:rStyle w:val="FootnoteReference0"/>
        </w:rPr>
        <w:footnoteRef/>
      </w:r>
      <w:r>
        <w:tab/>
        <w:t>Euroopan parlamentin ja neuvoston asetus (EU) 2018/1240, annettu 12 päivänä syyskuuta 2018, Euroopan matkustustieto- ja -lupajärjestelmän (ETIAS) perustamisesta ja asetusten (EU) N:o 1077/2011, (EU) N:o 515/2014, (EU) 2016/399, (EU) 2016/1624 ja (EU) 2017/2226 muuttamisesta (EUVL L 236, 19.9.2018, s. 1).</w:t>
      </w:r>
    </w:p>
  </w:footnote>
  <w:footnote w:id="26">
    <w:p>
      <w:pPr>
        <w:pStyle w:val="FootnoteText"/>
      </w:pPr>
      <w:r>
        <w:rPr>
          <w:rStyle w:val="FootnoteReference0"/>
        </w:rPr>
        <w:footnoteRef/>
      </w:r>
      <w:r>
        <w:tab/>
        <w:t>Euroopan parlamentin ja neuvoston asetus (EU) 2018/1862, annettu 28 päivänä marraskuuta 2018, Schengenin tietojärjestelmän (SIS) perustamisesta, toiminnasta ja käytöstä poliisiyhteistyössä ja rikosasioissa tehtävässä oikeudellisessa yhteistyössä, neuvoston päätöksen 2007/533/YOS muuttamisesta ja kumoamisesta sekä Euroopan parlamentin ja neuvoston asetuksen (EY) N:o 1986/2006 ja komission päätöksen 2010/261/EU kumoamisesta (EUVL L 312, 7.12.2018, s. 56).</w:t>
      </w:r>
    </w:p>
  </w:footnote>
  <w:footnote w:id="27">
    <w:p>
      <w:pPr>
        <w:pStyle w:val="FootnoteText"/>
      </w:pPr>
      <w:r>
        <w:rPr>
          <w:rStyle w:val="FootnoteReference0"/>
        </w:rPr>
        <w:footnoteRef/>
      </w:r>
      <w:r>
        <w:tab/>
        <w:t>Euroopan parlamentin ja neuvoston asetus (EU) YYYY/xxx, annettu […][…], (EUVL L , , s. ).</w:t>
      </w:r>
    </w:p>
  </w:footnote>
  <w:footnote w:id="28">
    <w:p>
      <w:pPr>
        <w:pStyle w:val="FootnoteText"/>
      </w:pPr>
      <w:r>
        <w:rPr>
          <w:rStyle w:val="FootnoteReference0"/>
        </w:rPr>
        <w:footnoteRef/>
      </w:r>
      <w:r>
        <w:tab/>
        <w:t>Euroopan parlamentin ja neuvoston asetus (EU) N:o 603/2013, annettu 26 päivänä kesäkuuta 2013, Eurodac-järjestelmän perustamisesta sormenjälkien vertailua varten kolmannen maan kansalaisen tai kansalaisuudettoman henkilön johonkin jäsenvaltioon jättämän kansainvälistä suojelua koskevan hakemuksen käsittelystä vastuussa olevan jäsenvaltion määrittämisperusteiden ja -menettelyjen vahvistamisesta annetun asetuksen (EU) N:o 604/2013 tehokkaaksi soveltamiseksi sekä jäsenvaltioiden lainvalvontaviranomaisten ja Europolin esittämistä, Eurodac-tietoihin lainvalvontatarkoituksessa tehtäviä vertailuja koskevista pyynnöistä sekä vapauden, turvallisuuden ja oikeuden alueen laaja-alaisten tietojärjestelmien operatiivisesta hallinnoinnista vastaavan eurooppalaisen viraston perustamisesta annetun asetuksen (EU) N:o 1077/2011 muuttamisesta (EUVL L 180, 29.6.2013, s. 1).</w:t>
      </w:r>
    </w:p>
  </w:footnote>
  <w:footnote w:id="29">
    <w:p>
      <w:pPr>
        <w:pStyle w:val="FootnoteText"/>
        <w:rPr>
          <w:lang w:val="sk-SK"/>
        </w:rPr>
      </w:pPr>
      <w:r>
        <w:rPr>
          <w:rStyle w:val="FootnoteReference0"/>
        </w:rPr>
        <w:footnoteRef/>
      </w:r>
      <w:r>
        <w:tab/>
        <w:t>[Euroopan parlamentin ja neuvoston asetus (EU) yyyy/xx, annettu […][…] (EUVL L , , s. ).</w:t>
      </w:r>
    </w:p>
  </w:footnote>
  <w:footnote w:id="30">
    <w:p>
      <w:pPr>
        <w:pStyle w:val="FootnoteText"/>
      </w:pPr>
      <w:r>
        <w:rPr>
          <w:rStyle w:val="FootnoteReference0"/>
        </w:rPr>
        <w:footnoteRef/>
      </w:r>
      <w:r>
        <w:tab/>
        <w:t>Euroopan parlamentin ja neuvoston asetus (EU) 2018/1726, annettu 14 päivänä marraskuuta 2018, vapauden, turvallisuuden ja oikeuden alueen laaja-alaisten tietojärjestelmien operatiivisesta hallinnoinnista vastaavasta Euroopan unionin virastosta (eu-LISA) sekä asetuksen (EY) N:o 1987/2006 ja neuvoston päätöksen 2007/533/YOS muuttamisesta ja asetuksen (EU) N:o 1077/2011 kumoamisesta (EUVL L 295, 21.11.2018, s. 99).</w:t>
      </w:r>
    </w:p>
  </w:footnote>
  <w:footnote w:id="31">
    <w:p>
      <w:pPr>
        <w:pStyle w:val="FootnoteText"/>
        <w:rPr>
          <w:lang w:val="da-DK"/>
        </w:rPr>
      </w:pPr>
      <w:r>
        <w:rPr>
          <w:rStyle w:val="FootnoteReference0"/>
        </w:rPr>
        <w:footnoteRef/>
      </w:r>
      <w:r>
        <w:rPr>
          <w:lang w:val="da-DK"/>
        </w:rPr>
        <w:tab/>
        <w:t>EUVL L 158, 30.4.2004, s. 77.</w:t>
      </w:r>
    </w:p>
  </w:footnote>
  <w:footnote w:id="32">
    <w:p>
      <w:pPr>
        <w:pStyle w:val="FootnoteText"/>
        <w:rPr>
          <w:lang w:val="da-DK"/>
        </w:rPr>
      </w:pPr>
      <w:r>
        <w:rPr>
          <w:rStyle w:val="FootnoteReference0"/>
        </w:rPr>
        <w:footnoteRef/>
      </w:r>
      <w:r>
        <w:rPr>
          <w:lang w:val="da-DK"/>
        </w:rPr>
        <w:tab/>
        <w:t>EYVL L 131, s. 1.6.2000, s. 43.</w:t>
      </w:r>
    </w:p>
  </w:footnote>
  <w:footnote w:id="33">
    <w:p>
      <w:pPr>
        <w:pStyle w:val="FootnoteText"/>
      </w:pPr>
      <w:r>
        <w:rPr>
          <w:rStyle w:val="FootnoteReference0"/>
        </w:rPr>
        <w:footnoteRef/>
      </w:r>
      <w:r>
        <w:tab/>
        <w:t>EYVL L 64, s. 7.3.2002, s. 20.</w:t>
      </w:r>
    </w:p>
  </w:footnote>
  <w:footnote w:id="34">
    <w:p>
      <w:pPr>
        <w:pStyle w:val="FootnoteText"/>
      </w:pPr>
      <w:r>
        <w:rPr>
          <w:rStyle w:val="FootnoteReference0"/>
        </w:rPr>
        <w:footnoteRef/>
      </w:r>
      <w:r>
        <w:tab/>
        <w:t>Neuvoston päätös 2010/365/EU, annettu 29 päivänä kesäkuuta 2010, Schengenin tietojärjestelmää koskevien Schengenin säännöstön määräysten soveltamisesta Bulgarian tasavallassa ja Romaniassa (EUVL L 166, 1.7.2010, s. 17).</w:t>
      </w:r>
    </w:p>
  </w:footnote>
  <w:footnote w:id="35">
    <w:p>
      <w:pPr>
        <w:pStyle w:val="FootnoteText"/>
      </w:pPr>
      <w:r>
        <w:rPr>
          <w:rStyle w:val="FootnoteReference0"/>
        </w:rPr>
        <w:footnoteRef/>
      </w:r>
      <w:r>
        <w:tab/>
        <w:t>Neuvoston päätös (EU) 2018/934, annettu 25 päivänä kesäkuuta 2018, Schengenin tietojärjestelmää koskevien Schengenin säännöstön jäljellä olevien määräysten voimaansaattamisesta Bulgarian tasavallassa ja Romaniassa (EUVL L 165, 2.7.2018, s. 37).</w:t>
      </w:r>
    </w:p>
  </w:footnote>
  <w:footnote w:id="36">
    <w:p>
      <w:pPr>
        <w:pStyle w:val="FootnoteText"/>
      </w:pPr>
      <w:r>
        <w:rPr>
          <w:rStyle w:val="FootnoteReference0"/>
        </w:rPr>
        <w:footnoteRef/>
      </w:r>
      <w:r>
        <w:tab/>
        <w:t>Neuvoston päätös (EU) 2017/733, annettu 25 päivänä huhtikuuta 2017, Schengenin tietojärjestelmää koskevien Schengenin säännöstön määräysten soveltamisesta Kroatian tasavallassa (EUVL L 108, 26.4.2017, s. 31).</w:t>
      </w:r>
    </w:p>
  </w:footnote>
  <w:footnote w:id="37">
    <w:p>
      <w:pPr>
        <w:pStyle w:val="FootnoteText"/>
      </w:pPr>
      <w:r>
        <w:rPr>
          <w:rStyle w:val="FootnoteReference0"/>
        </w:rPr>
        <w:footnoteRef/>
      </w:r>
      <w:r>
        <w:tab/>
      </w:r>
      <w:hyperlink r:id="rId1">
        <w:r>
          <w:rPr>
            <w:rStyle w:val="Hyperlink"/>
          </w:rPr>
          <w:t>EYVL L 176, 10.7.1999, s. 36</w:t>
        </w:r>
      </w:hyperlink>
      <w:r>
        <w:t>.</w:t>
      </w:r>
    </w:p>
  </w:footnote>
  <w:footnote w:id="38">
    <w:p>
      <w:pPr>
        <w:pStyle w:val="FootnoteText"/>
      </w:pPr>
      <w:r>
        <w:rPr>
          <w:rStyle w:val="FootnoteReference0"/>
        </w:rPr>
        <w:footnoteRef/>
      </w:r>
      <w:r>
        <w:tab/>
        <w:t>Neuvoston päätös 1999/437/EY, tehty 17 päivänä toukokuuta 1999, tietyistä Euroopan unionin neuvoston, Islannin tasavallan ja Norjan kuningaskunnan välillä näiden kahden valtion osallistumisesta Schengenin säännöstön täytäntöönpanoon, soveltamiseen ja kehittämiseen tehdyn sopimuksen yksityiskohtaisista soveltamissäännöistä (EYVL L 176, 10.7.1999, s. 31).</w:t>
      </w:r>
    </w:p>
  </w:footnote>
  <w:footnote w:id="39">
    <w:p>
      <w:pPr>
        <w:pStyle w:val="FootnoteText"/>
      </w:pPr>
      <w:r>
        <w:rPr>
          <w:rStyle w:val="FootnoteReference0"/>
        </w:rPr>
        <w:footnoteRef/>
      </w:r>
      <w:r>
        <w:tab/>
        <w:t>EUVL L 53, 27.2.2008, s. 52.</w:t>
      </w:r>
    </w:p>
  </w:footnote>
  <w:footnote w:id="40">
    <w:p>
      <w:pPr>
        <w:pStyle w:val="FootnoteText"/>
      </w:pPr>
      <w:r>
        <w:rPr>
          <w:rStyle w:val="FootnoteReference0"/>
        </w:rPr>
        <w:footnoteRef/>
      </w:r>
      <w:r>
        <w:tab/>
        <w:t>Neuvoston päätös 2008/146/EY, tehty 28 päivänä tammikuuta 2008, Euroopan unionin, Euroopan yhteisön ja Sveitsin valaliiton välisen, Sveitsin valaliiton osallistumista Schengenin säännöstön täytäntöönpanoon, soveltamiseen ja kehittämiseen koskevan sopimuksen tekemisestä Euroopan yhteisön puolesta (</w:t>
      </w:r>
      <w:hyperlink r:id="rId2">
        <w:r>
          <w:rPr>
            <w:rStyle w:val="Hyperlink"/>
          </w:rPr>
          <w:t>EUVL L 53, 27.2.2008, s. 1</w:t>
        </w:r>
      </w:hyperlink>
      <w:r>
        <w:t>).</w:t>
      </w:r>
    </w:p>
  </w:footnote>
  <w:footnote w:id="41">
    <w:p>
      <w:pPr>
        <w:pStyle w:val="FootnoteText"/>
      </w:pPr>
      <w:r>
        <w:rPr>
          <w:rStyle w:val="FootnoteReference0"/>
        </w:rPr>
        <w:footnoteRef/>
      </w:r>
      <w:r>
        <w:tab/>
      </w:r>
      <w:hyperlink r:id="rId3">
        <w:r>
          <w:rPr>
            <w:rStyle w:val="Hyperlink"/>
          </w:rPr>
          <w:t>EUVL L 160, 18.6.2011, s. 21</w:t>
        </w:r>
      </w:hyperlink>
      <w:r>
        <w:t>.</w:t>
      </w:r>
    </w:p>
  </w:footnote>
  <w:footnote w:id="42">
    <w:p>
      <w:pPr>
        <w:pStyle w:val="FootnoteText"/>
      </w:pPr>
      <w:r>
        <w:rPr>
          <w:rStyle w:val="FootnoteReference0"/>
        </w:rPr>
        <w:footnoteRef/>
      </w:r>
      <w:r>
        <w:tab/>
        <w:t>Neuvoston päätös 2011/350/EU, annettu 7 päivänä maaliskuuta 2011, Liechtensteinin ruhtinaskunnan liittymisestä Euroopan unionin, Euroopan yhteisön ja Sveitsin valaliiton väliseen sopimukseen, joka koskee Sveitsin valaliiton osallistumista Schengenin säännöstön täytäntöönpanoon, soveltamiseen ja kehittämiseen, Euroopan unionin, Euroopan yhteisön, Sveitsin valaliiton ja Liechtensteinin ruhtinaskunnan välillä tehtävän pöytäkirjan tekemisestä Euroopan unionin puolesta, siltä osin kuin kyse on tarkastusten poistamisesta sisärajoilta ja henkilöiden liikkumisesta rajojen yli (EUVL L 160, 18.6.2011, s. 19).</w:t>
      </w:r>
    </w:p>
  </w:footnote>
  <w:footnote w:id="43">
    <w:p>
      <w:pPr>
        <w:pStyle w:val="FootnoteText"/>
        <w:rPr>
          <w:lang w:val="sk-SK"/>
        </w:rPr>
      </w:pPr>
      <w:r>
        <w:rPr>
          <w:rStyle w:val="FootnoteReference0"/>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44">
    <w:p>
      <w:pPr>
        <w:pStyle w:val="FootnoteText"/>
      </w:pPr>
      <w:r>
        <w:rPr>
          <w:rStyle w:val="FootnoteReference0"/>
        </w:rPr>
        <w:footnoteRef/>
      </w:r>
      <w:r>
        <w:tab/>
        <w:t>Näissä muutoksissa otetaan huomioon komission ehdotus COM(2017) 344 final.</w:t>
      </w:r>
    </w:p>
  </w:footnote>
  <w:footnote w:id="45">
    <w:p>
      <w:pPr>
        <w:pStyle w:val="FootnoteText"/>
      </w:pPr>
      <w:r>
        <w:rPr>
          <w:rStyle w:val="FootnoteReference0"/>
        </w:rPr>
        <w:footnoteRef/>
      </w:r>
      <w:r>
        <w:tab/>
        <w:t>Numeroinnissa otetaan huomioon muutokset, jotka tehtiin tähän asetukseen ehdotuksella Euroopan parlamentin ja neuvoston asetukseksi kehyksen luomisesta EU:n tietojärjestelmien (poliisiyhteistyö ja oikeudellinen yhteistyö sekä turvapaikka- ja maahanmuuttokysymykset) yhteentoimivuudelle, COM(2018)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36: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9BB9AE6-DB7D-4266-AE16-3A855E34F477"/>
    <w:docVar w:name="LW_COVERPAGE_TYPE" w:val="1"/>
    <w:docVar w:name="LW_CROSSREFERENCE" w:val="&lt;UNUSED&gt;"/>
    <w:docVar w:name="LW_DocType" w:val="COM"/>
    <w:docVar w:name="LW_EMISSION" w:val="7.1.2019"/>
    <w:docVar w:name="LW_EMISSION_ISODATE" w:val="2019-01-07"/>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muihin EU:n tietojärjestelmiin pääsyn edellytyksistä sekä asetuksen (EU) 2018/1862 ja asetuksen (EU) yyyy/xxx [ECRIS-TCN] muut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UTO/?uri=OJ:L:2011:160:TOC" TargetMode="External"/><Relationship Id="rId2" Type="http://schemas.openxmlformats.org/officeDocument/2006/relationships/hyperlink" Target="https://eur-lex.europa.eu/legal-content/EN/AUTO/?uri=OJ:L:2008:053:TOC" TargetMode="External"/><Relationship Id="rId1" Type="http://schemas.openxmlformats.org/officeDocument/2006/relationships/hyperlink" Target="https://eur-lex.europa.eu/legal-content/EN/AUTO/?uri=OJ:L:1999: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34A75C-7F6F-44F9-9DD3-7923A76A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5055</Words>
  <Characters>42213</Characters>
  <Application>Microsoft Office Word</Application>
  <DocSecurity>0</DocSecurity>
  <Lines>715</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2019-01-14T08:44:00Z</dcterms:created>
  <dcterms:modified xsi:type="dcterms:W3CDTF">2019-01-14T09:36:00Z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