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1531F5-41CB-4358-9977-A7411F7AEED0"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CONTEXTUL PROPUNERII</w:t>
      </w:r>
    </w:p>
    <w:p>
      <w:pPr>
        <w:pStyle w:val="ManualHeading2"/>
        <w:rPr>
          <w:rFonts w:eastAsia="Arial Unicode MS"/>
          <w:noProof/>
        </w:rPr>
      </w:pPr>
      <w:r>
        <w:rPr>
          <w:noProof/>
        </w:rPr>
        <w:t>•</w:t>
      </w:r>
      <w:r>
        <w:rPr>
          <w:noProof/>
        </w:rPr>
        <w:tab/>
        <w:t>Motivele și obiectivele propunerii</w:t>
      </w:r>
    </w:p>
    <w:p>
      <w:pPr>
        <w:rPr>
          <w:noProof/>
          <w:szCs w:val="24"/>
        </w:rPr>
      </w:pPr>
      <w:r>
        <w:rPr>
          <w:noProof/>
        </w:rPr>
        <w:t>În septembrie 2018, Consiliul și Parlamentul European au adoptat două acte legislative: Regulamentul de instituire a Sistemului european de informații și de autorizare privind călătoriile („ETIAS”)</w:t>
      </w:r>
      <w:r>
        <w:rPr>
          <w:rStyle w:val="FootnoteReference0"/>
          <w:noProof/>
        </w:rPr>
        <w:footnoteReference w:id="1"/>
      </w:r>
      <w:r>
        <w:rPr>
          <w:noProof/>
        </w:rPr>
        <w:t xml:space="preserve"> și o modificare a Regulamentului privind Europol în scopul instituirii ETIAS</w:t>
      </w:r>
      <w:r>
        <w:rPr>
          <w:rStyle w:val="FootnoteReference0"/>
          <w:noProof/>
        </w:rPr>
        <w:footnoteReference w:id="2"/>
      </w:r>
      <w:r>
        <w:rPr>
          <w:noProof/>
        </w:rPr>
        <w:t>.</w:t>
      </w:r>
    </w:p>
    <w:p>
      <w:pPr>
        <w:rPr>
          <w:noProof/>
          <w:szCs w:val="24"/>
        </w:rPr>
      </w:pPr>
      <w:r>
        <w:rPr>
          <w:noProof/>
        </w:rPr>
        <w:t>Instituirea ETIAS se înscrie în eforturile întreprinse în ultimii ani la nivelul UE pentru a spori securitatea cetățenilor și pentru a preveni migrația neregulamentară, menținând o Europă deschisă, asigurând gestionarea frontierelor externe și continuând consolidarea acesteia</w:t>
      </w:r>
      <w:r>
        <w:rPr>
          <w:rStyle w:val="FootnoteReference0"/>
          <w:noProof/>
        </w:rPr>
        <w:footnoteReference w:id="3"/>
      </w:r>
      <w:r>
        <w:rPr>
          <w:noProof/>
          <w:vertAlign w:val="superscript"/>
        </w:rPr>
        <w:t>,</w:t>
      </w:r>
      <w:r>
        <w:rPr>
          <w:rStyle w:val="FootnoteReference0"/>
          <w:noProof/>
        </w:rPr>
        <w:footnoteReference w:id="4"/>
      </w:r>
      <w:r>
        <w:rPr>
          <w:noProof/>
        </w:rPr>
        <w:t>. Contextul și instituirea sistemului au fost anunțate în discursul privind starea Uniunii din 2016, în care președintele Juncker a declarat: „</w:t>
      </w:r>
      <w:r>
        <w:rPr>
          <w:i/>
          <w:noProof/>
        </w:rPr>
        <w:t>[…] Ne vom apăra frontierele supunând la controale stricte […] persoanele care le traversează. Ori de câte ori o persoană va intra în UE sau va părăsi teritoriul acesteia, se vor înregistra data, locul și motivul trecerii frontierei și al deplasării. Până în noiembrie [2016] vom propune un Sistem european de informații privind călătoriile – un sistem automatizat care va stabili cine va primi permisiunea de a călători în Europa. În acest mod, vom ști cine se deplasează către Europa chiar înainte de sosirea persoanei respective pe continentul nostru.</w:t>
      </w:r>
      <w:r>
        <w:rPr>
          <w:noProof/>
        </w:rPr>
        <w:t>”</w:t>
      </w:r>
    </w:p>
    <w:p>
      <w:pPr>
        <w:rPr>
          <w:noProof/>
          <w:szCs w:val="24"/>
        </w:rPr>
      </w:pPr>
      <w:r>
        <w:rPr>
          <w:noProof/>
        </w:rPr>
        <w:t>ETIAS va acoperi deficitul de informații privind călătorii exonerați de obligația de a deține viză la trecerea frontierelor externe. Acest sistem va stabili eligibilitatea resortisanților țărilor terțe exonerați de obligația de a deține viză înainte ca aceștia să se deplaseze în spațiul Schengen, precum și dacă o astfel de deplasare prezintă un risc în materie de securitate, un risc în materie de imigrație neregulamentară sau un risc epidemic ridicat. De asemenea, ETIAS le va oferi călătorilor asigurarea că vor putea trece frontierele fără probleme. Dacă este necesar, unitățile naționale ale ETIAS ar putea refuza acordarea autorizației de călătorie ETIAS.</w:t>
      </w:r>
    </w:p>
    <w:p>
      <w:pPr>
        <w:rPr>
          <w:noProof/>
          <w:szCs w:val="24"/>
        </w:rPr>
      </w:pPr>
      <w:r>
        <w:rPr>
          <w:noProof/>
        </w:rPr>
        <w:t>Evaluarea acestor riscuri va presupune prelucrarea automată a datelor cu caracter personal furnizate în cererile de autorizații de călătorie. Regulamentul privind ETIAS prevede că datele cu caracter personal din cereri vor fi comparate cu datele existente în fișe, dosare sau alerte înregistrate în sistemele de informații sau în bazele de date ale UE [Sistemul central al ETIAS, Sistemul de informații Schengen (SIS), Sistemul de informații privind vizele (VIS), Sistemul de intrare/ieșire (EES) sau Eurodac], cu datele Europol sau cu bazele de date ale Interpol [baza de date Interpol privind documentele de călătorie furate și pierdute (SLTD) sau baza de date Interpol privind documentele de călătorie asociate unor notificări (TDAWN)]</w:t>
      </w:r>
      <w:r>
        <w:rPr>
          <w:rStyle w:val="FootnoteReference0"/>
          <w:noProof/>
        </w:rPr>
        <w:footnoteReference w:id="5"/>
      </w:r>
      <w:r>
        <w:rPr>
          <w:noProof/>
        </w:rPr>
        <w:t>.</w:t>
      </w:r>
    </w:p>
    <w:p>
      <w:pPr>
        <w:rPr>
          <w:rStyle w:val="Added"/>
          <w:b w:val="0"/>
          <w:noProof/>
        </w:rPr>
      </w:pPr>
      <w:r>
        <w:rPr>
          <w:noProof/>
        </w:rPr>
        <w:t xml:space="preserve">Deși, la articolul 20, regulamentul definește grupul de date din dosarele de cerere ale ETIAS care poate fi utilizat pentru consultarea celorlalte sisteme, aceste date nu sunt colectate sau înregistrate în același mod în celelalte sisteme de informații ale UE și în datele Europol. De </w:t>
      </w:r>
      <w:r>
        <w:rPr>
          <w:noProof/>
        </w:rPr>
        <w:lastRenderedPageBreak/>
        <w:t>exemplu, într-unul dintre sisteme sunt colectate datele privind „țara emitentă a documentului de călătorie”, în timp ce, într-un alt sistem, aceleași date sunt înregistrate într-un mod diferit, de exemplu sub forma unui „cod din trei litere al țării emitente a documentului de călătorie”. În alte cazuri, o categorie de date este colectată într-unul dintre sisteme, dar nu și în celelalte. De exemplu, datele privind „prenumele părinților solicitanților” sunt colectate de ETIAS, dar nu și de cea mai mare parte a celorlalte sisteme în care ETIAS trebuie să efectueze interogări.</w:t>
      </w:r>
    </w:p>
    <w:p>
      <w:pPr>
        <w:rPr>
          <w:noProof/>
          <w:szCs w:val="24"/>
        </w:rPr>
      </w:pPr>
      <w:r>
        <w:rPr>
          <w:noProof/>
        </w:rPr>
        <w:t>De asemenea, atunci când a fost adoptată propunerea de regulament privind ETIAS</w:t>
      </w:r>
      <w:r>
        <w:rPr>
          <w:rStyle w:val="FootnoteReference0"/>
          <w:noProof/>
        </w:rPr>
        <w:footnoteReference w:id="6"/>
      </w:r>
      <w:r>
        <w:rPr>
          <w:noProof/>
        </w:rPr>
        <w:t>, situația în ceea ce privește diferitele sisteme de informații ale UE în care ETIAS trebuie să efectueze interogări era diferită de cea din prezent. La momentul adoptării propunerii de regulament privind ETIAS s-a propus, de asemenea, instituirea altor două noi sisteme informatice ale UE: erau în curs discuții referitoare la Regulamentul privind EES</w:t>
      </w:r>
      <w:r>
        <w:rPr>
          <w:rStyle w:val="FootnoteReference0"/>
          <w:noProof/>
        </w:rPr>
        <w:footnoteReference w:id="7"/>
      </w:r>
      <w:r>
        <w:rPr>
          <w:noProof/>
        </w:rPr>
        <w:t>, iar propunerea Comisiei privind Sistemul european de informații cu privire la cazierele judiciare ale resortisanților țărilor terțe („ECRIS-TCN”)</w:t>
      </w:r>
      <w:r>
        <w:rPr>
          <w:rStyle w:val="FootnoteReference0"/>
          <w:noProof/>
        </w:rPr>
        <w:footnoteReference w:id="8"/>
      </w:r>
      <w:r>
        <w:rPr>
          <w:noProof/>
        </w:rPr>
        <w:t xml:space="preserve"> urma să fie prezentată în scurt timp. În ceea ce privește sistemele de informații existente, textele juridice ale SIS au evoluat în perioada respectivă, în urma propunerilor de revizuire a cadrului juridic al SIS prezentate în decembrie 2016, care au fost adoptate în cele din urmă de colegiuitori în noiembrie 2018</w:t>
      </w:r>
      <w:r>
        <w:rPr>
          <w:rStyle w:val="FootnoteReference0"/>
          <w:noProof/>
        </w:rPr>
        <w:footnoteReference w:id="9"/>
      </w:r>
      <w:r>
        <w:rPr>
          <w:noProof/>
        </w:rPr>
        <w:t>. Comisia a propus, de asemenea, reformarea Regulamentului privind Eurodac</w:t>
      </w:r>
      <w:r>
        <w:rPr>
          <w:rStyle w:val="FootnoteReference0"/>
          <w:noProof/>
        </w:rPr>
        <w:footnoteReference w:id="10"/>
      </w:r>
      <w:r>
        <w:rPr>
          <w:noProof/>
        </w:rPr>
        <w:t xml:space="preserve"> în cadrul reformei sistemului european comun de azil, dar propunerea în cauză nu a fost încă adoptată de colegiuitori</w:t>
      </w:r>
      <w:r>
        <w:rPr>
          <w:rStyle w:val="FootnoteReference0"/>
          <w:noProof/>
        </w:rPr>
        <w:footnoteReference w:id="11"/>
      </w:r>
      <w:r>
        <w:rPr>
          <w:noProof/>
        </w:rPr>
        <w:t>. Regulamentul reformat privind Eurodac nu a fost încă adoptat de către colegiuitori.</w:t>
      </w:r>
    </w:p>
    <w:p>
      <w:pPr>
        <w:rPr>
          <w:noProof/>
          <w:szCs w:val="24"/>
        </w:rPr>
      </w:pPr>
      <w:r>
        <w:rPr>
          <w:noProof/>
        </w:rPr>
        <w:t>Pe baza acestor considerații, Regulamentul privind ETIAS prevede, la articolul 11 alineatul (2), că: „Modificările actelor juridice de instituire a sistemelor de informații ale UE care sunt necesare pentru stabilirea interoperabilității lor cu ETIAS, precum și adăugarea dispozițiilor corespunzătoare la prezentul regulament fac obiectul unui instrument juridic separat.”</w:t>
      </w:r>
    </w:p>
    <w:p>
      <w:pPr>
        <w:rPr>
          <w:b/>
          <w:noProof/>
          <w:szCs w:val="24"/>
        </w:rPr>
      </w:pPr>
      <w:r>
        <w:rPr>
          <w:rStyle w:val="Added"/>
          <w:b w:val="0"/>
          <w:noProof/>
          <w:u w:val="none"/>
        </w:rPr>
        <w:t>Prin urmare, prezenta propunere are drept scop stabilirea modificărilor tehnice necesare pentru instituirea completă a sistemului ETIAS prin modificarea actelor juridice ce reglementează sistemele informatice ale UE în care ETIAS efectuează interogări. Prezenta propunere stabilește, de asemenea, dispozițiile corespunzătoare și modifică Regulamentul privind ETIAS în consecință.</w:t>
      </w:r>
    </w:p>
    <w:p>
      <w:pPr>
        <w:rPr>
          <w:noProof/>
          <w:szCs w:val="24"/>
        </w:rPr>
      </w:pPr>
      <w:r>
        <w:rPr>
          <w:noProof/>
        </w:rPr>
        <w:t xml:space="preserve">În primul rând, prezenta inițiativă stabilește o serie de modificări ce urmează a fi aduse Regulamentului privind ECRIS-TCN, asupra căruia colegiuitorii au ajuns recent la un „acord de principiu”. Astfel, potrivit intenției exprimate de colegiuitori în Regulamentul privind </w:t>
      </w:r>
      <w:r>
        <w:rPr>
          <w:noProof/>
        </w:rPr>
        <w:lastRenderedPageBreak/>
        <w:t>ETIAS</w:t>
      </w:r>
      <w:r>
        <w:rPr>
          <w:rStyle w:val="FootnoteReference0"/>
          <w:noProof/>
        </w:rPr>
        <w:footnoteReference w:id="12"/>
      </w:r>
      <w:r>
        <w:rPr>
          <w:noProof/>
        </w:rPr>
        <w:t>, în prezent este posibil să se includă în ETIAS dispozițiile necesare privind relația dintre ETIAS și ECRIS-TCN și să se modifice ECRIS-TCN în consecință.</w:t>
      </w:r>
    </w:p>
    <w:p>
      <w:pPr>
        <w:rPr>
          <w:noProof/>
          <w:szCs w:val="24"/>
        </w:rPr>
      </w:pPr>
      <w:r>
        <w:rPr>
          <w:noProof/>
        </w:rPr>
        <w:t>În al doilea rând, prezenta inițiativă urmărește, de asemenea, să stabilească relațiile dintre ETIAS și SIS. Cadrul juridic revizuit al SIS a fost adoptat în noiembrie 2018. Prezenta propunere include modificările care rezultă din adoptarea noilor regulamente privind SIS. În conformitate cu noul cadru juridic al SIS, se propune includerea noii categorii a semnalărilor referitoare la controale prin interviu</w:t>
      </w:r>
      <w:r>
        <w:rPr>
          <w:rStyle w:val="FootnoteReference0"/>
          <w:noProof/>
        </w:rPr>
        <w:footnoteReference w:id="13"/>
      </w:r>
      <w:r>
        <w:rPr>
          <w:noProof/>
        </w:rPr>
        <w:t xml:space="preserve"> printre datele analizate în vederea evaluării cererilor. Nu se propune includerea categoriei semnalărilor privind deciziile de returnare, întrucât semnalările de acest tip sunt șterse odată cu punerea în aplicare a deciziilor respective. Aceasta înseamnă, prin definiție, că pentru persoanele care solicită o autorizație ETIAS după ce au părăsit teritoriul UE nu se va ține, în SIS, o evidență a returnării. În al treilea rând, prezenta inițiativă urmărește să modifice Regulamentul privind EES pentru a stabili, din punct de vedere tehnic, relația dintre acest sistem și ETIAS.</w:t>
      </w:r>
    </w:p>
    <w:p>
      <w:pPr>
        <w:rPr>
          <w:noProof/>
          <w:szCs w:val="24"/>
        </w:rPr>
      </w:pPr>
      <w:r>
        <w:rPr>
          <w:noProof/>
        </w:rPr>
        <w:t>În al patrulea rând, inițiativa vizează, de asemenea, modificarea Regulamentului VIS pentru a permite VIS să primească și să prelucreze interogările efectuate de ETIAS, precum și să răspundă la acestea. Deși, în mai 2018, Comisia a prezentat o propunere de modificare a Regulamentului VIS în scopul îmbunătățirii acestei baze de date, prezenta inițiativă propune modificări ale Regulamentului VIS aflat în vigoare, întrucât negocierile privind propunerea referitoare la VIS îmbunătățit nu au avansat suficient. Cu toate acestea, în cazul în care va fi adoptată mai întâi propunerea de modificare a Regulamentului VIS, ar putea deveni necesar să se aducă modificări de ordin tehnic prezentei propuneri pentru a o alinia la versiunea modificată a Regulamentului VIS. În cazul în care va fi adoptată mai întâi prezenta propunere, ar putea fi necesar să se introducă unele modificări de ordin tehnic în propunerea de modificare a Regulamentului VIS înainte de adoptarea acesteia.</w:t>
      </w:r>
    </w:p>
    <w:p>
      <w:pPr>
        <w:rPr>
          <w:noProof/>
          <w:szCs w:val="24"/>
        </w:rPr>
      </w:pPr>
      <w:r>
        <w:rPr>
          <w:noProof/>
        </w:rPr>
        <w:t>În plus, fiind adoptate atât Regulamentul privind EES, cât și Regulamentul privind ETIAS, în prezent se impune alinierea modului în care cooperează EES și ETIAS la modul în care EES și VIS sunt integrate în scopul procesului de control la frontiere și al înregistrării trecerilor frontierelor în EES. Activitatea polițiștilor de frontieră va fi astfel raționalizată și simplificată prin introducerea unui proces mai uniform de control la frontiere pentru toți resortisanții țărilor terțe care intră pe teritoriul UE pentru șederi pe termen scurt.</w:t>
      </w:r>
    </w:p>
    <w:p>
      <w:pPr>
        <w:rPr>
          <w:noProof/>
          <w:szCs w:val="24"/>
        </w:rPr>
      </w:pPr>
      <w:r>
        <w:rPr>
          <w:noProof/>
        </w:rPr>
        <w:t>Cu toate acestea, prezenta propunere nu include modificările legate de Eurodac, baza de date a UE în materie de azil și migrație neregulamentară, dat fiind faptul că discuțiile privind propunerea legislativă din mai 2016 de consolidare a Eurodac</w:t>
      </w:r>
      <w:r>
        <w:rPr>
          <w:rStyle w:val="FootnoteReference0"/>
          <w:noProof/>
        </w:rPr>
        <w:footnoteReference w:id="14"/>
      </w:r>
      <w:r>
        <w:rPr>
          <w:noProof/>
        </w:rPr>
        <w:t xml:space="preserve"> nu s-au încheiat încă. În plus, actualele date disponibile în Eurodac nu sunt suficiente pentru scopurile urmărite de ETIAS, deoarece sistemul Eurodac existent nu stochează decât datele biometrice și un număr de referință, nu și alte date cu caracter personal (precum numele, vârsta, data nașterii) care ar permite să se contribuie la îndeplinirea obiectivelor ETIAS. Propunerea legislativă de reformare a Regulamentului privind Eurodac din mai 2016 vizează extinderea sferei bazei de date, astfel încât să se permită și identificarea resortisanților țărilor terțe aflați în situație de ședere ilegală și a persoanelor care au intrat în UE în mod neregulamentar. În special, aceasta prevede stocarea datelor cu caracter personal, cum ar fi numele, vârsta, data nașterii, cetățenia </w:t>
      </w:r>
      <w:r>
        <w:rPr>
          <w:noProof/>
        </w:rPr>
        <w:lastRenderedPageBreak/>
        <w:t>și documentele de identitate. Aceste date de identitate sunt esențiale pentru a se oferi asigurarea că Eurodac va putea contribui la realizarea obiectivelor ETIAS.</w:t>
      </w:r>
    </w:p>
    <w:p>
      <w:pPr>
        <w:rPr>
          <w:noProof/>
        </w:rPr>
      </w:pPr>
      <w:r>
        <w:rPr>
          <w:noProof/>
        </w:rPr>
        <w:t>Odată ce colegiuitorii ajung la un acord politic referitor la Regulamentul privind Eurodac reformat, acest regulament va trebui să fie completat cu modificările necesare pentru a conecta Eurodac la ETIAS. În plus, după ce colegiuitorii vor adopta propunerile legislative ale Comisiei</w:t>
      </w:r>
      <w:r>
        <w:rPr>
          <w:rStyle w:val="FootnoteReference0"/>
          <w:noProof/>
        </w:rPr>
        <w:footnoteReference w:id="15"/>
      </w:r>
      <w:r>
        <w:rPr>
          <w:noProof/>
        </w:rPr>
        <w:t xml:space="preserve"> privind interoperabilitatea sistemelor de informații pentru gestionarea securității, a frontierelor și a migrației și se va ajunge la un acord politic referitor la propunerea de reformare a Regulamentului privind Eurodac, Comisia va aplica aceeași abordare în ceea ce privește modificările necesare pentru ca Eurodac să se încadreze în interoperabilitatea sistemelor de informații .</w:t>
      </w:r>
    </w:p>
    <w:p>
      <w:pPr>
        <w:autoSpaceDE w:val="0"/>
        <w:autoSpaceDN w:val="0"/>
        <w:adjustRightInd w:val="0"/>
        <w:spacing w:after="0"/>
        <w:rPr>
          <w:noProof/>
          <w:szCs w:val="24"/>
        </w:rPr>
      </w:pPr>
      <w:r>
        <w:rPr>
          <w:noProof/>
        </w:rPr>
        <w:t>În ultimul rând, în conformitate cu Comunicarea din aprilie 2016 intitulată „Sisteme de informații mai puternice și mai inteligente în materie de frontiere și securitate”, dezvoltarea ETIAS trebuie să se bazeze pe reutilizarea componentelor de hardware și software elaborate pentru EES</w:t>
      </w:r>
      <w:r>
        <w:rPr>
          <w:rStyle w:val="FootnoteReference0"/>
          <w:noProof/>
        </w:rPr>
        <w:footnoteReference w:id="16"/>
      </w:r>
      <w:r>
        <w:rPr>
          <w:noProof/>
        </w:rPr>
        <w:t>. Aceasta este și abordarea urmată de propunerile legislative privind interoperabilitatea sistemelor de informații</w:t>
      </w:r>
      <w:r>
        <w:rPr>
          <w:rStyle w:val="FootnoteReference0"/>
          <w:noProof/>
        </w:rPr>
        <w:footnoteReference w:id="17"/>
      </w:r>
      <w:r>
        <w:rPr>
          <w:noProof/>
        </w:rPr>
        <w:t>. Dezvoltarea tehnică a registrului comun de date de identitate și a portalului european de căutare, astfel cum este prevăzută de propunerile legislative privind interoperabilitatea sistemelor de informații, ar urma să se bazeze pe componentele EES/ETIAS.</w:t>
      </w:r>
    </w:p>
    <w:p>
      <w:pPr>
        <w:autoSpaceDE w:val="0"/>
        <w:autoSpaceDN w:val="0"/>
        <w:adjustRightInd w:val="0"/>
        <w:spacing w:after="0"/>
        <w:rPr>
          <w:noProof/>
        </w:rPr>
      </w:pPr>
      <w:r>
        <w:rPr>
          <w:noProof/>
        </w:rPr>
        <w:t>Astfel, propunerea de față prezintă modificări care trebuie să fie aduse Regulamentului privind ETIAS pentru a preciza că sistemul central al ETIAS ar urma să se bazeze pe componentele de hardware și software ale sistemului central al EES pentru a crea un registru partajat de date de identitate pentru stocarea datelor alfanumerice de identitate atât ale solicitanților din cadrul sistemului ETIAS, cât și ale resortisanților țărilor terțe înregistrați în EES. Implementarea registrului comun de date de identitate ar urma să se bazeze pe registrul partajat de date de identitate, de îndată ce colegiuitorii vor adopta propunerile legislative privind interoperabilitatea sistemelor de informații. În plus, în decursul unei perioade de tranziție prealabile punerii la dispoziție a portalului european de căutare, prelucrarea automată a cererilor ETIAS ar urma să se bazeze pe un instrument utilizat pentru dezvoltarea și implementarea portalului european de căutare.</w:t>
      </w:r>
    </w:p>
    <w:p>
      <w:pPr>
        <w:autoSpaceDE w:val="0"/>
        <w:autoSpaceDN w:val="0"/>
        <w:adjustRightInd w:val="0"/>
        <w:spacing w:after="0"/>
        <w:rPr>
          <w:noProof/>
        </w:rPr>
      </w:pPr>
      <w:r>
        <w:rPr>
          <w:noProof/>
        </w:rPr>
        <w:t>Dată fiind geometria variabilă în ceea ce privește participarea statelor membre la politicile UE din spațiul de libertate, securitate și justiție, este necesar să se adopte două instrumente juridice separate care vor conlucra însă în mod sinergic pentru a permite funcționarea și utilizarea integrală a sistemului.</w:t>
      </w:r>
    </w:p>
    <w:p>
      <w:pPr>
        <w:pStyle w:val="ManualHeading2"/>
        <w:rPr>
          <w:rFonts w:eastAsia="Arial Unicode MS"/>
          <w:noProof/>
          <w:u w:color="000000"/>
          <w:bdr w:val="nil"/>
        </w:rPr>
      </w:pPr>
      <w:r>
        <w:rPr>
          <w:noProof/>
        </w:rPr>
        <w:t>•</w:t>
      </w:r>
      <w:r>
        <w:rPr>
          <w:noProof/>
        </w:rPr>
        <w:tab/>
        <w:t>Dispoziții în vigoare în domeniul propunerii</w:t>
      </w:r>
    </w:p>
    <w:p>
      <w:pPr>
        <w:pBdr>
          <w:top w:val="nil"/>
          <w:left w:val="nil"/>
          <w:bottom w:val="nil"/>
          <w:right w:val="nil"/>
          <w:between w:val="nil"/>
          <w:bar w:val="nil"/>
        </w:pBdr>
        <w:spacing w:before="0" w:after="240"/>
        <w:rPr>
          <w:rFonts w:eastAsia="Arial Unicode MS"/>
          <w:noProof/>
        </w:rPr>
      </w:pPr>
      <w:r>
        <w:rPr>
          <w:noProof/>
        </w:rPr>
        <w:t>ETIAS a fost instituit prin Regulamentul (UE) 2018/1240</w:t>
      </w:r>
      <w:r>
        <w:rPr>
          <w:rStyle w:val="FootnoteReference0"/>
          <w:noProof/>
        </w:rPr>
        <w:footnoteReference w:id="18"/>
      </w:r>
      <w:r>
        <w:rPr>
          <w:noProof/>
        </w:rPr>
        <w:t>. Regulamentul precizează obiectivele ETIAS, definește arhitectura sa tehnică și organizațională, stabilește norme privind operarea și utilizarea datelor care trebuie introduse în sistem de către solicitant și norme privind eliberarea sau refuzarea autorizațiilor de călătorie, stabilește scopurile în care urmează a fi prelucrate datele, identifică autoritățile autorizate să aibă acces la date și asigură protecția datelor cu caracter personal.</w:t>
      </w:r>
    </w:p>
    <w:p>
      <w:pPr>
        <w:pBdr>
          <w:top w:val="nil"/>
          <w:left w:val="nil"/>
          <w:bottom w:val="nil"/>
          <w:right w:val="nil"/>
          <w:between w:val="nil"/>
          <w:bar w:val="nil"/>
        </w:pBdr>
        <w:spacing w:before="0" w:after="240"/>
        <w:rPr>
          <w:rFonts w:eastAsia="Arial Unicode MS"/>
          <w:noProof/>
        </w:rPr>
      </w:pPr>
      <w:r>
        <w:rPr>
          <w:noProof/>
        </w:rPr>
        <w:t xml:space="preserve">În conformitate cu Regulamentul privind ETIAS, prezenta propunere aduce actelor juridice de instituire a sistemelor de informații ale UE modificări necesare pentru stabilirea relației lor cu </w:t>
      </w:r>
      <w:r>
        <w:rPr>
          <w:noProof/>
        </w:rPr>
        <w:lastRenderedPageBreak/>
        <w:t>ETIAS. De asemenea, propunerea adaugă dispozițiile corespunzătoare chiar în Regulamentul privind ETIAS.</w:t>
      </w:r>
    </w:p>
    <w:p>
      <w:pPr>
        <w:pBdr>
          <w:top w:val="nil"/>
          <w:left w:val="nil"/>
          <w:bottom w:val="nil"/>
          <w:right w:val="nil"/>
          <w:between w:val="nil"/>
          <w:bar w:val="nil"/>
        </w:pBdr>
        <w:spacing w:before="0" w:after="240"/>
        <w:rPr>
          <w:rFonts w:eastAsia="Arial Unicode MS"/>
          <w:noProof/>
        </w:rPr>
      </w:pPr>
      <w:r>
        <w:rPr>
          <w:noProof/>
        </w:rPr>
        <w:t>Prezenta propunere nu aduce atingere Directivei 2004/38/CE</w:t>
      </w:r>
      <w:r>
        <w:rPr>
          <w:rStyle w:val="FootnoteReference0"/>
          <w:noProof/>
        </w:rPr>
        <w:footnoteReference w:id="19"/>
      </w:r>
      <w:r>
        <w:rPr>
          <w:noProof/>
        </w:rPr>
        <w:t xml:space="preserve"> și nu o modifică în niciun fel.</w:t>
      </w:r>
    </w:p>
    <w:p>
      <w:pPr>
        <w:pStyle w:val="ManualHeading2"/>
        <w:rPr>
          <w:rFonts w:eastAsia="Arial Unicode MS"/>
          <w:noProof/>
        </w:rPr>
      </w:pPr>
      <w:r>
        <w:rPr>
          <w:noProof/>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Prezenta propunere este coerentă cu Agenda europeană privind migrația și cu comunicările ulterioare, inclusiv Comunicarea din 14 septembrie 2016 intitulată „Creșterea nivelului de securitate într-o lume a mobilității: îmbunătățirea schimbului de informații în cadrul combaterii terorismului și consolidarea frontierelor externe”, precum și cu Agenda europeană privind securitatea</w:t>
      </w:r>
      <w:r>
        <w:rPr>
          <w:rStyle w:val="FootnoteReference0"/>
          <w:noProof/>
        </w:rPr>
        <w:footnoteReference w:id="20"/>
      </w:r>
      <w:r>
        <w:rPr>
          <w:noProof/>
        </w:rPr>
        <w:t>, cu activitatea desfășurată de Comisie în vederea instituirii unei uniuni a securității efective și reale și cu rapoartele privind progresele înregistrate în această direcție</w:t>
      </w:r>
      <w:r>
        <w:rPr>
          <w:rStyle w:val="FootnoteReference0"/>
          <w:noProof/>
        </w:rPr>
        <w:footnoteReference w:id="21"/>
      </w:r>
      <w:r>
        <w:rPr>
          <w:noProof/>
        </w:rPr>
        <w:t>.</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Temeiul juridic al prezentei propuneri îl constituie articolul 77 alineatul (2) literele (a), (b) și (d) din Tratatul privind funcționarea Uniunii Europene (TFUE).</w:t>
      </w:r>
    </w:p>
    <w:p>
      <w:pPr>
        <w:pBdr>
          <w:top w:val="nil"/>
          <w:left w:val="nil"/>
          <w:bottom w:val="nil"/>
          <w:right w:val="nil"/>
          <w:between w:val="nil"/>
          <w:bar w:val="nil"/>
        </w:pBdr>
        <w:spacing w:before="0" w:after="240"/>
        <w:rPr>
          <w:noProof/>
        </w:rPr>
      </w:pPr>
      <w:r>
        <w:rPr>
          <w:noProof/>
        </w:rPr>
        <w:t>În temeiul articolului 77 alineatul (2) literele (a), (b) și (d) din TFUE, Parlamentul European și Consiliul pot adopta măsuri privind politica comună a vizelor și a altor permise de ședere de scurtă durată, controalele la care sunt supuse persoanele la trecerea frontierelor externe și orice măsură necesară pentru instituirea treptată a unui sistem integrat de administrare a frontierelor externe. Aceste dispoziții ale tratatului [sau dispozițiile care le-au precedat, în cazul articolului 77 alineatul (2) litera (a) din TFUE)] au constituit temeiul juridic pentru adoptarea regulamentelor de instituire a Sistemului de informații privind vizele [articolul 62 alineatul (2) litera (b) punctul (ii) din Tratatul de instituire a Comunității Europene, urmat de articolul 77 alineatul (2) litera (a) din TFUE], a Sistemului de intrare/ieșire [articolul 77 alineatul (2) literele (b) și (d) din TFUE], a Sistemului european de informații și de autorizare privind călătoriile [articolul 77 alineatul (2) din TFUE] și a Sistemului de informații Schengen în ceea ce privește frontierele [articolul 77 alineatul (2) literele (b) și (d) din TFUE]. Prezenta propunere are drept obiectiv modificarea acestor regulamente și se bazează pe articolul 77 alineatul (2) literele (a), (b) și (d) din TFUE.</w:t>
      </w:r>
    </w:p>
    <w:p>
      <w:pPr>
        <w:pStyle w:val="ManualHeading2"/>
        <w:rPr>
          <w:rFonts w:eastAsia="Arial Unicode MS"/>
          <w:noProof/>
          <w:u w:color="000000"/>
          <w:bdr w:val="nil"/>
        </w:rPr>
      </w:pPr>
      <w:r>
        <w:rPr>
          <w:noProof/>
        </w:rPr>
        <w:t>•</w:t>
      </w:r>
      <w:r>
        <w:rPr>
          <w:noProof/>
        </w:rPr>
        <w:tab/>
        <w:t xml:space="preserve">Subsidiaritate </w:t>
      </w:r>
    </w:p>
    <w:p>
      <w:pPr>
        <w:pBdr>
          <w:top w:val="nil"/>
          <w:left w:val="nil"/>
          <w:bottom w:val="nil"/>
          <w:right w:val="nil"/>
          <w:between w:val="nil"/>
          <w:bar w:val="nil"/>
        </w:pBdr>
        <w:spacing w:before="0" w:after="240"/>
        <w:rPr>
          <w:noProof/>
          <w:szCs w:val="24"/>
        </w:rPr>
      </w:pPr>
      <w:r>
        <w:rPr>
          <w:noProof/>
        </w:rPr>
        <w:t>Propunerea conține modificări ale regulamentelor de instituire a unor sisteme de informații la nivelul UE pentru gestionarea frontierelor externe și a securității unui spațiu fără controale la frontierele interne. Prin natura lor, astfel de sisteme informatice pot fi instituite numai la nivelul UE, nu de către statele membre acționând la nivel individual.</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Prezenta propunere detaliază mai pe larg principiile deja stabilite de către legiuitor în Regulamentul privind ETIAS.</w:t>
      </w:r>
    </w:p>
    <w:p>
      <w:pPr>
        <w:pBdr>
          <w:top w:val="nil"/>
          <w:left w:val="nil"/>
          <w:bottom w:val="nil"/>
          <w:right w:val="nil"/>
          <w:between w:val="nil"/>
          <w:bar w:val="nil"/>
        </w:pBdr>
        <w:spacing w:before="0" w:after="240"/>
        <w:rPr>
          <w:noProof/>
        </w:rPr>
      </w:pPr>
      <w:r>
        <w:rPr>
          <w:noProof/>
        </w:rPr>
        <w:lastRenderedPageBreak/>
        <w:t>Acest lucru reiese din elementele expuse în cele ce urmează.</w:t>
      </w:r>
    </w:p>
    <w:p>
      <w:pPr>
        <w:pBdr>
          <w:top w:val="nil"/>
          <w:left w:val="nil"/>
          <w:bottom w:val="nil"/>
          <w:right w:val="nil"/>
          <w:between w:val="nil"/>
          <w:bar w:val="nil"/>
        </w:pBdr>
        <w:spacing w:before="0" w:after="240"/>
        <w:rPr>
          <w:rFonts w:eastAsia="Arial Unicode MS"/>
          <w:noProof/>
        </w:rPr>
      </w:pPr>
      <w:r>
        <w:rPr>
          <w:noProof/>
        </w:rPr>
        <w:t>Specificațiile în ceea ce privește schimburile de date între ETIAS și fiecare dintre celelalte sisteme de informații ale UE sunt conforme cu schimburile de date prevăzute la articolele 20 și 23 din Regulamentul privind ETIAS.</w:t>
      </w:r>
    </w:p>
    <w:p>
      <w:pPr>
        <w:pBdr>
          <w:top w:val="nil"/>
          <w:left w:val="nil"/>
          <w:bottom w:val="nil"/>
          <w:right w:val="nil"/>
          <w:between w:val="nil"/>
          <w:bar w:val="nil"/>
        </w:pBdr>
        <w:spacing w:before="0" w:after="240"/>
        <w:rPr>
          <w:rFonts w:eastAsia="Arial Unicode MS"/>
          <w:noProof/>
        </w:rPr>
      </w:pPr>
      <w:r>
        <w:rPr>
          <w:noProof/>
        </w:rPr>
        <w:t>Acordarea, de către unitatea centrală a ETIAS, a drepturilor de acces la datele de identitate din sistemele de informații ale UE (EES, VIS, SIS, ECRIS-TCN) intră în sfera responsabilităților atribuite unității centrale a ETIAS în temeiul articolelor 7, 22 și 75 din Regulamentul privind ETIAS.</w:t>
      </w:r>
    </w:p>
    <w:p>
      <w:pPr>
        <w:pBdr>
          <w:top w:val="nil"/>
          <w:left w:val="nil"/>
          <w:bottom w:val="nil"/>
          <w:right w:val="nil"/>
          <w:between w:val="nil"/>
          <w:bar w:val="nil"/>
        </w:pBdr>
        <w:spacing w:before="0" w:after="240"/>
        <w:rPr>
          <w:rFonts w:eastAsia="Arial Unicode MS"/>
          <w:noProof/>
        </w:rPr>
      </w:pPr>
      <w:r>
        <w:rPr>
          <w:noProof/>
        </w:rPr>
        <w:t>Acordarea drepturilor de acces la celelalte sisteme de informații ale UE în vederea prelucrării manuale a cererilor de către unitățile naționale ale ETIAS intră în sfera responsabilităților atribuite unităților naționale ale ETIAS în temeiul articolului 8 și al capitolului IV din Regulamentul privind ETIAS.</w:t>
      </w:r>
    </w:p>
    <w:p>
      <w:pPr>
        <w:pBdr>
          <w:top w:val="nil"/>
          <w:left w:val="nil"/>
          <w:bottom w:val="nil"/>
          <w:right w:val="nil"/>
          <w:between w:val="nil"/>
          <w:bar w:val="nil"/>
        </w:pBdr>
        <w:spacing w:before="0" w:after="240"/>
        <w:rPr>
          <w:rFonts w:eastAsia="Arial Unicode MS"/>
          <w:noProof/>
        </w:rPr>
      </w:pPr>
      <w:r>
        <w:rPr>
          <w:noProof/>
        </w:rPr>
        <w:t>Includerea, în prezenta propunere, a semnalărilor privind un control prin interviu este coerentă cu dispozițiile privind sprijinirea obiectivelor SIS prevăzute la articolul 23 din Regulamentul privind ETIAS.</w:t>
      </w:r>
    </w:p>
    <w:p>
      <w:pPr>
        <w:pBdr>
          <w:top w:val="nil"/>
          <w:left w:val="nil"/>
          <w:bottom w:val="nil"/>
          <w:right w:val="nil"/>
          <w:between w:val="nil"/>
          <w:bar w:val="nil"/>
        </w:pBdr>
        <w:spacing w:before="0" w:after="240"/>
        <w:rPr>
          <w:rFonts w:eastAsia="Arial Unicode MS"/>
          <w:noProof/>
        </w:rPr>
      </w:pPr>
      <w:r>
        <w:rPr>
          <w:noProof/>
        </w:rPr>
        <w:t>Prezenta propunere este proporțională, deoarece nu depășește ceea ce este necesar în ceea ce privește măsurile care trebuie luate la nivelul UE pentru atingerea obiectivelor.</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Se propune adoptarea unui regulament al Parlamentului European și al Consiliului. Legislația propusă vizează funcționarea sistemelor de informații în materie de frontiere și securitate gestionate centralizat la nivelul UE, dintre care unele au fost instituite, iar altele urmează să fie instituite prin regulamente. În consecință, nu se poate alege ca instrument legislativ decât un regulament.</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Propunerea privind ETIAS a fost elaborată pe baza unui studiu de fezabilitate. În cadrul acestui studiu, Comisia a colectat opiniile experților din statele membre privind controlul la frontiere și securitatea. În plus, principalele elemente ale propunerii referitoare la ETIAS au fost discutate în cadrul Grupului de experți la nivel înalt în materie de interoperabilitate, care a fost instituit în urma Comunicării din 6 aprilie 2016 privind frontierele mai puternice și mai inteligente. De asemenea, au avut loc consultări și cu reprezentanți ai operatorilor de transport aerian, maritim și feroviar, precum și cu reprezentanți ai statelor membre ale UE cu frontiere terestre externe. În cadrul studiului de fezabilitate, a fost consultată și Agenția pentru Drepturi Fundamentale.</w:t>
      </w:r>
    </w:p>
    <w:p>
      <w:pPr>
        <w:pBdr>
          <w:top w:val="nil"/>
          <w:left w:val="nil"/>
          <w:bottom w:val="nil"/>
          <w:right w:val="nil"/>
          <w:between w:val="nil"/>
          <w:bar w:val="nil"/>
        </w:pBdr>
        <w:spacing w:before="0" w:after="240"/>
        <w:rPr>
          <w:rFonts w:eastAsia="Arial Unicode MS"/>
          <w:noProof/>
          <w:u w:color="000000"/>
          <w:bdr w:val="nil"/>
        </w:rPr>
      </w:pPr>
      <w:r>
        <w:rPr>
          <w:noProof/>
        </w:rPr>
        <w:t>Prezenta propunere introduce numai modificări tehnice limitate, reflectând dispozițiile care sunt deja stabilite în Regulamentul privind ETIAS. Dat fiind că aceste ajustări tehnice sunt limitate, nu se justifică consultarea separată a părților interesate.</w:t>
      </w:r>
    </w:p>
    <w:p>
      <w:pPr>
        <w:pStyle w:val="ManualHeading2"/>
        <w:rPr>
          <w:noProof/>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 xml:space="preserve">Prezenta propunere nu este susținută de o evaluare a impactului. Prezenta propunere este coerentă cu Regulamentul privind ETIAS, iar propunerea care a stat la baza acestui </w:t>
      </w:r>
      <w:r>
        <w:rPr>
          <w:noProof/>
        </w:rPr>
        <w:lastRenderedPageBreak/>
        <w:t>regulament a valorificat rezultatele studiului de fezabilitate efectuat în perioada iunie-octombrie 2016.</w:t>
      </w:r>
    </w:p>
    <w:p>
      <w:pPr>
        <w:pBdr>
          <w:top w:val="nil"/>
          <w:left w:val="nil"/>
          <w:bottom w:val="nil"/>
          <w:right w:val="nil"/>
          <w:between w:val="nil"/>
          <w:bar w:val="nil"/>
        </w:pBdr>
        <w:spacing w:before="0" w:after="240"/>
        <w:rPr>
          <w:rFonts w:eastAsia="Arial Unicode MS"/>
          <w:noProof/>
        </w:rPr>
      </w:pPr>
      <w:r>
        <w:rPr>
          <w:noProof/>
        </w:rPr>
        <w:t>Întrucât prezenta propunere nu conține noi elemente politice, ci se limitează la a aduce modificări limitate de ordin tehnic, reflectând dispoziții care sunt deja stabilite în Regulamentul privind ETIAS, nu este necesară o evaluare a impactului.</w:t>
      </w:r>
    </w:p>
    <w:p>
      <w:pPr>
        <w:pStyle w:val="ManualHeading2"/>
        <w:rPr>
          <w:rFonts w:eastAsia="Arial Unicode MS"/>
          <w:noProof/>
          <w:u w:color="000000"/>
          <w:bdr w:val="nil"/>
        </w:rPr>
      </w:pP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Comparativ cu Regulamentul privind ETIAS, prezenta propunere se limitează la a preciza mai pe larg care sunt datele care trebuie comparate cu cele din alte sisteme de informații ale UE și prevede modificările necesare în ceea ce privește acordarea drepturilor de acces la aceste alte sisteme unităților centrale și naționale ale ETIAS. Prin urmare, prezenta propunere respectă pe deplin Carta drepturilor fundamentale a Uniunii Europene, în special în ceea ce privește dreptul la protecția datelor cu caracter personal, și este conformă, de asemenea, cu articolul 16 din TFUE, care garantează fiecăruia dreptul la protecția datelor cu caracter personal care îl privesc.</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Propunerea nu are implicații bugetare.</w:t>
      </w:r>
    </w:p>
    <w:p>
      <w:pPr>
        <w:pStyle w:val="ManualHeading2"/>
        <w:rPr>
          <w:noProof/>
        </w:rPr>
      </w:pPr>
      <w:r>
        <w:rPr>
          <w:noProof/>
        </w:rPr>
        <w:t>5.</w:t>
      </w:r>
      <w:r>
        <w:rPr>
          <w:noProof/>
        </w:rPr>
        <w:tab/>
        <w:t>ALTE ELEMENTE</w:t>
      </w:r>
    </w:p>
    <w:p>
      <w:pPr>
        <w:pStyle w:val="ManualHeading2"/>
        <w:rPr>
          <w:noProof/>
        </w:rPr>
      </w:pPr>
      <w:r>
        <w:rPr>
          <w:noProof/>
        </w:rPr>
        <w:t>•</w:t>
      </w:r>
      <w:r>
        <w:rPr>
          <w:noProof/>
        </w:rPr>
        <w:tab/>
        <w:t>Participare</w:t>
      </w:r>
    </w:p>
    <w:p>
      <w:pPr>
        <w:pBdr>
          <w:top w:val="nil"/>
          <w:left w:val="nil"/>
          <w:bottom w:val="nil"/>
          <w:right w:val="nil"/>
          <w:between w:val="nil"/>
          <w:bar w:val="nil"/>
        </w:pBdr>
        <w:spacing w:before="0" w:after="240"/>
        <w:rPr>
          <w:rFonts w:eastAsia="Arial Unicode MS"/>
          <w:noProof/>
        </w:rPr>
      </w:pPr>
      <w:r>
        <w:rPr>
          <w:noProof/>
        </w:rPr>
        <w:t>Prezenta propunere constituie o dezvoltare a acquis-ului Schengen în ceea ce privește trecerea frontierelor externe și vizele.</w:t>
      </w:r>
    </w:p>
    <w:p>
      <w:pPr>
        <w:pBdr>
          <w:top w:val="nil"/>
          <w:left w:val="nil"/>
          <w:bottom w:val="nil"/>
          <w:right w:val="nil"/>
          <w:between w:val="nil"/>
          <w:bar w:val="nil"/>
        </w:pBdr>
        <w:spacing w:before="0" w:after="240"/>
        <w:rPr>
          <w:rFonts w:eastAsia="Arial Unicode MS"/>
          <w:noProof/>
        </w:rPr>
      </w:pPr>
      <w:r>
        <w:rPr>
          <w:noProof/>
        </w:rPr>
        <w:t>Prin urmare, trebuie luate în considerare următoarele consecințe care rezultă din diferitele protocoale și acorduri cu țările asociate:</w:t>
      </w:r>
    </w:p>
    <w:p>
      <w:pPr>
        <w:pBdr>
          <w:top w:val="nil"/>
          <w:left w:val="nil"/>
          <w:bottom w:val="nil"/>
          <w:right w:val="nil"/>
          <w:between w:val="nil"/>
          <w:bar w:val="nil"/>
        </w:pBdr>
        <w:spacing w:before="0" w:after="240"/>
        <w:rPr>
          <w:rFonts w:eastAsia="Arial Unicode MS"/>
          <w:noProof/>
        </w:rPr>
      </w:pPr>
      <w:r>
        <w:rPr>
          <w:noProof/>
        </w:rPr>
        <w:t>Danemarca: în conformitate cu articolele 1 și 2 din Protocolul (nr. 22) privind poziția Danemarcei, anexat la Tratatul privind Uniunea Europeană (TUE) și la Tratatul privind funcționarea Uniunii Europene (TFUE), Danemarca nu participă la adoptarea de către Consiliu a măsurilor propuse în temeiul părții a treia titlul V din TFUE. Întrucât prezentul regulament constituie o dezvoltare a acquis-ului Schengen, Danemarca decide, în conformitate cu articolul 4 din protocolul menționat, în termen de șase luni de la decizia Consiliului cu privire la prezentul regulament, dacă îl va transpune în legislația sa națională.</w:t>
      </w:r>
    </w:p>
    <w:p>
      <w:pPr>
        <w:pBdr>
          <w:top w:val="nil"/>
          <w:left w:val="nil"/>
          <w:bottom w:val="nil"/>
          <w:right w:val="nil"/>
          <w:between w:val="nil"/>
          <w:bar w:val="nil"/>
        </w:pBdr>
        <w:spacing w:before="0" w:after="240"/>
        <w:rPr>
          <w:rFonts w:eastAsia="Arial Unicode MS"/>
          <w:noProof/>
        </w:rPr>
      </w:pPr>
      <w:r>
        <w:rPr>
          <w:noProof/>
        </w:rPr>
        <w:t>Regatul Unit și Irlanda: în conformitate cu articolele 4 și 5 din Protocolul privind integrarea acquis-ului Schengen în cadrul Uniunii Europene, cu Decizia 2002/365/CE a Consiliului din 29 mai 2000 privind solicitarea Regatului Unit al Marii Britanii și Irlandei de Nord de a participa la unele dintre dispozițiile acquis-ului Schengen și cu Decizia 2002/192/CE a Consiliului din 28 februarie 2002 privind solicitarea Irlandei de a participa la unele dintre dispozițiile acquis-ului Schengen, Regatul Unit și Irlanda nu participă la instrumentele juridice care organizează și sprijină eliminarea controalelor la frontierele interne și alte măsuri de însoțire privind controalele la frontierele externe și vizele.</w:t>
      </w:r>
    </w:p>
    <w:p>
      <w:pPr>
        <w:pBdr>
          <w:top w:val="nil"/>
          <w:left w:val="nil"/>
          <w:bottom w:val="nil"/>
          <w:right w:val="nil"/>
          <w:between w:val="nil"/>
          <w:bar w:val="nil"/>
        </w:pBdr>
        <w:spacing w:before="0" w:after="240"/>
        <w:rPr>
          <w:rFonts w:eastAsia="Arial Unicode MS"/>
          <w:noProof/>
        </w:rPr>
      </w:pPr>
      <w:r>
        <w:rPr>
          <w:noProof/>
        </w:rPr>
        <w:t>Prezentul regulament constituie o dezvoltare a acestui acquis și, prin urmare, Regatul Unit și Irlanda nu participă la adoptarea prezentului regulament, nu au obligații în temeiul acestuia și nu fac obiectul aplicării sale.</w:t>
      </w:r>
    </w:p>
    <w:p>
      <w:pPr>
        <w:pBdr>
          <w:top w:val="nil"/>
          <w:left w:val="nil"/>
          <w:bottom w:val="nil"/>
          <w:right w:val="nil"/>
          <w:between w:val="nil"/>
          <w:bar w:val="nil"/>
        </w:pBdr>
        <w:spacing w:before="0" w:after="240"/>
        <w:rPr>
          <w:rFonts w:eastAsia="Arial Unicode MS"/>
          <w:noProof/>
        </w:rPr>
      </w:pPr>
      <w:r>
        <w:rPr>
          <w:noProof/>
        </w:rPr>
        <w:lastRenderedPageBreak/>
        <w:t>Islanda și Norvegia: procedurile prevăzute de Acordul de asociere încheiat de Consiliu și Republica Islanda și Regatul Norvegiei privind asocierea acestora din urmă la implementarea, aplicarea și dezvoltarea acquis-ului Schengen sunt aplicabile, întrucât prezenta propunere completează acquis-ul Schengen, astfel cum este definit în anexa A la acordul respectiv</w:t>
      </w:r>
      <w:r>
        <w:rPr>
          <w:rStyle w:val="FootnoteReference0"/>
          <w:noProof/>
        </w:rPr>
        <w:footnoteReference w:id="22"/>
      </w:r>
      <w:r>
        <w:rPr>
          <w:noProof/>
        </w:rPr>
        <w:t>.</w:t>
      </w:r>
    </w:p>
    <w:p>
      <w:pPr>
        <w:pBdr>
          <w:top w:val="nil"/>
          <w:left w:val="nil"/>
          <w:bottom w:val="nil"/>
          <w:right w:val="nil"/>
          <w:between w:val="nil"/>
          <w:bar w:val="nil"/>
        </w:pBdr>
        <w:spacing w:before="0" w:after="240"/>
        <w:rPr>
          <w:rFonts w:eastAsia="Arial Unicode MS"/>
          <w:noProof/>
        </w:rPr>
      </w:pPr>
      <w:r>
        <w:rPr>
          <w:noProof/>
        </w:rPr>
        <w:t>Elveția: prezentul regulament constituie o dezvoltare a dispozițiilor acquis-ului Schengen, astfel cum se prevede în Acordul dintre Uniunea Europeană, Comunitatea Europeană și Confederația Elvețiană cu privire la asocierea Confederației Elvețiene la punerea în aplicare, respectarea și dezvoltarea acquis-ului Schengen</w:t>
      </w:r>
      <w:r>
        <w:rPr>
          <w:rStyle w:val="FootnoteReference0"/>
          <w:noProof/>
        </w:rPr>
        <w:footnoteReference w:id="23"/>
      </w:r>
      <w:r>
        <w:rPr>
          <w:noProof/>
        </w:rPr>
        <w:t>.</w:t>
      </w:r>
    </w:p>
    <w:p>
      <w:pPr>
        <w:pBdr>
          <w:top w:val="nil"/>
          <w:left w:val="nil"/>
          <w:bottom w:val="nil"/>
          <w:right w:val="nil"/>
          <w:between w:val="nil"/>
          <w:bar w:val="nil"/>
        </w:pBdr>
        <w:spacing w:before="0" w:after="240"/>
        <w:rPr>
          <w:rFonts w:eastAsia="Arial Unicode MS"/>
          <w:noProof/>
        </w:rPr>
      </w:pPr>
      <w:r>
        <w:rPr>
          <w:noProof/>
        </w:rPr>
        <w:t>Liechtenstein: prezentul regulament constituie o dezvoltare a dispozițiilor acquis-ului Schengen, astfel cum se prevede în Protocolul dintre Uniunea Europeană, Comunitatea Europeană, Confederația Elvețiană și Principatul Liechtenstein privind aderarea Principatului Liechtenstein la Acordul dintre Uniunea Europeană, Comunitatea Europeană și Confederația Elvețiană cu privire la asocierea Confederației Elvețiene la punerea în aplicare, respectarea și dezvoltarea acquis-ului Schengen</w:t>
      </w:r>
      <w:r>
        <w:rPr>
          <w:rStyle w:val="FootnoteReference0"/>
          <w:noProof/>
        </w:rPr>
        <w:footnoteReference w:id="24"/>
      </w:r>
      <w:r>
        <w:rPr>
          <w:noProof/>
        </w:rPr>
        <w:t>.</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Croația, Cipru, Bulgaria și România: în măsura în care modifică Regulamentul de instituire a ETIAS, prezenta propunere se întemeiază pe condițiile de intrare descrise la articolul 6 din Regulamentul (UE) 2016/399, care urmau să fie aplicate de statele membre respective la aderarea la Uniunea Europeană. În măsura în care prezenta propunere urmărește să modifice regulamentele de instituire a VIS, SIS și EES, aplicarea integrală de către cele patru state membre în cauză depinde de decizia unanimă a Consiliului privind ridicarea controalelor la frontierele interne cu acestea; între timp, ar trebui să se țină seama deja de Deciziile 2010/365/UE</w:t>
      </w:r>
      <w:r>
        <w:rPr>
          <w:rStyle w:val="FootnoteReference0"/>
          <w:noProof/>
        </w:rPr>
        <w:footnoteReference w:id="25"/>
      </w:r>
      <w:r>
        <w:rPr>
          <w:noProof/>
        </w:rPr>
        <w:t>, (UE) 2017/733</w:t>
      </w:r>
      <w:r>
        <w:rPr>
          <w:rStyle w:val="FootnoteReference0"/>
          <w:noProof/>
        </w:rPr>
        <w:footnoteReference w:id="26"/>
      </w:r>
      <w:r>
        <w:rPr>
          <w:noProof/>
        </w:rPr>
        <w:t>, (UE) 2017/1908</w:t>
      </w:r>
      <w:r>
        <w:rPr>
          <w:rStyle w:val="FootnoteReference0"/>
          <w:noProof/>
        </w:rPr>
        <w:footnoteReference w:id="27"/>
      </w:r>
      <w:r>
        <w:rPr>
          <w:noProof/>
        </w:rPr>
        <w:t xml:space="preserve"> și (UE) 2018/934</w:t>
      </w:r>
      <w:r>
        <w:rPr>
          <w:rStyle w:val="FootnoteReference0"/>
          <w:noProof/>
        </w:rPr>
        <w:footnoteReference w:id="28"/>
      </w:r>
      <w:r>
        <w:rPr>
          <w:noProof/>
        </w:rPr>
        <w:t xml:space="preserve"> ale Consiliului.</w:t>
      </w:r>
      <w:r>
        <w:rPr>
          <w:noProof/>
        </w:rPr>
        <w:tab/>
      </w:r>
    </w:p>
    <w:p>
      <w:pPr>
        <w:pStyle w:val="Rfrenceinterinstitutionnelle"/>
        <w:rPr>
          <w:noProof/>
        </w:rPr>
      </w:pPr>
      <w:r>
        <w:rPr>
          <w:noProof/>
        </w:rPr>
        <w:lastRenderedPageBreak/>
        <w:t>2019/0002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stabilire a condițiilor de acces la celelalte sisteme de informații ale UE în scopuri legate de ETIAS și de modificare a Regulamentului (UE) 2018/1240, a Regulamentului (CE) nr. 767/2008, a Regulamentului (UE) 2017/2226 și a Regulamentului (UE) 2018/1861</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77 alineatul (2) literele (a), (b) și (d),</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Comitetului Economic și Social European</w:t>
      </w:r>
      <w:r>
        <w:rPr>
          <w:rStyle w:val="FootnoteReference0"/>
          <w:noProof/>
        </w:rPr>
        <w:footnoteReference w:id="29"/>
      </w:r>
      <w:r>
        <w:rPr>
          <w:noProof/>
        </w:rPr>
        <w:t xml:space="preserve">, </w:t>
      </w:r>
    </w:p>
    <w:p>
      <w:pPr>
        <w:rPr>
          <w:noProof/>
        </w:rPr>
      </w:pPr>
      <w:r>
        <w:rPr>
          <w:noProof/>
        </w:rPr>
        <w:t>având în vedere avizul Comitetului Regiunilor</w:t>
      </w:r>
      <w:r>
        <w:rPr>
          <w:rStyle w:val="FootnoteReference0"/>
          <w:noProof/>
        </w:rPr>
        <w:footnoteReference w:id="30"/>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bookmarkStart w:id="1" w:name="_Ref531358769"/>
      <w:r>
        <w:t>(1)</w:t>
      </w:r>
      <w:r>
        <w:tab/>
      </w:r>
      <w:r>
        <w:rPr>
          <w:noProof/>
        </w:rPr>
        <w:t>Regulamentul (UE) 2018/1240 al Parlamentului European și al Consiliului</w:t>
      </w:r>
      <w:r>
        <w:rPr>
          <w:rStyle w:val="FootnoteReference0"/>
          <w:noProof/>
        </w:rPr>
        <w:footnoteReference w:id="31"/>
      </w:r>
      <w:r>
        <w:rPr>
          <w:noProof/>
        </w:rPr>
        <w:t xml:space="preserve"> a instituit Sistemul european de informații și de autorizare privind călătoriile („ETIAS”) pentru resortisanții țărilor terțe exonerați de obligația de a deține viză la trecerea frontierelor externe. Acesta a stabilit condițiile și procedurile pentru eliberarea sau refuzarea autorizațiilor de călătorie.</w:t>
      </w:r>
      <w:bookmarkEnd w:id="1"/>
    </w:p>
    <w:p>
      <w:pPr>
        <w:pStyle w:val="ManualConsidrant"/>
        <w:rPr>
          <w:noProof/>
          <w:sz w:val="22"/>
        </w:rPr>
      </w:pPr>
      <w:r>
        <w:t>(2)</w:t>
      </w:r>
      <w:r>
        <w:tab/>
      </w:r>
      <w:r>
        <w:rPr>
          <w:noProof/>
        </w:rPr>
        <w:t>ETIAS permite să se evalueze dacă prezența respectivilor resortisanți ai țărilor terțe pe teritoriul statelor membre ar constitui un risc în materie de securitate, un risc în materie de imigrație ilegală sau un risc epidemic ridicat.</w:t>
      </w:r>
    </w:p>
    <w:p>
      <w:pPr>
        <w:pStyle w:val="ManualConsidrant"/>
        <w:rPr>
          <w:noProof/>
        </w:rPr>
      </w:pPr>
      <w:bookmarkStart w:id="2" w:name="_DV_M31"/>
      <w:bookmarkEnd w:id="2"/>
      <w:r>
        <w:t>(3)</w:t>
      </w:r>
      <w:r>
        <w:tab/>
      </w:r>
      <w:r>
        <w:rPr>
          <w:noProof/>
          <w:spacing w:val="-4"/>
        </w:rPr>
        <w:t>Pentru a permite efectuarea verificării menționate la articolul 20 din Regulamentul (UE)</w:t>
      </w:r>
      <w:r>
        <w:rPr>
          <w:noProof/>
        </w:rPr>
        <w:t xml:space="preserve"> 2018/1240, este necesar să se stabilească interoperabilitatea menționată la articolul 11 din regulamentul respectiv. În lipsa acestei interoperabilități, ETIAS nu poate începe să funcționeze.</w:t>
      </w:r>
    </w:p>
    <w:p>
      <w:pPr>
        <w:pStyle w:val="ManualConsidrant"/>
        <w:rPr>
          <w:noProof/>
        </w:rPr>
      </w:pPr>
      <w:r>
        <w:t>(4)</w:t>
      </w:r>
      <w:r>
        <w:tab/>
      </w:r>
      <w:r>
        <w:rPr>
          <w:noProof/>
        </w:rPr>
        <w:t xml:space="preserve">Prezentul regulament stabilește modul de realizare a acestei interoperabilități și a condițiilor de consultare a datelor stocate în alte sisteme de informații ale UE și a datelor Europol în cadrul prelucrării automate de către ETIAS în scopul identificării rezultatelor pozitive. Prin urmare, este necesar să se modifice Regulamentele (UE) </w:t>
      </w:r>
      <w:r>
        <w:rPr>
          <w:noProof/>
        </w:rPr>
        <w:lastRenderedPageBreak/>
        <w:t>2018/1240, (CE) nr. 767/2008</w:t>
      </w:r>
      <w:r>
        <w:rPr>
          <w:rStyle w:val="FootnoteReference0"/>
          <w:noProof/>
        </w:rPr>
        <w:footnoteReference w:id="32"/>
      </w:r>
      <w:r>
        <w:rPr>
          <w:noProof/>
        </w:rPr>
        <w:t>, (UE) 2017/2226</w:t>
      </w:r>
      <w:r>
        <w:rPr>
          <w:rStyle w:val="FootnoteReference0"/>
          <w:noProof/>
        </w:rPr>
        <w:footnoteReference w:id="33"/>
      </w:r>
      <w:r>
        <w:rPr>
          <w:noProof/>
        </w:rPr>
        <w:t>, (UE) 2018/1861 (SIS în domeniul verificărilor la frontiere)</w:t>
      </w:r>
      <w:r>
        <w:rPr>
          <w:rStyle w:val="FootnoteReference0"/>
          <w:noProof/>
        </w:rPr>
        <w:footnoteReference w:id="34"/>
      </w:r>
      <w:r>
        <w:rPr>
          <w:noProof/>
        </w:rPr>
        <w:t xml:space="preserve"> ale Parlamentului European și ale Consiliului, pentru a conecta sistemul central al ETIAS la celelalte sisteme de informații ale UE și la datele Europol și pentru a preciza datele care vor fi transmise către și de către respectivele sisteme de informații ale UE și datele Europol.</w:t>
      </w:r>
    </w:p>
    <w:p>
      <w:pPr>
        <w:pStyle w:val="ManualConsidrant"/>
        <w:rPr>
          <w:noProof/>
        </w:rPr>
      </w:pPr>
      <w:r>
        <w:t>(5)</w:t>
      </w:r>
      <w:r>
        <w:tab/>
      </w:r>
      <w:r>
        <w:rPr>
          <w:noProof/>
        </w:rPr>
        <w:t>Din motive de eficiență și pentru a reduce costurile, astfel cum se prevede la articolul 6 alineatul (3) din Regulamentul (UE) 2018/1240, ETIAS ar trebui să reutilizeze componentele de hardware și software dezvoltate pentru Sistemul de intrare/ieșire („EES”) în vederea creării registrului partajat de date de identitate. Acest registru, utilizat pentru stocarea datelor alfanumerice de identitate atât ale solicitanților din cadrul sistemului ETIAS, cât și ale resortisanților țărilor terțe înregistrați în EES, ar trebui să fie realizat într-un mod care să permită extinderea și transformarea sa în viitorul registru comun de date de identitate. În același spirit, instrumentul care urmează să fie instituit pentru a permite ETIAS să își compare datele cu cele ale tuturor celorlalte sisteme consultate prin intermediul unei interogări unice ar trebui elaborat într-un mod care să permită transformarea sa în viitorul portal european de căutare.</w:t>
      </w:r>
    </w:p>
    <w:p>
      <w:pPr>
        <w:pStyle w:val="ManualConsidrant"/>
        <w:rPr>
          <w:noProof/>
        </w:rPr>
      </w:pPr>
      <w:r>
        <w:t>(6)</w:t>
      </w:r>
      <w:r>
        <w:tab/>
      </w:r>
      <w:r>
        <w:rPr>
          <w:noProof/>
        </w:rPr>
        <w:t>Ar trebui definite modalități tehnice care să permită ETIAS să verifice în mod regulat și automat în alte sisteme dacă sunt îndeplinite în continuare condițiile pentru păstrarea dosarelor de cerere prevăzute în Regulamentul (UE) 2018/1240.</w:t>
      </w:r>
    </w:p>
    <w:p>
      <w:pPr>
        <w:pStyle w:val="ManualConsidrant"/>
        <w:rPr>
          <w:noProof/>
        </w:rPr>
      </w:pPr>
      <w:r>
        <w:t>(7)</w:t>
      </w:r>
      <w:r>
        <w:tab/>
      </w:r>
      <w:r>
        <w:rPr>
          <w:noProof/>
        </w:rPr>
        <w:t>Pentru a asigura îndeplinirea integrală a obiectivelor ETIAS, precum și pentru a facilita îndeplinirea obiectivelor Sistemului de informații Schengen („SIS”), este necesar să se includă în sfera verificărilor automate o nouă categorie de semnalări introdusă prin revizuirea recentă a SIS, și anume semnalările referitoare la persoanele care trebuie să facă obiectul controalelor prin interviu.</w:t>
      </w:r>
    </w:p>
    <w:p>
      <w:pPr>
        <w:pStyle w:val="ManualConsidrant"/>
        <w:rPr>
          <w:noProof/>
        </w:rPr>
      </w:pPr>
      <w:r>
        <w:t>(8)</w:t>
      </w:r>
      <w:r>
        <w:tab/>
      </w:r>
      <w:r>
        <w:rPr>
          <w:noProof/>
        </w:rPr>
        <w:t>Autorizația de călătorie ETIAS poate fi revocată în urma înregistrării în SIS a unor semnalări noi referitoare la refuzul intrării și al șederii sau la un document de călătorie declarat drept pierdut, furat, deținut fără drept sau anulat. Pentru ca sistemul central al ETIAS să fie informat automat de către SIS cu privire la astfel de noi semnalări, ar trebui să se stabilească un proces automat între SIS și ETIAS.</w:t>
      </w:r>
    </w:p>
    <w:p>
      <w:pPr>
        <w:pStyle w:val="ManualConsidrant"/>
        <w:rPr>
          <w:noProof/>
        </w:rPr>
      </w:pPr>
      <w:r>
        <w:t>(9)</w:t>
      </w:r>
      <w:r>
        <w:tab/>
      </w:r>
      <w:r>
        <w:rPr>
          <w:noProof/>
        </w:rPr>
        <w:t>În vederea raționalizării și simplificării activității polițiștilor de frontieră prin introducerea unui proces mai uniform de control la frontiere pentru toți resortisanții țărilor terțe care intră pe teritoriul UE pentru șederi pe termen scurt, ca urmare a adoptării Regulamentului (UE) 2017/2226 și a Regulamentului (UE) 2018/1240, este de dorit să se alinieze modul în care cooperează EES și ETIAS la modul în care EES și VIS sunt integrate în scopul procesului de control la frontiere și al înregistrării trecerilor frontierelor în EES.</w:t>
      </w:r>
    </w:p>
    <w:p>
      <w:pPr>
        <w:pStyle w:val="ManualConsidrant"/>
        <w:rPr>
          <w:noProof/>
        </w:rPr>
      </w:pPr>
      <w:r>
        <w:lastRenderedPageBreak/>
        <w:t>(10)</w:t>
      </w:r>
      <w:r>
        <w:tab/>
      </w:r>
      <w:r>
        <w:rPr>
          <w:noProof/>
        </w:rPr>
        <w:t>Condițiile în care unitatea centrală a ETIAS și unitățile naționale ale ETIAS pot consulta datele stocate în alte sisteme de informații ale UE în scopul ETIAS ar trebui să fie garantate de norme clare și precise referitoare la accesul unității centrale a ETIAS și al unităților naționale ale ETIAS la datele stocate în alte sisteme de informații ale UE, la tipul de interogări și la categoriile de date, iar toate acestea ar trebui să se limiteze la ceea ce este strict necesar pentru îndeplinirea atribuțiilor lor. În aceeași ordine de idei, datele stocate în dosarul de cerere ETIAS ar trebui să fie vizibile numai pentru statele membre care utilizează sistemele de informații subiacente în conformitate cu modalitățile lor de participare. De exemplu, dispozițiile prezentului regulament referitoare la Sistemul de informații Schengen și la Sistemul de informații privind vizele reprezintă dispoziții care se întemeiază pe toate dispozițiile acquis-ului Schengen, pentru care sunt relevante deciziile Consiliului</w:t>
      </w:r>
      <w:r>
        <w:rPr>
          <w:rStyle w:val="FootnoteReference0"/>
          <w:noProof/>
        </w:rPr>
        <w:footnoteReference w:id="35"/>
      </w:r>
      <w:r>
        <w:rPr>
          <w:noProof/>
        </w:rPr>
        <w:t xml:space="preserve"> privind aplicarea dispozițiilor acquis-ului Schengen referitoare la Sistemul de informații Schengen și la Sistemul de informații privind vizele.</w:t>
      </w:r>
    </w:p>
    <w:p>
      <w:pPr>
        <w:pStyle w:val="ManualConsidrant"/>
        <w:rPr>
          <w:i/>
          <w:noProof/>
        </w:rPr>
      </w:pPr>
      <w:r>
        <w:t>(11)</w:t>
      </w:r>
      <w:r>
        <w:tab/>
      </w:r>
      <w:r>
        <w:rPr>
          <w:noProof/>
        </w:rPr>
        <w:t>În conformitate cu articolul 73 din Regulamentul (UE) 2018/1240, Agenția Europeană pentru Gestionarea Operațională a Sistemelor Informatice la Scară Largă în Spațiul de Libertate, Securitate și Justiție („eu-LISA”), instituită prin Regulamentul (UE) 2018/1726 al Parlamentului European și al Consiliului</w:t>
      </w:r>
      <w:r>
        <w:rPr>
          <w:rStyle w:val="FootnoteReference0"/>
          <w:noProof/>
        </w:rPr>
        <w:footnoteReference w:id="36"/>
      </w:r>
      <w:r>
        <w:rPr>
          <w:noProof/>
        </w:rPr>
        <w:t>, ar trebui să fie responsabilă pentru etapa de proiectare și dezvoltare a sistemului de informații al ETIAS.</w:t>
      </w:r>
    </w:p>
    <w:p>
      <w:pPr>
        <w:pStyle w:val="ManualConsidrant"/>
        <w:rPr>
          <w:noProof/>
        </w:rPr>
      </w:pPr>
      <w:r>
        <w:t>(12)</w:t>
      </w:r>
      <w:r>
        <w:tab/>
      </w:r>
      <w:r>
        <w:rPr>
          <w:noProof/>
        </w:rPr>
        <w:t>Prezentul regulament nu aduce atingere Directivei 2004/38/CE</w:t>
      </w:r>
      <w:r>
        <w:rPr>
          <w:rStyle w:val="FootnoteReference0"/>
          <w:noProof/>
        </w:rPr>
        <w:footnoteReference w:id="37"/>
      </w:r>
      <w:r>
        <w:rPr>
          <w:noProof/>
        </w:rPr>
        <w:t>.</w:t>
      </w:r>
    </w:p>
    <w:p>
      <w:pPr>
        <w:pStyle w:val="ManualConsidrant"/>
        <w:rPr>
          <w:noProof/>
        </w:rPr>
      </w:pPr>
      <w:r>
        <w:t>(13)</w:t>
      </w:r>
      <w:r>
        <w:tab/>
      </w:r>
      <w:r>
        <w:rPr>
          <w:noProof/>
        </w:rPr>
        <w:t>În conformitate cu articolele 1 și 2 din Protocolul nr. 22 privind poziția Danemarcei, anexat la Tratatul UE și la TFUE, Danemarca nu participă la adoptarea prezentului regulament, nu are obligații în temeiul acestuia și nu face obiectul aplicării sale. Deoarece prezentul regulament constituie o dezvoltare a acquis-ului Schengen, în conformitate cu articolul 4 din protocolul respectiv, , în termen de șase luni de la data la care Consiliul și-a adoptat decizia privind prezentul regulament, Danemarca decide dacă îl va transpune în legislația sa internă.</w:t>
      </w:r>
    </w:p>
    <w:p>
      <w:pPr>
        <w:pStyle w:val="ManualConsidrant"/>
        <w:rPr>
          <w:noProof/>
        </w:rPr>
      </w:pPr>
      <w:r>
        <w:t>(14)</w:t>
      </w:r>
      <w:r>
        <w:tab/>
      </w:r>
      <w:r>
        <w:rPr>
          <w:noProof/>
        </w:rPr>
        <w:t>Prezentul regulament constituie o dezvoltare a dispozițiilor acquis-ului Schengen la care Regatul Unit nu participă, în conformitate cu Decizia 2000/365/CE a Consiliului</w:t>
      </w:r>
      <w:r>
        <w:rPr>
          <w:rStyle w:val="FootnoteReference0"/>
          <w:noProof/>
        </w:rPr>
        <w:footnoteReference w:id="38"/>
      </w:r>
      <w:r>
        <w:rPr>
          <w:noProof/>
        </w:rPr>
        <w:t>; prin urmare, Regatul Unit nu participă la adoptarea prezentului regulament, nu are obligații în temeiul acestuia și nu face obiectul aplicării sale.</w:t>
      </w:r>
    </w:p>
    <w:p>
      <w:pPr>
        <w:pStyle w:val="ManualConsidrant"/>
        <w:rPr>
          <w:noProof/>
        </w:rPr>
      </w:pPr>
      <w:r>
        <w:lastRenderedPageBreak/>
        <w:t>(15)</w:t>
      </w:r>
      <w:r>
        <w:tab/>
      </w:r>
      <w:r>
        <w:rPr>
          <w:noProof/>
        </w:rPr>
        <w:t>Prezentul regulament constituie o dezvoltare a dispozițiilor acquis-ului Schengen la care Irlanda nu participă, în conformitate cu Decizia 2002/192/CE a Consiliului</w:t>
      </w:r>
      <w:r>
        <w:rPr>
          <w:rStyle w:val="FootnoteReference0"/>
          <w:noProof/>
        </w:rPr>
        <w:footnoteReference w:id="39"/>
      </w:r>
      <w:r>
        <w:rPr>
          <w:noProof/>
        </w:rPr>
        <w:t>; prin urmare, Irlanda nu participă la adoptarea prezentului regulament, nu are obligații în temeiul acestuia și nu face obiectul aplicării sale.</w:t>
      </w:r>
    </w:p>
    <w:p>
      <w:pPr>
        <w:pStyle w:val="ManualConsidrant"/>
        <w:rPr>
          <w:noProof/>
        </w:rPr>
      </w:pPr>
      <w:r>
        <w:t>(16)</w:t>
      </w:r>
      <w:r>
        <w:tab/>
      </w:r>
      <w:r>
        <w:rPr>
          <w:noProof/>
        </w:rPr>
        <w:t>În ceea ce privește Islanda și Norvegia, prezentul regulament constituie o dezvoltare a dispozițiilor acquis-ului Schengen în sensul Acordului încheiat de Consiliul Uniunii Europene și Republica Islanda și Regatul Norvegiei privind asocierea acestora din urmă la implementarea, aplicarea și dezvoltarea acquis-ului Schengen</w:t>
      </w:r>
      <w:r>
        <w:rPr>
          <w:rStyle w:val="FootnoteReference0"/>
          <w:noProof/>
        </w:rPr>
        <w:footnoteReference w:id="40"/>
      </w:r>
      <w:r>
        <w:rPr>
          <w:noProof/>
        </w:rPr>
        <w:t>, care se află sub incidența domeniului menționat la articolul 1 punctele A și B din Decizia 1999/437/CE a Consiliului</w:t>
      </w:r>
      <w:r>
        <w:rPr>
          <w:rStyle w:val="FootnoteReference0"/>
          <w:noProof/>
        </w:rPr>
        <w:footnoteReference w:id="41"/>
      </w:r>
      <w:r>
        <w:rPr>
          <w:noProof/>
        </w:rPr>
        <w:t>.</w:t>
      </w:r>
    </w:p>
    <w:p>
      <w:pPr>
        <w:pStyle w:val="ManualConsidrant"/>
        <w:rPr>
          <w:noProof/>
        </w:rPr>
      </w:pPr>
      <w:r>
        <w:t>(17)</w:t>
      </w:r>
      <w:r>
        <w:tab/>
      </w:r>
      <w:r>
        <w:rPr>
          <w:noProof/>
        </w:rPr>
        <w:t>În ceea ce privește Elveția, prezentul regulament constituie o dezvoltare a dispozițiilor acquis-ului Schengen în sensul Acordului dintre Uniunea Europeană, Comunitatea Europeană și Confederația Elvețiană privind asocierea Confederației Elvețiene la punerea în aplicare, respectarea și dezvoltarea acquis-ului Schengen</w:t>
      </w:r>
      <w:r>
        <w:rPr>
          <w:rStyle w:val="FootnoteReference0"/>
          <w:noProof/>
        </w:rPr>
        <w:footnoteReference w:id="42"/>
      </w:r>
      <w:r>
        <w:rPr>
          <w:noProof/>
        </w:rPr>
        <w:t>, care se află sub incidența domeniului menționat la articolul 1 punctele A și B din Decizia 1999/437/CE, coroborat cu articolul 3 din Decizia 2008/146/CE a Consiliului</w:t>
      </w:r>
      <w:r>
        <w:rPr>
          <w:rStyle w:val="FootnoteReference0"/>
          <w:noProof/>
        </w:rPr>
        <w:footnoteReference w:id="43"/>
      </w:r>
      <w:r>
        <w:rPr>
          <w:noProof/>
        </w:rPr>
        <w:t xml:space="preserve"> și cu articolul 3 din Decizia 2008/149/JAI a Consiliului</w:t>
      </w:r>
      <w:r>
        <w:rPr>
          <w:rStyle w:val="FootnoteReference0"/>
          <w:noProof/>
        </w:rPr>
        <w:footnoteReference w:id="44"/>
      </w:r>
      <w:r>
        <w:rPr>
          <w:noProof/>
        </w:rPr>
        <w:t>.</w:t>
      </w:r>
    </w:p>
    <w:p>
      <w:pPr>
        <w:pStyle w:val="ManualConsidrant"/>
        <w:rPr>
          <w:noProof/>
        </w:rPr>
      </w:pPr>
      <w:r>
        <w:t>(18)</w:t>
      </w:r>
      <w:r>
        <w:tab/>
      </w:r>
      <w:r>
        <w:rPr>
          <w:noProof/>
        </w:rPr>
        <w:t>În ceea ce privește Liechtensteinul, prezentul regulament constituie o dezvoltare a dispozițiilor acquis-ului Schengen în sensul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practică, aplicarea și dezvoltarea acquis-ului Schengen</w:t>
      </w:r>
      <w:r>
        <w:rPr>
          <w:rStyle w:val="FootnoteReference0"/>
          <w:noProof/>
        </w:rPr>
        <w:footnoteReference w:id="45"/>
      </w:r>
      <w:r>
        <w:rPr>
          <w:noProof/>
        </w:rPr>
        <w:t>, care se află sub incidența domeniului menționat la articolul 1 punctele A și B din Decizia 1999/437/CE, coroborat cu articolul 3 din Decizia 2011/350/UE a Consiliului</w:t>
      </w:r>
      <w:r>
        <w:rPr>
          <w:rStyle w:val="FootnoteReference0"/>
          <w:noProof/>
        </w:rPr>
        <w:footnoteReference w:id="46"/>
      </w:r>
      <w:r>
        <w:rPr>
          <w:noProof/>
        </w:rPr>
        <w:t xml:space="preserve"> și cu articolul 3 din Decizia 2011/349/UE a Consiliului</w:t>
      </w:r>
      <w:r>
        <w:rPr>
          <w:rStyle w:val="FootnoteReference0"/>
          <w:noProof/>
        </w:rPr>
        <w:footnoteReference w:id="47"/>
      </w:r>
      <w:r>
        <w:rPr>
          <w:noProof/>
        </w:rPr>
        <w:t>.</w:t>
      </w:r>
    </w:p>
    <w:p>
      <w:pPr>
        <w:pStyle w:val="ManualConsidrant"/>
        <w:rPr>
          <w:noProof/>
        </w:rPr>
      </w:pPr>
      <w:r>
        <w:lastRenderedPageBreak/>
        <w:t>(19)</w:t>
      </w:r>
      <w:r>
        <w:tab/>
      </w:r>
      <w:r>
        <w:rPr>
          <w:noProof/>
        </w:rPr>
        <w:t>În ceea ce privește Ciprul, Bulgaria, România și Croația, dispozițiile prezentului regulament care modifică Regulamentul de instituire a ETIAS constituie dispoziții care se întemeiază pe acquis-ul Schengen sau care sunt conexe acestuia, în sensul articolului 3 alineatul (1) din Actul de aderare din 2003, al articolului 4 alineatul (1) din Actul de aderare din 2005 și, respectiv, al articolului 4 alineatul (1) din Actul de aderare din 2011.</w:t>
      </w:r>
    </w:p>
    <w:p>
      <w:pPr>
        <w:pStyle w:val="ManualConsidrant"/>
        <w:rPr>
          <w:noProof/>
        </w:rPr>
      </w:pPr>
      <w:r>
        <w:t>(20)</w:t>
      </w:r>
      <w:r>
        <w:tab/>
      </w:r>
      <w:r>
        <w:rPr>
          <w:noProof/>
        </w:rPr>
        <w:t>În ceea ce privește Ciprul, Bulgaria, România și Croația, dispozițiile prezentului regulament referitoare la VIS, SIS și EES constituie dispoziții care se întemeiază pe acquis-ul Schengen sau care sunt conexe acestuia, în sensul articolului 3 alineatul (2) din Actul de aderare din 2003, al articolului 4 alineatul (2) din Actul de aderare din 2005 și, respectiv, al articolului 4 alineatul (2) din Actul de aderare din 2011, coroborat cu Deciziile 2010/365/UE</w:t>
      </w:r>
      <w:r>
        <w:rPr>
          <w:rStyle w:val="FootnoteReference0"/>
          <w:noProof/>
        </w:rPr>
        <w:footnoteReference w:id="48"/>
      </w:r>
      <w:r>
        <w:rPr>
          <w:noProof/>
        </w:rPr>
        <w:t>, (UE) 2017/733</w:t>
      </w:r>
      <w:r>
        <w:rPr>
          <w:rStyle w:val="FootnoteReference0"/>
          <w:noProof/>
        </w:rPr>
        <w:footnoteReference w:id="49"/>
      </w:r>
      <w:r>
        <w:rPr>
          <w:noProof/>
        </w:rPr>
        <w:t>, (UE) 2017/1908</w:t>
      </w:r>
      <w:r>
        <w:rPr>
          <w:rStyle w:val="FootnoteReference0"/>
          <w:noProof/>
        </w:rPr>
        <w:footnoteReference w:id="50"/>
      </w:r>
      <w:r>
        <w:rPr>
          <w:noProof/>
        </w:rPr>
        <w:t xml:space="preserve"> și (UE) 2018/934</w:t>
      </w:r>
      <w:r>
        <w:rPr>
          <w:rStyle w:val="FootnoteReference0"/>
          <w:noProof/>
        </w:rPr>
        <w:footnoteReference w:id="51"/>
      </w:r>
      <w:r>
        <w:rPr>
          <w:noProof/>
        </w:rPr>
        <w:t xml:space="preserve"> ale Consiliului.</w:t>
      </w:r>
    </w:p>
    <w:p>
      <w:pPr>
        <w:pStyle w:val="ManualConsidrant"/>
        <w:rPr>
          <w:noProof/>
        </w:rPr>
      </w:pPr>
      <w:r>
        <w:t>(21)</w:t>
      </w:r>
      <w:r>
        <w:tab/>
      </w:r>
      <w:r>
        <w:rPr>
          <w:noProof/>
        </w:rPr>
        <w:t>Prin urmare, Regulamentele (UE) 2018/1240, (CE) nr. 767/2008, (UE) 2017/2226 și (UE) 2018/1861 (SIS în domeniul verificărilor la frontiere) ale Parlamentului European și ale Consiliului ar trebui modificate.</w:t>
      </w:r>
    </w:p>
    <w:p>
      <w:pPr>
        <w:pStyle w:val="ManualConsidrant"/>
        <w:rPr>
          <w:noProof/>
        </w:rPr>
      </w:pPr>
      <w:r>
        <w:t>(22)</w:t>
      </w:r>
      <w:r>
        <w:tab/>
      </w:r>
      <w:r>
        <w:rPr>
          <w:noProof/>
        </w:rPr>
        <w:t>Autoritatea Europeană pentru Protecția Datelor a fost consultată în conformitate cu articolul 41 alineatul (2) din Regulamentul (UE) 2018/1725 al Parlamentului European și al Consiliului</w:t>
      </w:r>
      <w:r>
        <w:rPr>
          <w:rStyle w:val="FootnoteReference0"/>
          <w:noProof/>
        </w:rPr>
        <w:footnoteReference w:id="52"/>
      </w:r>
      <w:r>
        <w:rPr>
          <w:noProof/>
        </w:rPr>
        <w:t>,</w:t>
      </w:r>
    </w:p>
    <w:p>
      <w:pPr>
        <w:pStyle w:val="Formuledadoption"/>
        <w:rPr>
          <w:noProof/>
        </w:rPr>
      </w:pPr>
      <w:r>
        <w:rPr>
          <w:noProof/>
        </w:rPr>
        <w:t>ADOPTĂ PREZENTUL REGULAMENT:</w:t>
      </w:r>
    </w:p>
    <w:p>
      <w:pPr>
        <w:pStyle w:val="SectionTitle"/>
        <w:rPr>
          <w:noProof/>
          <w:sz w:val="24"/>
        </w:rPr>
      </w:pPr>
      <w:r>
        <w:rPr>
          <w:noProof/>
          <w:sz w:val="24"/>
        </w:rPr>
        <w:t>CAPITOLUL I: MODIFICĂRI ADUSE REGULAMENTULUI (UE) 2018/1240</w:t>
      </w:r>
    </w:p>
    <w:p>
      <w:pPr>
        <w:pStyle w:val="Titrearticle"/>
        <w:rPr>
          <w:noProof/>
        </w:rPr>
      </w:pPr>
      <w:r>
        <w:rPr>
          <w:noProof/>
        </w:rPr>
        <w:t>Articolul 1</w:t>
      </w:r>
    </w:p>
    <w:p>
      <w:pPr>
        <w:pStyle w:val="Titrearticle"/>
        <w:spacing w:before="0" w:after="0"/>
        <w:rPr>
          <w:b/>
          <w:noProof/>
        </w:rPr>
      </w:pPr>
      <w:r>
        <w:rPr>
          <w:b/>
          <w:noProof/>
        </w:rPr>
        <w:t>Modificări aduse Regulamentului (UE) 2018/1240 [ETIAS]</w:t>
      </w:r>
    </w:p>
    <w:p>
      <w:pPr>
        <w:spacing w:before="0" w:after="0"/>
        <w:rPr>
          <w:noProof/>
        </w:rPr>
      </w:pPr>
    </w:p>
    <w:p>
      <w:pPr>
        <w:pStyle w:val="Point0number"/>
        <w:numPr>
          <w:ilvl w:val="0"/>
          <w:numId w:val="6"/>
        </w:numPr>
        <w:spacing w:before="0"/>
        <w:rPr>
          <w:noProof/>
        </w:rPr>
      </w:pPr>
      <w:r>
        <w:rPr>
          <w:noProof/>
        </w:rPr>
        <w:t>La articolul 3 alineatul (1), se adaugă următorul punct:</w:t>
      </w:r>
    </w:p>
    <w:p>
      <w:pPr>
        <w:pStyle w:val="Point1"/>
        <w:spacing w:before="0" w:after="0"/>
        <w:ind w:left="851" w:firstLine="0"/>
        <w:rPr>
          <w:noProof/>
        </w:rPr>
      </w:pPr>
      <w:r>
        <w:rPr>
          <w:noProof/>
        </w:rPr>
        <w:t>„23. «alte sisteme de informații ale UE» înseamnă Sistemul de intrare/ieșire («EES»), Sistemul de informații privind vizele («VIS»), Sistemul de informații Schengen («SIS») și Sistemul european de informații cu privire la cazierele judiciare ale resortisanților țărilor terțe («ECRIS-TCN»).”</w:t>
      </w:r>
    </w:p>
    <w:p>
      <w:pPr>
        <w:pStyle w:val="Point1"/>
        <w:spacing w:before="0" w:after="0"/>
        <w:ind w:left="851" w:firstLine="0"/>
        <w:rPr>
          <w:noProof/>
        </w:rPr>
      </w:pPr>
    </w:p>
    <w:p>
      <w:pPr>
        <w:pStyle w:val="Point0number"/>
        <w:numPr>
          <w:ilvl w:val="0"/>
          <w:numId w:val="6"/>
        </w:numPr>
        <w:spacing w:before="0"/>
        <w:rPr>
          <w:noProof/>
        </w:rPr>
      </w:pPr>
      <w:r>
        <w:rPr>
          <w:noProof/>
        </w:rPr>
        <w:t>La articolul 4, se adaugă următoarea literă:</w:t>
      </w:r>
    </w:p>
    <w:p>
      <w:pPr>
        <w:pStyle w:val="Point1"/>
        <w:rPr>
          <w:noProof/>
        </w:rPr>
      </w:pPr>
      <w:r>
        <w:rPr>
          <w:noProof/>
        </w:rPr>
        <w:t>„(h</w:t>
      </w:r>
      <w:r>
        <w:rPr>
          <w:rStyle w:val="FootnoteReference0"/>
          <w:noProof/>
        </w:rPr>
        <w:footnoteReference w:id="53"/>
      </w:r>
      <w:r>
        <w:rPr>
          <w:noProof/>
        </w:rPr>
        <w:t>) sprijină obiectivele EES.”</w:t>
      </w:r>
    </w:p>
    <w:p>
      <w:pPr>
        <w:pStyle w:val="Point1"/>
        <w:rPr>
          <w:noProof/>
        </w:rPr>
      </w:pPr>
      <w:r>
        <w:rPr>
          <w:noProof/>
        </w:rPr>
        <w:t>_____________</w:t>
      </w:r>
    </w:p>
    <w:p>
      <w:pPr>
        <w:spacing w:before="0" w:after="0"/>
        <w:ind w:left="1145" w:hanging="425"/>
        <w:rPr>
          <w:noProof/>
        </w:rPr>
      </w:pPr>
      <w:r>
        <w:rPr>
          <w:noProof/>
        </w:rPr>
        <w:t>*     Numerotarea ține seama de modificarea prezentului regulament de Propunerea de regulament al Parlamentului European și al Consiliului de stabilire a unui cadru de interoperabilitate între sistemele de informații ale UE (frontiere și vize), COM(2018) 478 final.”</w:t>
      </w:r>
    </w:p>
    <w:p>
      <w:pPr>
        <w:spacing w:before="0" w:after="0"/>
        <w:ind w:left="1145" w:hanging="425"/>
        <w:rPr>
          <w:noProof/>
        </w:rPr>
      </w:pPr>
    </w:p>
    <w:p>
      <w:pPr>
        <w:pStyle w:val="Point0number"/>
        <w:spacing w:before="0"/>
        <w:rPr>
          <w:noProof/>
        </w:rPr>
      </w:pPr>
      <w:r>
        <w:rPr>
          <w:noProof/>
        </w:rPr>
        <w:t>La articolul 6 alineatul (3), se adaugă următoarele paragrafe:</w:t>
      </w:r>
    </w:p>
    <w:p>
      <w:pPr>
        <w:pStyle w:val="Point1"/>
        <w:ind w:left="993" w:hanging="143"/>
        <w:rPr>
          <w:noProof/>
        </w:rPr>
      </w:pPr>
      <w:r>
        <w:rPr>
          <w:noProof/>
        </w:rPr>
        <w:t>„În special, sistemul central al ETIAS se bazează pe componentele de hardware și software ale sistemului central al EES în scopul creării unui registru partajat de date de identitate pentru stocarea datelor alfanumerice de identitate atât ale solicitanților din cadrul sistemului ETIAS, cât și ale resortisanților țărilor terțe înregistrați în EES. Datele alfanumerice de identitate ale solicitanților din cadrul sistemului ETIAS care sunt stocate în registrul partajat de date de identitate fac parte din sistemul central al ETIAS. [Acest registru partajat de date de identitate reprezintă baza pentru implementarea registrului comun de date de identitate («CIR») instituit prin Regulamentul privind interoperabilitatea.]</w:t>
      </w:r>
    </w:p>
    <w:p>
      <w:pPr>
        <w:pStyle w:val="Point1"/>
        <w:spacing w:after="0"/>
        <w:ind w:left="993" w:firstLine="0"/>
        <w:rPr>
          <w:noProof/>
        </w:rPr>
      </w:pPr>
      <w:r>
        <w:rPr>
          <w:noProof/>
        </w:rPr>
        <w:t>Acest lucru nu aduce atingere menținerii separării logice dintre datele din EES și cele din ETIAS și a accesului la cele două tipuri de date definit în regulamentele de instituire a respectivelor sisteme de informații.”</w:t>
      </w:r>
    </w:p>
    <w:p>
      <w:pPr>
        <w:pStyle w:val="Point1"/>
        <w:spacing w:before="0" w:after="0"/>
        <w:ind w:left="993" w:firstLine="0"/>
        <w:rPr>
          <w:noProof/>
        </w:rPr>
      </w:pPr>
    </w:p>
    <w:p>
      <w:pPr>
        <w:pStyle w:val="Point0number"/>
        <w:spacing w:before="0"/>
        <w:rPr>
          <w:noProof/>
        </w:rPr>
      </w:pPr>
      <w:r>
        <w:rPr>
          <w:noProof/>
        </w:rPr>
        <w:t>Articolul 11 se înlocuiește cu următorul text:</w:t>
      </w:r>
    </w:p>
    <w:p>
      <w:pPr>
        <w:pStyle w:val="Point2"/>
        <w:rPr>
          <w:noProof/>
        </w:rPr>
      </w:pPr>
      <w:r>
        <w:rPr>
          <w:noProof/>
        </w:rPr>
        <w:t xml:space="preserve"> „Articolul 11 </w:t>
      </w:r>
    </w:p>
    <w:p>
      <w:pPr>
        <w:pStyle w:val="Point2"/>
        <w:rPr>
          <w:noProof/>
        </w:rPr>
      </w:pPr>
      <w:r>
        <w:rPr>
          <w:noProof/>
        </w:rPr>
        <w:t>Interoperabilitatea cu alte sisteme de informații ale UE și cu datele Europol</w:t>
      </w:r>
    </w:p>
    <w:p>
      <w:pPr>
        <w:pStyle w:val="Point2"/>
        <w:ind w:left="1985" w:hanging="568"/>
        <w:rPr>
          <w:noProof/>
        </w:rPr>
      </w:pPr>
      <w:r>
        <w:rPr>
          <w:noProof/>
        </w:rPr>
        <w:t xml:space="preserve"> (1)  Se instituie interoperabilitatea dintre sistemul de informații al ETIAS, alte sisteme de informații ale UE și datele Europol pentru a permite prelucrarea automată menționată la articolele 20 și 23, la articolul 24 alineatul (6) litera (c) punctul (ii), la articolul 41 și la articolul 54 alineatul (1) litera (b).</w:t>
      </w:r>
    </w:p>
    <w:p>
      <w:pPr>
        <w:pStyle w:val="Point2"/>
        <w:ind w:left="1985" w:hanging="1"/>
        <w:rPr>
          <w:noProof/>
        </w:rPr>
      </w:pPr>
      <w:r>
        <w:rPr>
          <w:noProof/>
        </w:rPr>
        <w:t>[Interoperabilitatea se bazează pe portalul european de căutare («ESP»), instituit prin articolul 6 din Regulamentul (UE) 2018/XXX (interoperabilitate). În cursul unei perioade de tranziție, înainte ca ESP să fie disponibil, prelucrarea automată se bazează pe un instrument elaborat de eu-LISA în sensul prezentului alineat. Acest instrument este utilizat ca bază pentru dezvoltarea și implementarea ESP, în conformitate cu articolul 52 din regulamentul respectiv].</w:t>
      </w:r>
    </w:p>
    <w:p>
      <w:pPr>
        <w:pStyle w:val="Point2"/>
        <w:ind w:hanging="424"/>
        <w:rPr>
          <w:noProof/>
        </w:rPr>
      </w:pPr>
      <w:r>
        <w:rPr>
          <w:noProof/>
        </w:rPr>
        <w:t xml:space="preserve">(2)   În scopul efectuării verificărilor menționate la articolul 20 alineatul (2) litera (i), prelucrarea automată menționată la articolul 11 alineatul (1) permite sistemului central al ETIAS să efectueze interogări în VIS, instituit prin Regulamentul (CE) nr. 767/2008 al Parlamentului European </w:t>
      </w:r>
      <w:r>
        <w:rPr>
          <w:noProof/>
        </w:rPr>
        <w:lastRenderedPageBreak/>
        <w:t>și al Consiliului*, cu următoarele date menționate la articolul 17 alineatul (2) literele (a), (ab)</w:t>
      </w:r>
      <w:r>
        <w:rPr>
          <w:rStyle w:val="FootnoteReference0"/>
          <w:noProof/>
        </w:rPr>
        <w:footnoteReference w:id="54"/>
      </w:r>
      <w:r>
        <w:rPr>
          <w:noProof/>
        </w:rPr>
        <w:t>, (c) și (d) din prezentul regulament:</w:t>
      </w:r>
    </w:p>
    <w:p>
      <w:pPr>
        <w:pStyle w:val="Point3letter"/>
        <w:numPr>
          <w:ilvl w:val="7"/>
          <w:numId w:val="6"/>
        </w:numPr>
        <w:rPr>
          <w:noProof/>
        </w:rPr>
      </w:pPr>
      <w:r>
        <w:rPr>
          <w:noProof/>
        </w:rPr>
        <w:t>numele (de familie);</w:t>
      </w:r>
    </w:p>
    <w:p>
      <w:pPr>
        <w:pStyle w:val="Point3letter"/>
        <w:numPr>
          <w:ilvl w:val="7"/>
          <w:numId w:val="6"/>
        </w:numPr>
        <w:rPr>
          <w:noProof/>
        </w:rPr>
      </w:pPr>
      <w:r>
        <w:rPr>
          <w:noProof/>
        </w:rPr>
        <w:t>numele la naștere;</w:t>
      </w:r>
    </w:p>
    <w:p>
      <w:pPr>
        <w:pStyle w:val="Point3letter"/>
        <w:numPr>
          <w:ilvl w:val="7"/>
          <w:numId w:val="6"/>
        </w:numPr>
        <w:rPr>
          <w:noProof/>
        </w:rPr>
      </w:pPr>
      <w:r>
        <w:rPr>
          <w:noProof/>
        </w:rPr>
        <w:t>prenumele (numele de botez);</w:t>
      </w:r>
    </w:p>
    <w:p>
      <w:pPr>
        <w:pStyle w:val="Point3letter"/>
        <w:numPr>
          <w:ilvl w:val="7"/>
          <w:numId w:val="6"/>
        </w:numPr>
        <w:rPr>
          <w:noProof/>
        </w:rPr>
      </w:pPr>
      <w:r>
        <w:rPr>
          <w:noProof/>
        </w:rPr>
        <w:t>data nașterii;</w:t>
      </w:r>
    </w:p>
    <w:p>
      <w:pPr>
        <w:pStyle w:val="Point3letter"/>
        <w:numPr>
          <w:ilvl w:val="7"/>
          <w:numId w:val="6"/>
        </w:numPr>
        <w:rPr>
          <w:noProof/>
        </w:rPr>
      </w:pPr>
      <w:r>
        <w:rPr>
          <w:noProof/>
        </w:rPr>
        <w:t>locul nașterii;</w:t>
      </w:r>
    </w:p>
    <w:p>
      <w:pPr>
        <w:pStyle w:val="Point3letter"/>
        <w:numPr>
          <w:ilvl w:val="7"/>
          <w:numId w:val="6"/>
        </w:numPr>
        <w:rPr>
          <w:noProof/>
        </w:rPr>
      </w:pPr>
      <w:r>
        <w:rPr>
          <w:noProof/>
        </w:rPr>
        <w:t>țara nașterii;</w:t>
      </w:r>
    </w:p>
    <w:p>
      <w:pPr>
        <w:pStyle w:val="Point3letter"/>
        <w:numPr>
          <w:ilvl w:val="7"/>
          <w:numId w:val="6"/>
        </w:numPr>
        <w:rPr>
          <w:noProof/>
        </w:rPr>
      </w:pPr>
      <w:r>
        <w:rPr>
          <w:noProof/>
        </w:rPr>
        <w:t>sexul;</w:t>
      </w:r>
    </w:p>
    <w:p>
      <w:pPr>
        <w:pStyle w:val="Point3letter"/>
        <w:numPr>
          <w:ilvl w:val="7"/>
          <w:numId w:val="6"/>
        </w:numPr>
        <w:rPr>
          <w:noProof/>
        </w:rPr>
      </w:pPr>
      <w:r>
        <w:rPr>
          <w:noProof/>
        </w:rPr>
        <w:t>cetățenia actuală;</w:t>
      </w:r>
    </w:p>
    <w:p>
      <w:pPr>
        <w:pStyle w:val="Point3letter"/>
        <w:rPr>
          <w:noProof/>
        </w:rPr>
      </w:pPr>
      <w:r>
        <w:rPr>
          <w:noProof/>
        </w:rPr>
        <w:t>alte cetățenii (dacă este cazul);</w:t>
      </w:r>
    </w:p>
    <w:p>
      <w:pPr>
        <w:pStyle w:val="Point3letter"/>
        <w:rPr>
          <w:noProof/>
        </w:rPr>
      </w:pPr>
      <w:r>
        <w:rPr>
          <w:noProof/>
        </w:rPr>
        <w:t>tipul, numărul și țara emitentă a documentului de călătorie.</w:t>
      </w:r>
    </w:p>
    <w:p>
      <w:pPr>
        <w:pStyle w:val="Point2"/>
        <w:ind w:hanging="424"/>
        <w:rPr>
          <w:noProof/>
        </w:rPr>
      </w:pPr>
      <w:r>
        <w:rPr>
          <w:noProof/>
        </w:rPr>
        <w:t xml:space="preserve"> (3)  În scopul efectuării verificărilor menționate la articolul 20 alineatul (2) literele (g) și (h), prelucrarea automată menționată la articolul 11 alineatul (1) permite sistemului central al ETIAS să efectueze interogări în EES, instituit prin Regulamentul (UE) 2017/2226, cu următoarele date menționate la articolul 17 alineatul (2) literele (a)-(d):</w:t>
      </w:r>
    </w:p>
    <w:p>
      <w:pPr>
        <w:pStyle w:val="Point3letter"/>
        <w:numPr>
          <w:ilvl w:val="7"/>
          <w:numId w:val="13"/>
        </w:numPr>
        <w:rPr>
          <w:noProof/>
        </w:rPr>
      </w:pPr>
      <w:r>
        <w:rPr>
          <w:noProof/>
        </w:rPr>
        <w:t>numele (de familie);</w:t>
      </w:r>
    </w:p>
    <w:p>
      <w:pPr>
        <w:pStyle w:val="Point3letter"/>
        <w:rPr>
          <w:noProof/>
        </w:rPr>
      </w:pPr>
      <w:r>
        <w:rPr>
          <w:noProof/>
        </w:rPr>
        <w:t>numele la naștere;</w:t>
      </w:r>
    </w:p>
    <w:p>
      <w:pPr>
        <w:pStyle w:val="Point3letter"/>
        <w:rPr>
          <w:noProof/>
        </w:rPr>
      </w:pPr>
      <w:r>
        <w:rPr>
          <w:noProof/>
        </w:rPr>
        <w:t>prenumele (numele de botez);</w:t>
      </w:r>
    </w:p>
    <w:p>
      <w:pPr>
        <w:pStyle w:val="Point3letter"/>
        <w:rPr>
          <w:noProof/>
        </w:rPr>
      </w:pPr>
      <w:r>
        <w:rPr>
          <w:noProof/>
        </w:rPr>
        <w:t>data nașterii;</w:t>
      </w:r>
    </w:p>
    <w:p>
      <w:pPr>
        <w:pStyle w:val="Point3letter"/>
        <w:rPr>
          <w:noProof/>
        </w:rPr>
      </w:pPr>
      <w:r>
        <w:rPr>
          <w:noProof/>
        </w:rPr>
        <w:t>sexul;</w:t>
      </w:r>
    </w:p>
    <w:p>
      <w:pPr>
        <w:pStyle w:val="Point3letter"/>
        <w:rPr>
          <w:noProof/>
        </w:rPr>
      </w:pPr>
      <w:r>
        <w:rPr>
          <w:noProof/>
        </w:rPr>
        <w:t>cetățenia actuală;</w:t>
      </w:r>
    </w:p>
    <w:p>
      <w:pPr>
        <w:pStyle w:val="Point3letter"/>
        <w:rPr>
          <w:noProof/>
        </w:rPr>
      </w:pPr>
      <w:r>
        <w:rPr>
          <w:noProof/>
        </w:rPr>
        <w:t>alte nume [pseudonim;</w:t>
      </w:r>
    </w:p>
    <w:p>
      <w:pPr>
        <w:pStyle w:val="Point3letter"/>
        <w:rPr>
          <w:noProof/>
        </w:rPr>
      </w:pPr>
      <w:r>
        <w:rPr>
          <w:noProof/>
        </w:rPr>
        <w:t>nume artistic(e);</w:t>
      </w:r>
    </w:p>
    <w:p>
      <w:pPr>
        <w:pStyle w:val="Point3letter"/>
        <w:rPr>
          <w:noProof/>
        </w:rPr>
      </w:pPr>
      <w:r>
        <w:rPr>
          <w:noProof/>
        </w:rPr>
        <w:t>nume uzual(e)];</w:t>
      </w:r>
    </w:p>
    <w:p>
      <w:pPr>
        <w:pStyle w:val="Point3letter"/>
        <w:rPr>
          <w:noProof/>
        </w:rPr>
      </w:pPr>
      <w:r>
        <w:rPr>
          <w:noProof/>
        </w:rPr>
        <w:t>alte cetățenii (dacă este cazul);</w:t>
      </w:r>
    </w:p>
    <w:p>
      <w:pPr>
        <w:pStyle w:val="Point3letter"/>
        <w:rPr>
          <w:noProof/>
        </w:rPr>
      </w:pPr>
      <w:r>
        <w:rPr>
          <w:noProof/>
        </w:rPr>
        <w:t>tipul, numărul și țara emitentă a documentului de călătorie.</w:t>
      </w:r>
    </w:p>
    <w:p>
      <w:pPr>
        <w:pStyle w:val="Point2"/>
        <w:rPr>
          <w:noProof/>
        </w:rPr>
      </w:pPr>
      <w:r>
        <w:rPr>
          <w:noProof/>
        </w:rPr>
        <w:t xml:space="preserve">(4) </w:t>
      </w:r>
      <w:r>
        <w:rPr>
          <w:noProof/>
        </w:rPr>
        <w:tab/>
        <w:t xml:space="preserve">În scopul efectuării verificărilor menționate la articolul 20 alineatul (2) litera (c), litera (m) punctul (ii) și litera (o) și la articolul 23 alineatul (1), prelucrarea automată menționată la articolul 11 alineatul (1) permite sistemului central al ETIAS să efectueze interogări în SIS instituit prin Regulamentul (UE) 2018/1860 (verificări la frontiere) cu următoarele date menționate la articolul 17 alineatul (2) literele (a)-(d) și la articolul 17 alineatul (2) litera (k): </w:t>
      </w:r>
    </w:p>
    <w:p>
      <w:pPr>
        <w:pStyle w:val="Point3letter"/>
        <w:numPr>
          <w:ilvl w:val="7"/>
          <w:numId w:val="11"/>
        </w:numPr>
        <w:rPr>
          <w:noProof/>
        </w:rPr>
      </w:pPr>
      <w:r>
        <w:rPr>
          <w:noProof/>
        </w:rPr>
        <w:t>numele (de familie);</w:t>
      </w:r>
    </w:p>
    <w:p>
      <w:pPr>
        <w:pStyle w:val="Point3letter"/>
        <w:numPr>
          <w:ilvl w:val="7"/>
          <w:numId w:val="11"/>
        </w:numPr>
        <w:rPr>
          <w:noProof/>
        </w:rPr>
      </w:pPr>
      <w:r>
        <w:rPr>
          <w:noProof/>
        </w:rPr>
        <w:lastRenderedPageBreak/>
        <w:t>numele la naștere;</w:t>
      </w:r>
    </w:p>
    <w:p>
      <w:pPr>
        <w:pStyle w:val="Point3letter"/>
        <w:numPr>
          <w:ilvl w:val="7"/>
          <w:numId w:val="11"/>
        </w:numPr>
        <w:rPr>
          <w:noProof/>
        </w:rPr>
      </w:pPr>
      <w:r>
        <w:rPr>
          <w:noProof/>
        </w:rPr>
        <w:t>prenumele (numele de botez);</w:t>
      </w:r>
    </w:p>
    <w:p>
      <w:pPr>
        <w:pStyle w:val="Point3letter"/>
        <w:numPr>
          <w:ilvl w:val="7"/>
          <w:numId w:val="11"/>
        </w:numPr>
        <w:rPr>
          <w:noProof/>
        </w:rPr>
      </w:pPr>
      <w:r>
        <w:rPr>
          <w:noProof/>
        </w:rPr>
        <w:t>data nașterii;</w:t>
      </w:r>
    </w:p>
    <w:p>
      <w:pPr>
        <w:pStyle w:val="Point3letter"/>
        <w:numPr>
          <w:ilvl w:val="7"/>
          <w:numId w:val="11"/>
        </w:numPr>
        <w:rPr>
          <w:noProof/>
        </w:rPr>
      </w:pPr>
      <w:r>
        <w:rPr>
          <w:noProof/>
        </w:rPr>
        <w:t>locul nașterii;</w:t>
      </w:r>
    </w:p>
    <w:p>
      <w:pPr>
        <w:pStyle w:val="Point3letter"/>
        <w:numPr>
          <w:ilvl w:val="7"/>
          <w:numId w:val="11"/>
        </w:numPr>
        <w:rPr>
          <w:noProof/>
        </w:rPr>
      </w:pPr>
      <w:r>
        <w:rPr>
          <w:noProof/>
        </w:rPr>
        <w:t>sexul;</w:t>
      </w:r>
    </w:p>
    <w:p>
      <w:pPr>
        <w:pStyle w:val="Point3letter"/>
        <w:numPr>
          <w:ilvl w:val="7"/>
          <w:numId w:val="11"/>
        </w:numPr>
        <w:rPr>
          <w:noProof/>
        </w:rPr>
      </w:pPr>
      <w:r>
        <w:rPr>
          <w:noProof/>
        </w:rPr>
        <w:t>cetățenia actuală;</w:t>
      </w:r>
    </w:p>
    <w:p>
      <w:pPr>
        <w:pStyle w:val="Point3letter"/>
        <w:numPr>
          <w:ilvl w:val="7"/>
          <w:numId w:val="11"/>
        </w:numPr>
        <w:rPr>
          <w:noProof/>
        </w:rPr>
      </w:pPr>
      <w:r>
        <w:rPr>
          <w:noProof/>
        </w:rPr>
        <w:t>alte nume [pseudonim;</w:t>
      </w:r>
    </w:p>
    <w:p>
      <w:pPr>
        <w:pStyle w:val="Point3letter"/>
        <w:numPr>
          <w:ilvl w:val="7"/>
          <w:numId w:val="11"/>
        </w:numPr>
        <w:rPr>
          <w:noProof/>
        </w:rPr>
      </w:pPr>
      <w:r>
        <w:rPr>
          <w:noProof/>
        </w:rPr>
        <w:t>nume artistic(e);</w:t>
      </w:r>
    </w:p>
    <w:p>
      <w:pPr>
        <w:pStyle w:val="Point3letter"/>
        <w:numPr>
          <w:ilvl w:val="7"/>
          <w:numId w:val="11"/>
        </w:numPr>
        <w:rPr>
          <w:noProof/>
        </w:rPr>
      </w:pPr>
      <w:r>
        <w:rPr>
          <w:noProof/>
        </w:rPr>
        <w:t>nume uzual(e)];</w:t>
      </w:r>
    </w:p>
    <w:p>
      <w:pPr>
        <w:pStyle w:val="Point3letter"/>
        <w:numPr>
          <w:ilvl w:val="7"/>
          <w:numId w:val="11"/>
        </w:numPr>
        <w:rPr>
          <w:noProof/>
        </w:rPr>
      </w:pPr>
      <w:r>
        <w:rPr>
          <w:noProof/>
        </w:rPr>
        <w:t>alte cetățenii (dacă este cazul);</w:t>
      </w:r>
    </w:p>
    <w:p>
      <w:pPr>
        <w:pStyle w:val="Point3letter"/>
        <w:numPr>
          <w:ilvl w:val="7"/>
          <w:numId w:val="11"/>
        </w:numPr>
        <w:rPr>
          <w:noProof/>
        </w:rPr>
      </w:pPr>
      <w:r>
        <w:rPr>
          <w:noProof/>
        </w:rPr>
        <w:t>tipul, numărul și țara emitentă a documentului de călătorie;</w:t>
      </w:r>
    </w:p>
    <w:p>
      <w:pPr>
        <w:pStyle w:val="Point3letter"/>
        <w:numPr>
          <w:ilvl w:val="7"/>
          <w:numId w:val="11"/>
        </w:numPr>
        <w:rPr>
          <w:noProof/>
        </w:rPr>
      </w:pPr>
      <w:r>
        <w:rPr>
          <w:noProof/>
        </w:rPr>
        <w:t>în cazul minorilor, numele și prenumele autorității părintești sau ale tutorelui legal al solicitantului.</w:t>
      </w:r>
    </w:p>
    <w:p>
      <w:pPr>
        <w:pStyle w:val="Point2"/>
        <w:rPr>
          <w:noProof/>
        </w:rPr>
      </w:pPr>
      <w:r>
        <w:rPr>
          <w:noProof/>
        </w:rPr>
        <w:t>(5)    În scopul efectuării verificărilor menționate la articolul 20 alineatul (2) literele (a) și (d) și litera (m) punctul (i) și la articolul 23 alineatul (1), prelucrarea automată menționată la articolul 11 alineatul (1) permite sistemului central al ETIAS să efectueze interogări în SIS instituit prin Regulamentul (UE) 2018/1862 (cooperarea polițienească) cu următoarele date menționate la articolul 17 alineatul (2) literele (a)-(d) și la articolul 17 alineatul (2) litera (k):</w:t>
      </w:r>
    </w:p>
    <w:p>
      <w:pPr>
        <w:pStyle w:val="Point3letter"/>
        <w:numPr>
          <w:ilvl w:val="7"/>
          <w:numId w:val="14"/>
        </w:numPr>
        <w:rPr>
          <w:noProof/>
        </w:rPr>
      </w:pPr>
      <w:r>
        <w:rPr>
          <w:noProof/>
        </w:rPr>
        <w:t>numele (de familie);</w:t>
      </w:r>
    </w:p>
    <w:p>
      <w:pPr>
        <w:pStyle w:val="Point3letter"/>
        <w:numPr>
          <w:ilvl w:val="7"/>
          <w:numId w:val="6"/>
        </w:numPr>
        <w:rPr>
          <w:noProof/>
        </w:rPr>
      </w:pPr>
      <w:r>
        <w:rPr>
          <w:noProof/>
        </w:rPr>
        <w:t>numele la naștere;</w:t>
      </w:r>
    </w:p>
    <w:p>
      <w:pPr>
        <w:pStyle w:val="Point3letter"/>
        <w:numPr>
          <w:ilvl w:val="7"/>
          <w:numId w:val="6"/>
        </w:numPr>
        <w:rPr>
          <w:noProof/>
        </w:rPr>
      </w:pPr>
      <w:r>
        <w:rPr>
          <w:noProof/>
        </w:rPr>
        <w:t>prenumele (numele de botez);</w:t>
      </w:r>
    </w:p>
    <w:p>
      <w:pPr>
        <w:pStyle w:val="Point3letter"/>
        <w:numPr>
          <w:ilvl w:val="7"/>
          <w:numId w:val="6"/>
        </w:numPr>
        <w:rPr>
          <w:noProof/>
        </w:rPr>
      </w:pPr>
      <w:r>
        <w:rPr>
          <w:noProof/>
        </w:rPr>
        <w:t>data nașterii;</w:t>
      </w:r>
    </w:p>
    <w:p>
      <w:pPr>
        <w:pStyle w:val="Point3letter"/>
        <w:numPr>
          <w:ilvl w:val="7"/>
          <w:numId w:val="6"/>
        </w:numPr>
        <w:rPr>
          <w:noProof/>
        </w:rPr>
      </w:pPr>
      <w:r>
        <w:rPr>
          <w:noProof/>
        </w:rPr>
        <w:t>locul nașterii;</w:t>
      </w:r>
    </w:p>
    <w:p>
      <w:pPr>
        <w:pStyle w:val="Point3letter"/>
        <w:numPr>
          <w:ilvl w:val="7"/>
          <w:numId w:val="6"/>
        </w:numPr>
        <w:rPr>
          <w:noProof/>
        </w:rPr>
      </w:pPr>
      <w:r>
        <w:rPr>
          <w:noProof/>
        </w:rPr>
        <w:t>sexul;</w:t>
      </w:r>
    </w:p>
    <w:p>
      <w:pPr>
        <w:pStyle w:val="Point3letter"/>
        <w:numPr>
          <w:ilvl w:val="7"/>
          <w:numId w:val="6"/>
        </w:numPr>
        <w:rPr>
          <w:noProof/>
        </w:rPr>
      </w:pPr>
      <w:r>
        <w:rPr>
          <w:noProof/>
        </w:rPr>
        <w:t>cetățenia actuală;</w:t>
      </w:r>
    </w:p>
    <w:p>
      <w:pPr>
        <w:pStyle w:val="Point3letter"/>
        <w:numPr>
          <w:ilvl w:val="7"/>
          <w:numId w:val="11"/>
        </w:numPr>
        <w:rPr>
          <w:noProof/>
        </w:rPr>
      </w:pPr>
      <w:r>
        <w:rPr>
          <w:noProof/>
        </w:rPr>
        <w:t>alte nume [pseudonim;</w:t>
      </w:r>
    </w:p>
    <w:p>
      <w:pPr>
        <w:pStyle w:val="Point3letter"/>
        <w:numPr>
          <w:ilvl w:val="7"/>
          <w:numId w:val="11"/>
        </w:numPr>
        <w:rPr>
          <w:noProof/>
        </w:rPr>
      </w:pPr>
      <w:r>
        <w:rPr>
          <w:noProof/>
        </w:rPr>
        <w:t>nume artistic(e);</w:t>
      </w:r>
    </w:p>
    <w:p>
      <w:pPr>
        <w:pStyle w:val="Point3letter"/>
        <w:numPr>
          <w:ilvl w:val="7"/>
          <w:numId w:val="11"/>
        </w:numPr>
        <w:rPr>
          <w:noProof/>
        </w:rPr>
      </w:pPr>
      <w:r>
        <w:rPr>
          <w:noProof/>
        </w:rPr>
        <w:t>nume uzual(e)];</w:t>
      </w:r>
    </w:p>
    <w:p>
      <w:pPr>
        <w:pStyle w:val="Point3letter"/>
        <w:numPr>
          <w:ilvl w:val="7"/>
          <w:numId w:val="11"/>
        </w:numPr>
        <w:rPr>
          <w:noProof/>
        </w:rPr>
      </w:pPr>
      <w:r>
        <w:rPr>
          <w:noProof/>
        </w:rPr>
        <w:t>alte cetățenii (dacă este cazul);</w:t>
      </w:r>
    </w:p>
    <w:p>
      <w:pPr>
        <w:pStyle w:val="Point3letter"/>
        <w:numPr>
          <w:ilvl w:val="7"/>
          <w:numId w:val="11"/>
        </w:numPr>
        <w:rPr>
          <w:noProof/>
        </w:rPr>
      </w:pPr>
      <w:r>
        <w:rPr>
          <w:noProof/>
        </w:rPr>
        <w:t>tipul, numărul și țara emitentă a documentului de călătorie;</w:t>
      </w:r>
    </w:p>
    <w:p>
      <w:pPr>
        <w:pStyle w:val="Point3letter"/>
        <w:numPr>
          <w:ilvl w:val="7"/>
          <w:numId w:val="11"/>
        </w:numPr>
        <w:rPr>
          <w:noProof/>
        </w:rPr>
      </w:pPr>
      <w:r>
        <w:rPr>
          <w:noProof/>
        </w:rPr>
        <w:t>în cazul minorilor, numele și prenumele autorității părintești sau ale tutorelui legal al solicitantului.</w:t>
      </w:r>
    </w:p>
    <w:p>
      <w:pPr>
        <w:pStyle w:val="Point2"/>
        <w:rPr>
          <w:noProof/>
        </w:rPr>
      </w:pPr>
      <w:r>
        <w:rPr>
          <w:noProof/>
        </w:rPr>
        <w:t xml:space="preserve">(6)    În scopul efectuării verificărilor menționate la articolul 20 alineatul (2) litera (n), prelucrarea automată menționată la articolul 11 alineatul (1) permite sistemului central al ETIAS să efectueze interogări ale datelor ECRIS-TCN [din CIR], instituit prin [Regulamentul (UE) 2018/XXX], </w:t>
      </w:r>
      <w:r>
        <w:rPr>
          <w:noProof/>
          <w:spacing w:val="-4"/>
        </w:rPr>
        <w:t>cu următoarele date menționate la articolul 17 alineatul (2) literele (a)-(d):</w:t>
      </w:r>
    </w:p>
    <w:p>
      <w:pPr>
        <w:pStyle w:val="Point3letter"/>
        <w:numPr>
          <w:ilvl w:val="7"/>
          <w:numId w:val="15"/>
        </w:numPr>
        <w:rPr>
          <w:noProof/>
        </w:rPr>
      </w:pPr>
      <w:r>
        <w:rPr>
          <w:noProof/>
        </w:rPr>
        <w:lastRenderedPageBreak/>
        <w:t>numele (de familie);</w:t>
      </w:r>
    </w:p>
    <w:p>
      <w:pPr>
        <w:pStyle w:val="Point3letter"/>
        <w:numPr>
          <w:ilvl w:val="7"/>
          <w:numId w:val="6"/>
        </w:numPr>
        <w:tabs>
          <w:tab w:val="clear" w:pos="2551"/>
          <w:tab w:val="num" w:pos="2694"/>
        </w:tabs>
        <w:rPr>
          <w:noProof/>
        </w:rPr>
      </w:pPr>
      <w:r>
        <w:rPr>
          <w:noProof/>
        </w:rPr>
        <w:t>numele la naștere;</w:t>
      </w:r>
    </w:p>
    <w:p>
      <w:pPr>
        <w:pStyle w:val="Point3letter"/>
        <w:numPr>
          <w:ilvl w:val="7"/>
          <w:numId w:val="6"/>
        </w:numPr>
        <w:tabs>
          <w:tab w:val="clear" w:pos="2551"/>
          <w:tab w:val="num" w:pos="2694"/>
        </w:tabs>
        <w:rPr>
          <w:noProof/>
        </w:rPr>
      </w:pPr>
      <w:r>
        <w:rPr>
          <w:noProof/>
        </w:rPr>
        <w:t>prenumele (numele de botez);</w:t>
      </w:r>
    </w:p>
    <w:p>
      <w:pPr>
        <w:pStyle w:val="Point3letter"/>
        <w:numPr>
          <w:ilvl w:val="7"/>
          <w:numId w:val="6"/>
        </w:numPr>
        <w:tabs>
          <w:tab w:val="clear" w:pos="2551"/>
          <w:tab w:val="num" w:pos="2694"/>
        </w:tabs>
        <w:rPr>
          <w:noProof/>
        </w:rPr>
      </w:pPr>
      <w:r>
        <w:rPr>
          <w:noProof/>
        </w:rPr>
        <w:t>data nașterii;</w:t>
      </w:r>
    </w:p>
    <w:p>
      <w:pPr>
        <w:pStyle w:val="Point3letter"/>
        <w:numPr>
          <w:ilvl w:val="7"/>
          <w:numId w:val="6"/>
        </w:numPr>
        <w:tabs>
          <w:tab w:val="clear" w:pos="2551"/>
          <w:tab w:val="num" w:pos="2694"/>
        </w:tabs>
        <w:rPr>
          <w:noProof/>
        </w:rPr>
      </w:pPr>
      <w:r>
        <w:rPr>
          <w:noProof/>
        </w:rPr>
        <w:t>locul nașterii;</w:t>
      </w:r>
    </w:p>
    <w:p>
      <w:pPr>
        <w:pStyle w:val="Point3letter"/>
        <w:numPr>
          <w:ilvl w:val="7"/>
          <w:numId w:val="6"/>
        </w:numPr>
        <w:tabs>
          <w:tab w:val="clear" w:pos="2551"/>
          <w:tab w:val="num" w:pos="2694"/>
        </w:tabs>
        <w:rPr>
          <w:noProof/>
        </w:rPr>
      </w:pPr>
      <w:r>
        <w:rPr>
          <w:noProof/>
        </w:rPr>
        <w:t>sexul;</w:t>
      </w:r>
    </w:p>
    <w:p>
      <w:pPr>
        <w:pStyle w:val="Point3letter"/>
        <w:numPr>
          <w:ilvl w:val="7"/>
          <w:numId w:val="6"/>
        </w:numPr>
        <w:tabs>
          <w:tab w:val="clear" w:pos="2551"/>
          <w:tab w:val="num" w:pos="2694"/>
        </w:tabs>
        <w:rPr>
          <w:noProof/>
        </w:rPr>
      </w:pPr>
      <w:r>
        <w:rPr>
          <w:noProof/>
        </w:rPr>
        <w:t>cetățenia actuală;</w:t>
      </w:r>
    </w:p>
    <w:p>
      <w:pPr>
        <w:pStyle w:val="Point3letter"/>
        <w:numPr>
          <w:ilvl w:val="7"/>
          <w:numId w:val="11"/>
        </w:numPr>
        <w:tabs>
          <w:tab w:val="clear" w:pos="2551"/>
          <w:tab w:val="num" w:pos="2694"/>
        </w:tabs>
        <w:rPr>
          <w:noProof/>
        </w:rPr>
      </w:pPr>
      <w:r>
        <w:rPr>
          <w:noProof/>
        </w:rPr>
        <w:t>alte nume [pseudonim;</w:t>
      </w:r>
    </w:p>
    <w:p>
      <w:pPr>
        <w:pStyle w:val="Point3letter"/>
        <w:numPr>
          <w:ilvl w:val="7"/>
          <w:numId w:val="11"/>
        </w:numPr>
        <w:tabs>
          <w:tab w:val="clear" w:pos="2551"/>
          <w:tab w:val="num" w:pos="2694"/>
        </w:tabs>
        <w:rPr>
          <w:noProof/>
        </w:rPr>
      </w:pPr>
      <w:r>
        <w:rPr>
          <w:noProof/>
        </w:rPr>
        <w:t>nume artistic(e);</w:t>
      </w:r>
    </w:p>
    <w:p>
      <w:pPr>
        <w:pStyle w:val="Point3letter"/>
        <w:numPr>
          <w:ilvl w:val="7"/>
          <w:numId w:val="11"/>
        </w:numPr>
        <w:tabs>
          <w:tab w:val="clear" w:pos="2551"/>
          <w:tab w:val="num" w:pos="2694"/>
        </w:tabs>
        <w:rPr>
          <w:noProof/>
        </w:rPr>
      </w:pPr>
      <w:r>
        <w:rPr>
          <w:noProof/>
        </w:rPr>
        <w:t xml:space="preserve">nume uzual(e)]; </w:t>
      </w:r>
    </w:p>
    <w:p>
      <w:pPr>
        <w:pStyle w:val="Point3letter"/>
        <w:numPr>
          <w:ilvl w:val="7"/>
          <w:numId w:val="11"/>
        </w:numPr>
        <w:tabs>
          <w:tab w:val="clear" w:pos="2551"/>
          <w:tab w:val="num" w:pos="2694"/>
        </w:tabs>
        <w:rPr>
          <w:noProof/>
        </w:rPr>
      </w:pPr>
      <w:r>
        <w:rPr>
          <w:noProof/>
        </w:rPr>
        <w:t xml:space="preserve">alte cetățenii (dacă este cazul); </w:t>
      </w:r>
    </w:p>
    <w:p>
      <w:pPr>
        <w:pStyle w:val="Point3letter"/>
        <w:numPr>
          <w:ilvl w:val="7"/>
          <w:numId w:val="11"/>
        </w:numPr>
        <w:tabs>
          <w:tab w:val="clear" w:pos="2551"/>
          <w:tab w:val="num" w:pos="2694"/>
        </w:tabs>
        <w:rPr>
          <w:noProof/>
        </w:rPr>
      </w:pPr>
      <w:r>
        <w:rPr>
          <w:noProof/>
        </w:rPr>
        <w:t>tipul, numărul și țara emitentă a documentului de călătorie;</w:t>
      </w:r>
    </w:p>
    <w:p>
      <w:pPr>
        <w:pStyle w:val="Point2"/>
        <w:rPr>
          <w:noProof/>
        </w:rPr>
      </w:pPr>
      <w:r>
        <w:rPr>
          <w:noProof/>
        </w:rPr>
        <w:t>(7)</w:t>
      </w:r>
      <w:r>
        <w:rPr>
          <w:noProof/>
        </w:rPr>
        <w:tab/>
        <w:t>În scopul efectuării verificărilor menționate la articolul 20 alineatul (2) litera (j), prelucrarea automată menționată la articolul 11 alineatul (1) permite sistemului central al ETIAS să efectueze interogări ale datelor Europol cu datele menționate la articolul 17 alineatul (2), astfel cum se prevede la articolul 20 alineatul (2) din prezentul regulament.</w:t>
      </w:r>
    </w:p>
    <w:p>
      <w:pPr>
        <w:pStyle w:val="Point2"/>
        <w:rPr>
          <w:noProof/>
        </w:rPr>
      </w:pPr>
      <w:r>
        <w:rPr>
          <w:noProof/>
        </w:rPr>
        <w:t xml:space="preserve">(8) </w:t>
      </w:r>
      <w:r>
        <w:rPr>
          <w:noProof/>
        </w:rPr>
        <w:tab/>
        <w:t>Atunci când sunt identificate răspunsuri pozitive, instrumentul menționat la articolul 11 pune temporar la dispoziția unității centrale a ETIAS rezultatele din dosarul de cerere până la încheierea prelucrării manuale efectuate în temeiul articolului 22 alineatul (2) și al articolului 23 alineatul (2). În cazul în care datele puse la dispoziție corespund cu cele ale solicitantului sau în cazul în care există îndoieli, în dosarul de cerere se păstrează codul unic de identificare a datelor care au generat un răspuns pozitiv.</w:t>
      </w:r>
    </w:p>
    <w:p>
      <w:pPr>
        <w:pStyle w:val="Point2"/>
        <w:ind w:firstLine="0"/>
        <w:rPr>
          <w:noProof/>
        </w:rPr>
      </w:pPr>
      <w:r>
        <w:rPr>
          <w:noProof/>
        </w:rPr>
        <w:t>Atunci când sunt identificate răspunsuri pozitive, în temeiul prezentului alineat, prelucrarea automată primește notificarea corespunzătoare în conformitate cu articolul 21 alineatul (1a) din Regulamentul (UE) 2016/794.</w:t>
      </w:r>
    </w:p>
    <w:p>
      <w:pPr>
        <w:pStyle w:val="Point2"/>
        <w:rPr>
          <w:noProof/>
        </w:rPr>
      </w:pPr>
      <w:r>
        <w:rPr>
          <w:noProof/>
        </w:rPr>
        <w:t xml:space="preserve">(9) </w:t>
      </w:r>
      <w:r>
        <w:rPr>
          <w:noProof/>
        </w:rPr>
        <w:tab/>
        <w:t>Se obține un răspuns pozitiv atunci când toate datele sau unele dintre datele din dosarul de cerere din ETIAS care sunt utilizate pentru interogare corespund în totalitate sau parțial datelor existente într-o fișă, într-o alertă sau într-un dosar din celelalte sisteme de informații ale UE consultate. Prin intermediul unui act de punere în aplicare, Comisia definește corespondența parțială, inclusiv gradul de probabilitate.</w:t>
      </w:r>
    </w:p>
    <w:p>
      <w:pPr>
        <w:pStyle w:val="Point2"/>
        <w:rPr>
          <w:noProof/>
        </w:rPr>
      </w:pPr>
      <w:r>
        <w:rPr>
          <w:noProof/>
        </w:rPr>
        <w:t>(10)   În sensul alineatului (1), Comisia definește, prin intermediul unui act de punere în aplicare, modalitățile tehnice de punere în aplicare a articolului 24 alineatul (6) litera (c) punctul (ii) și a articolului 54 alineatul (1) litera (b) în ceea ce privește păstrarea datelor.</w:t>
      </w:r>
    </w:p>
    <w:p>
      <w:pPr>
        <w:pStyle w:val="Point2"/>
        <w:rPr>
          <w:noProof/>
        </w:rPr>
      </w:pPr>
      <w:r>
        <w:rPr>
          <w:noProof/>
        </w:rPr>
        <w:t xml:space="preserve">(11)   În sensul articolului 25 alineatul (2), al articolului 28 alineatul (8) și al articolului 29 alineatul (9), atunci când datele referitoare la răspunsurile pozitive sunt înregistrate în dosarul de cerere al ETIAS, se indică originea datelor. Aceasta include tipul alertei, cu excepția alertelor </w:t>
      </w:r>
      <w:r>
        <w:rPr>
          <w:noProof/>
        </w:rPr>
        <w:lastRenderedPageBreak/>
        <w:t>prevăzute la articolul 23 alineatul (1), sursa datelor (unul dintre celelalte sisteme de informații ale UE sau datele Europol), numărul unic de identificare utilizat în sursa datelor care a generat răspunsul pozitiv, precum și statul membru care a introdus sau a furnizat datele care au generat răspunsul pozitiv și, dacă sunt disponibile, data și ora la care datele au fost introduse în celelalte sisteme de informații ale UE sau în datele Europol.</w:t>
      </w:r>
    </w:p>
    <w:p>
      <w:pPr>
        <w:pStyle w:val="Point2"/>
        <w:rPr>
          <w:noProof/>
        </w:rPr>
      </w:pPr>
      <w:r>
        <w:rPr>
          <w:noProof/>
        </w:rPr>
        <w:t>____________</w:t>
      </w:r>
    </w:p>
    <w:p>
      <w:pPr>
        <w:pStyle w:val="Point2"/>
        <w:spacing w:after="0"/>
        <w:rPr>
          <w:noProof/>
        </w:rPr>
      </w:pPr>
      <w:r>
        <w:rPr>
          <w:noProof/>
        </w:rPr>
        <w:t xml:space="preserve">* </w:t>
      </w:r>
      <w:r>
        <w:rPr>
          <w:noProof/>
        </w:rPr>
        <w:tab/>
        <w:t>Regulamentul (CE) nr. 767/2008 al Parlamentului European și al Consiliului din 9 iulie 2008 privind Sistemul de informații privind vizele (VIS) și schimbul de date între statele membre cu privire la vizele de scurtă ședere (Regulamentul VIS) (JO L 218, 13.8.2008, p. 60).”</w:t>
      </w:r>
    </w:p>
    <w:p>
      <w:pPr>
        <w:pStyle w:val="Titrearticle"/>
        <w:spacing w:before="0" w:after="0"/>
        <w:rPr>
          <w:noProof/>
        </w:rPr>
      </w:pPr>
    </w:p>
    <w:p>
      <w:pPr>
        <w:pStyle w:val="Point0number"/>
        <w:spacing w:before="0"/>
        <w:rPr>
          <w:noProof/>
        </w:rPr>
      </w:pPr>
      <w:r>
        <w:rPr>
          <w:noProof/>
        </w:rPr>
        <w:t>Se introduce următorul articol:</w:t>
      </w:r>
    </w:p>
    <w:p>
      <w:pPr>
        <w:pStyle w:val="Titrearticle"/>
        <w:spacing w:before="0" w:after="0"/>
        <w:rPr>
          <w:b/>
          <w:noProof/>
        </w:rPr>
      </w:pPr>
      <w:r>
        <w:rPr>
          <w:noProof/>
        </w:rPr>
        <w:t>„Articolul 11a</w:t>
      </w:r>
      <w:r>
        <w:rPr>
          <w:noProof/>
        </w:rPr>
        <w:br/>
      </w:r>
      <w:r>
        <w:rPr>
          <w:b/>
          <w:noProof/>
        </w:rPr>
        <w:t>Sprijinirea obiectivelor EES</w:t>
      </w:r>
    </w:p>
    <w:p>
      <w:pPr>
        <w:pStyle w:val="Point0"/>
        <w:spacing w:before="0" w:after="0"/>
        <w:ind w:left="0" w:firstLine="0"/>
        <w:rPr>
          <w:noProof/>
        </w:rPr>
      </w:pPr>
    </w:p>
    <w:p>
      <w:pPr>
        <w:pStyle w:val="Point0"/>
        <w:spacing w:before="0" w:after="0"/>
        <w:ind w:left="0" w:firstLine="0"/>
        <w:rPr>
          <w:noProof/>
        </w:rPr>
      </w:pPr>
      <w:r>
        <w:rPr>
          <w:noProof/>
        </w:rPr>
        <w:t>În sensul articolelor 6, 14 și 17 din Regulamentul (UE) 2017/2226, un proces automat, care utilizează infrastructura de comunicații securizată prevăzută la articolul 6 alineatul (2) litera (d) din prezentul regulament, efectuează interogări în sistemul central al ETIAS și importă din acest sistem informațiile menționate la articolul 47 alineatul (2) din prezentul regulament, precum și numărul cererii și sfârșitul perioadei de valabilitate a unei autorizații de călătorie ETIAS și actualizează în consecință fișa de intrare/ieșire în EES.”</w:t>
      </w:r>
    </w:p>
    <w:p>
      <w:pPr>
        <w:pStyle w:val="Point0"/>
        <w:spacing w:before="0" w:after="0"/>
        <w:ind w:left="0" w:firstLine="0"/>
        <w:rPr>
          <w:noProof/>
        </w:rPr>
      </w:pPr>
    </w:p>
    <w:p>
      <w:pPr>
        <w:pStyle w:val="Point0number"/>
        <w:spacing w:before="0"/>
        <w:rPr>
          <w:noProof/>
        </w:rPr>
      </w:pPr>
      <w:r>
        <w:rPr>
          <w:noProof/>
        </w:rPr>
        <w:t>La articolul 12, paragraful unic se numerotează ca alineatul (1), după care se adaugă următorul alineat:</w:t>
      </w:r>
    </w:p>
    <w:p>
      <w:pPr>
        <w:spacing w:after="0"/>
        <w:ind w:left="1418" w:hanging="567"/>
        <w:rPr>
          <w:noProof/>
        </w:rPr>
      </w:pPr>
      <w:r>
        <w:rPr>
          <w:noProof/>
        </w:rPr>
        <w:t>„(2)   În sensul alineatului (1), Uniunea Europeană și Interpol urmează să convină asupra unui acord de cooperare. Acest acord de cooperare prevede modalitățile de efectuare a schimbului de informații și garanții pentru protecția datelor cu caracter personal.”</w:t>
      </w:r>
    </w:p>
    <w:p>
      <w:pPr>
        <w:spacing w:before="0" w:after="0"/>
        <w:ind w:left="993" w:hanging="284"/>
        <w:rPr>
          <w:noProof/>
        </w:rPr>
      </w:pPr>
    </w:p>
    <w:p>
      <w:pPr>
        <w:pStyle w:val="Point0number"/>
        <w:spacing w:before="0"/>
        <w:rPr>
          <w:noProof/>
        </w:rPr>
      </w:pPr>
      <w:r>
        <w:rPr>
          <w:noProof/>
        </w:rPr>
        <w:t>La articolul 20 alineatul (2), se adaugă următoarea literă:</w:t>
      </w:r>
    </w:p>
    <w:p>
      <w:pPr>
        <w:pStyle w:val="Point1"/>
        <w:spacing w:after="0"/>
        <w:rPr>
          <w:noProof/>
        </w:rPr>
      </w:pPr>
      <w:r>
        <w:rPr>
          <w:noProof/>
        </w:rPr>
        <w:t xml:space="preserve">„(n) </w:t>
      </w:r>
      <w:r>
        <w:rPr>
          <w:noProof/>
        </w:rPr>
        <w:tab/>
        <w:t>dacă solicitantul corespunde unei persoane ale cărei date sunt înregistrate în ECRIS-TCN pentru infracțiuni de terorism și alte infracțiuni grave;”</w:t>
      </w:r>
    </w:p>
    <w:p>
      <w:pPr>
        <w:pStyle w:val="Point1"/>
        <w:spacing w:before="0" w:after="0"/>
        <w:rPr>
          <w:noProof/>
        </w:rPr>
      </w:pPr>
    </w:p>
    <w:p>
      <w:pPr>
        <w:pStyle w:val="Point0number"/>
        <w:spacing w:before="0"/>
        <w:rPr>
          <w:noProof/>
        </w:rPr>
      </w:pPr>
      <w:r>
        <w:rPr>
          <w:noProof/>
        </w:rPr>
        <w:t>La articolul 22 se adaugă următorul alineat:</w:t>
      </w:r>
    </w:p>
    <w:p>
      <w:pPr>
        <w:pStyle w:val="Point1"/>
        <w:spacing w:after="0"/>
        <w:rPr>
          <w:noProof/>
        </w:rPr>
      </w:pPr>
      <w:r>
        <w:rPr>
          <w:noProof/>
        </w:rPr>
        <w:t>„(7)  Sistemul de informații al ETIAS ține evidența tuturor operațiunilor de prelucrare a datelor desfășurate pentru evaluările realizate în temeiul alineatelor (1)-(6) de unitatea centrală a ETIAS. Evidențele respective sunt create și introduse în mod automat în dosarul de cerere. Acestea indică data și ora fiecărei operațiuni, datele legate de răspunsul pozitiv primit, membrul personalului care a efectuat prelucrarea manuală în temeiul alineatelor (1)-(6), precum și rezultatul verificării și justificarea corespunzătoare.”</w:t>
      </w:r>
    </w:p>
    <w:p>
      <w:pPr>
        <w:pStyle w:val="Point1"/>
        <w:spacing w:before="0" w:after="0"/>
        <w:rPr>
          <w:noProof/>
        </w:rPr>
      </w:pPr>
    </w:p>
    <w:p>
      <w:pPr>
        <w:pStyle w:val="Point0number"/>
        <w:spacing w:before="0"/>
        <w:rPr>
          <w:i/>
          <w:iCs/>
          <w:noProof/>
        </w:rPr>
      </w:pPr>
      <w:r>
        <w:rPr>
          <w:noProof/>
        </w:rPr>
        <w:t>Articolul 23 se modifică după cum urmează:</w:t>
      </w:r>
    </w:p>
    <w:p>
      <w:pPr>
        <w:pStyle w:val="Point1letter"/>
        <w:rPr>
          <w:noProof/>
        </w:rPr>
      </w:pPr>
      <w:r>
        <w:rPr>
          <w:noProof/>
        </w:rPr>
        <w:t>la alineatul (1), litera (c) se înlocuiește cu următorul text:</w:t>
      </w:r>
    </w:p>
    <w:p>
      <w:pPr>
        <w:pStyle w:val="Point2"/>
        <w:rPr>
          <w:noProof/>
        </w:rPr>
      </w:pPr>
      <w:r>
        <w:rPr>
          <w:noProof/>
        </w:rPr>
        <w:lastRenderedPageBreak/>
        <w:t>„(c) o alertă privind persoanele în scopul efectuării de controale discrete, de controale prin interviu sau de controale specifice.”;</w:t>
      </w:r>
    </w:p>
    <w:p>
      <w:pPr>
        <w:pStyle w:val="Point1letter"/>
        <w:rPr>
          <w:iCs/>
          <w:noProof/>
        </w:rPr>
      </w:pPr>
      <w:r>
        <w:rPr>
          <w:noProof/>
        </w:rPr>
        <w:t>alineatul (2) se înlocuiește cu următorul text:</w:t>
      </w:r>
    </w:p>
    <w:p>
      <w:pPr>
        <w:pStyle w:val="Point2"/>
        <w:ind w:left="1418"/>
        <w:rPr>
          <w:i/>
          <w:iCs/>
          <w:noProof/>
        </w:rPr>
      </w:pPr>
      <w:r>
        <w:rPr>
          <w:noProof/>
        </w:rPr>
        <w:t>„(2)    În cazul în care comparația menționată la alineatul (1) indică unul sau mai multe răspunsuri pozitive, sistemul central al ETIAS transmite o notificare automată unității centrale a ETIAS. La primirea notificării, unitatea centrală a ETIAS are acces la dosarul de cerere și la orice dosare de cerere conexe pentru a verifica dacă datele cu caracter personal ale solicitantului corespund datelor cu caracter personal incluse în alerta care a generat acel răspuns pozitiv, iar, dacă se confirmă că datele corespund, sistemul central al ETIAS transmite o notificare automată către biroul SIRENE din statul membru care a introdus alerta. Biroul SIRENE în cauză verifică în continuare dacă datele cu caracter personal ale solicitantului corespund datelor cu caracter personal conținute în alerta care a generat răspunsul pozitiv și ia măsurile care se impun.”;</w:t>
      </w:r>
    </w:p>
    <w:p>
      <w:pPr>
        <w:pStyle w:val="Point1letter"/>
        <w:rPr>
          <w:noProof/>
        </w:rPr>
      </w:pPr>
      <w:r>
        <w:rPr>
          <w:noProof/>
        </w:rPr>
        <w:t>se adaugă următorul alineat:</w:t>
      </w:r>
    </w:p>
    <w:p>
      <w:pPr>
        <w:pStyle w:val="Point2"/>
        <w:spacing w:before="0" w:after="0"/>
        <w:ind w:left="1418"/>
        <w:rPr>
          <w:noProof/>
        </w:rPr>
      </w:pPr>
      <w:r>
        <w:rPr>
          <w:noProof/>
        </w:rPr>
        <w:t>„(5)  Sistemul de informații al ETIAS ține evidența tuturor operațiunilor de prelucrare a datelor desfășurate pentru evaluările realizate în temeiul alineatelor (1)-(4) de unitatea centrală a ETIAS. Evidențele respective sunt create și introduse în mod automat în dosarul de cerere. Acestea indică data și ora fiecărei operațiuni, datele legate de răspunsul pozitiv primit, membrul personalului unității centrale care a efectuat prelucrarea manuală în temeiul alineatelor (1)-(4), precum și rezultatul verificării și justificarea corespunzătoare.”</w:t>
      </w: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0number"/>
        <w:spacing w:before="0"/>
        <w:rPr>
          <w:noProof/>
        </w:rPr>
      </w:pPr>
      <w:r>
        <w:rPr>
          <w:noProof/>
        </w:rPr>
        <w:t>Se introduce următorul articol:</w:t>
      </w:r>
    </w:p>
    <w:p>
      <w:pPr>
        <w:pStyle w:val="Titrearticle"/>
        <w:rPr>
          <w:b/>
          <w:bCs/>
          <w:noProof/>
        </w:rPr>
      </w:pPr>
      <w:r>
        <w:rPr>
          <w:noProof/>
        </w:rPr>
        <w:t>„Articolul 25a</w:t>
      </w:r>
      <w:r>
        <w:rPr>
          <w:noProof/>
        </w:rPr>
        <w:br/>
      </w:r>
      <w:r>
        <w:rPr>
          <w:b/>
          <w:noProof/>
        </w:rPr>
        <w:t>Utilizarea altor sisteme de informații ale UE pentru prelucrarea manuală a cererilor de către unitățile naționale ale ETIAS</w:t>
      </w:r>
    </w:p>
    <w:p>
      <w:pPr>
        <w:autoSpaceDE w:val="0"/>
        <w:autoSpaceDN w:val="0"/>
        <w:adjustRightInd w:val="0"/>
        <w:spacing w:before="0" w:after="0"/>
        <w:ind w:left="1418" w:hanging="1418"/>
        <w:rPr>
          <w:b/>
          <w:noProof/>
          <w:u w:val="single"/>
        </w:rPr>
      </w:pPr>
    </w:p>
    <w:p>
      <w:pPr>
        <w:pStyle w:val="Point2"/>
        <w:ind w:left="851" w:hanging="568"/>
        <w:rPr>
          <w:noProof/>
        </w:rPr>
      </w:pPr>
      <w:r>
        <w:rPr>
          <w:noProof/>
        </w:rPr>
        <w:t xml:space="preserve">(1)  </w:t>
      </w:r>
      <w:r>
        <w:rPr>
          <w:noProof/>
        </w:rPr>
        <w:tab/>
        <w:t>Fără a aduce atingere articolului 13 alineatul (1) din prezentul regulament, unitățile naționale ale ETIAS au acces direct la celelalte sisteme de informații ale UE și le pot consulta, într-un format care permite numai citirea, în scopul examinării cererilor de autorizații de călătorie și al adoptării deciziilor referitoare la cererile respective, în conformitate cu articolul 26 din prezentul regulament. Unitățile naționale ale ETIAS pot consulta datele menționate în următoarele dispoziții:</w:t>
      </w:r>
    </w:p>
    <w:p>
      <w:pPr>
        <w:pStyle w:val="Point1letter"/>
        <w:rPr>
          <w:noProof/>
        </w:rPr>
      </w:pPr>
      <w:r>
        <w:rPr>
          <w:noProof/>
        </w:rPr>
        <w:t>articolele 16-18 din Regulamentul (UE) 2017/2226;</w:t>
      </w:r>
    </w:p>
    <w:p>
      <w:pPr>
        <w:pStyle w:val="Point1letter"/>
        <w:rPr>
          <w:noProof/>
        </w:rPr>
      </w:pPr>
      <w:r>
        <w:rPr>
          <w:noProof/>
        </w:rPr>
        <w:t>articolele 9-14 din Regulamentul (CE) nr. 767/2008;</w:t>
      </w:r>
    </w:p>
    <w:p>
      <w:pPr>
        <w:pStyle w:val="Point1letter"/>
        <w:rPr>
          <w:noProof/>
        </w:rPr>
      </w:pPr>
      <w:r>
        <w:rPr>
          <w:noProof/>
        </w:rPr>
        <w:t>articolele 24 și 25 din Regulamentul (UE) 2018/1861 (verificări la frontiere);</w:t>
      </w:r>
    </w:p>
    <w:p>
      <w:pPr>
        <w:pStyle w:val="Point1letter"/>
        <w:rPr>
          <w:noProof/>
        </w:rPr>
      </w:pPr>
      <w:r>
        <w:rPr>
          <w:noProof/>
        </w:rPr>
        <w:t>articolele 26, 32, 34, 36 și articolul 38 alineatul (2) literele (k) și (l) din Regulamentul (UE) 2018/1862 (cooperarea polițienească).</w:t>
      </w:r>
    </w:p>
    <w:p>
      <w:pPr>
        <w:pStyle w:val="Point2"/>
        <w:spacing w:before="0" w:after="0"/>
        <w:ind w:left="851"/>
        <w:rPr>
          <w:noProof/>
        </w:rPr>
      </w:pPr>
      <w:r>
        <w:rPr>
          <w:noProof/>
        </w:rPr>
        <w:lastRenderedPageBreak/>
        <w:t>(2)</w:t>
      </w:r>
      <w:r>
        <w:rPr>
          <w:noProof/>
        </w:rPr>
        <w:tab/>
        <w:t>Unitățile naționale ale ETIAS au, de asemenea, acces la registrele naționale ale cazierelor judiciare pentru a obține informații privind resortisanții unei țări terțe și apatrizii condamnați pentru o infracțiune de terorism sau pentru o altă infracțiune gravă, în scopurile menționate la alineatul (1).”</w:t>
      </w:r>
    </w:p>
    <w:p>
      <w:pPr>
        <w:pStyle w:val="Point2"/>
        <w:spacing w:before="0" w:after="0"/>
        <w:ind w:left="851"/>
        <w:rPr>
          <w:noProof/>
        </w:rPr>
      </w:pPr>
    </w:p>
    <w:p>
      <w:pPr>
        <w:pStyle w:val="Point0number"/>
        <w:spacing w:before="0"/>
        <w:rPr>
          <w:noProof/>
        </w:rPr>
      </w:pPr>
      <w:r>
        <w:rPr>
          <w:noProof/>
        </w:rPr>
        <w:t>La articolul 26 alineatul (3), litera (b) se înlocuiește cu următorul text:</w:t>
      </w:r>
    </w:p>
    <w:p>
      <w:pPr>
        <w:pStyle w:val="Point1"/>
        <w:spacing w:before="0" w:after="0"/>
        <w:ind w:left="1418" w:hanging="568"/>
        <w:rPr>
          <w:noProof/>
        </w:rPr>
      </w:pPr>
      <w:r>
        <w:rPr>
          <w:noProof/>
        </w:rPr>
        <w:t>„(b) evaluează riscurile în materie de securitate sau de imigrație ilegală și decide dacă să elibereze sau să refuze autorizația de călătorie, în cazul în care răspunsul pozitiv corespunde uneia sau mai multor verificări menționate la articolul 20 alineatul (2) litera (b) și literele (d)-(n).”</w:t>
      </w:r>
    </w:p>
    <w:p>
      <w:pPr>
        <w:pStyle w:val="Point1"/>
        <w:spacing w:before="0" w:after="0"/>
        <w:ind w:left="0" w:firstLine="0"/>
        <w:rPr>
          <w:noProof/>
        </w:rPr>
      </w:pPr>
    </w:p>
    <w:p>
      <w:pPr>
        <w:pStyle w:val="Point0number"/>
        <w:spacing w:before="0"/>
        <w:rPr>
          <w:noProof/>
        </w:rPr>
      </w:pPr>
      <w:r>
        <w:rPr>
          <w:noProof/>
        </w:rPr>
        <w:t>La articolul 41, alineatul (3) se înlocuiește cu următorul text:</w:t>
      </w:r>
    </w:p>
    <w:p>
      <w:pPr>
        <w:pStyle w:val="Point1"/>
        <w:spacing w:before="0" w:after="0"/>
        <w:ind w:left="1418" w:hanging="568"/>
        <w:rPr>
          <w:noProof/>
        </w:rPr>
      </w:pPr>
      <w:r>
        <w:rPr>
          <w:noProof/>
        </w:rPr>
        <w:t>„(3)    Fără a aduce atingere alineatului (2), în cazul în care în SIS se raportează o nouă alertă privind refuzul intrării și al șederii sau privind declararea pierderii, furtului, deținerii fără drept sau a anulării unui document de călătorie, SIS informează sistemul central al ETIAS. Sistemul central al ETIAS verifică dacă această nouă alertă corespunde unei autorizații de călătorie valabile. În caz afirmativ, sistemul central al ETIAS transferă dosarul de cerere unității naționale a ETIAS din statul membru care a introdus alerta. În cazul în care s-a raportat o nouă alertă privind refuzul intrării și al șederii, unitatea națională a ETIAS revocă autorizația de călătorie. În cazul în care autorizația de călătorie este legată de un document de călătorie declarat pierdut, furat, deținut fără drept sau anulat în SIS sau în SLTD, unitatea națională a ETIAS prelucrează manual dosarul de cerere.”</w:t>
      </w:r>
    </w:p>
    <w:p>
      <w:pPr>
        <w:pStyle w:val="Point1"/>
        <w:spacing w:before="0" w:after="0"/>
        <w:ind w:left="0" w:firstLine="0"/>
        <w:rPr>
          <w:noProof/>
        </w:rPr>
      </w:pPr>
    </w:p>
    <w:p>
      <w:pPr>
        <w:pStyle w:val="Point0number"/>
        <w:spacing w:before="0"/>
        <w:rPr>
          <w:noProof/>
        </w:rPr>
      </w:pPr>
      <w:r>
        <w:rPr>
          <w:noProof/>
        </w:rPr>
        <w:t>Articolul 88 se modifică după cum urmează:</w:t>
      </w:r>
    </w:p>
    <w:p>
      <w:pPr>
        <w:pStyle w:val="Point1letter"/>
        <w:rPr>
          <w:noProof/>
        </w:rPr>
      </w:pPr>
      <w:r>
        <w:rPr>
          <w:noProof/>
        </w:rPr>
        <w:t>la alineatul (1), litera (a) se înlocuiește cu următorul text:</w:t>
      </w:r>
    </w:p>
    <w:p>
      <w:pPr>
        <w:pStyle w:val="Point1"/>
        <w:rPr>
          <w:noProof/>
        </w:rPr>
      </w:pPr>
      <w:r>
        <w:rPr>
          <w:noProof/>
        </w:rPr>
        <w:t>„(a) au intrat în vigoare modificările necesare ale actelor juridice de instituire a sistemelor de informații ale UE menționate la articolul 11, prin care se stabilește interoperabilitatea acestora, în sensul articolului 11 din prezentul regulament, cu sistemul de informații al ETIAS, cu excepția reformării Eurodac;”;</w:t>
      </w:r>
    </w:p>
    <w:p>
      <w:pPr>
        <w:pStyle w:val="Point1letter"/>
        <w:rPr>
          <w:noProof/>
        </w:rPr>
      </w:pPr>
      <w:r>
        <w:rPr>
          <w:noProof/>
        </w:rPr>
        <w:t>litera (d) se înlocuiește cu următorul text:</w:t>
      </w:r>
    </w:p>
    <w:p>
      <w:pPr>
        <w:pStyle w:val="Point2"/>
        <w:ind w:left="1418"/>
        <w:rPr>
          <w:noProof/>
        </w:rPr>
      </w:pPr>
      <w:r>
        <w:rPr>
          <w:noProof/>
        </w:rPr>
        <w:t>„(d) au fost adoptate măsurile menționate la articolul 11 alineatele (8) și (9), articolul 15 alineatul (5), articolul 17 alineatele (3), (5) și (6), articolul 18 alineatul (4), articolul 27 alineatele (3) și (5), articolul 33 alineatele (2) și (3), articolul 36 alineatul (3), articolul 38 alineatul (3), articolul 39 alineatul (2), articolul 45 alineatul (3), articolul 46 alineatul (4), articolul 48 alineatul (4), articolul 59 alineatul (4), articolul 73 alineatul (3) litera (b), articolul 83 alineatele (1), (3) și (4) și articolul 85 alineatul (3);”;</w:t>
      </w:r>
    </w:p>
    <w:p>
      <w:pPr>
        <w:pStyle w:val="Point1letter"/>
        <w:rPr>
          <w:noProof/>
        </w:rPr>
      </w:pPr>
      <w:r>
        <w:rPr>
          <w:noProof/>
        </w:rPr>
        <w:t>se adaugă următoarele alineate:</w:t>
      </w:r>
    </w:p>
    <w:p>
      <w:pPr>
        <w:pStyle w:val="Point2"/>
        <w:ind w:left="1418" w:hanging="426"/>
        <w:rPr>
          <w:noProof/>
        </w:rPr>
      </w:pPr>
      <w:r>
        <w:rPr>
          <w:noProof/>
        </w:rPr>
        <w:t>„(6) Interoperabilitatea, menționată la articolul 11, cu sistemul ECRIS-TCN începe odată cu începerea funcționării [CIR], programată să aibă loc în 2022. ETIAS începe să funcționeze indiferent dacă este instituită sau nu interoperabilitatea cu sistemul ECRIS-TCN.</w:t>
      </w:r>
    </w:p>
    <w:p>
      <w:pPr>
        <w:pStyle w:val="Point2"/>
        <w:spacing w:before="0" w:after="0"/>
        <w:ind w:left="1418" w:hanging="426"/>
        <w:rPr>
          <w:noProof/>
        </w:rPr>
      </w:pPr>
      <w:r>
        <w:rPr>
          <w:noProof/>
        </w:rPr>
        <w:t xml:space="preserve"> (7)  ETIAS începe să funcționeze indiferent dacă a fost încheiat sau nu un acord de cooperare între Uniunea Europeană și Interpol, astfel cum este menționat la </w:t>
      </w:r>
      <w:r>
        <w:rPr>
          <w:noProof/>
        </w:rPr>
        <w:lastRenderedPageBreak/>
        <w:t>articolul 12 alineatul (2), și indiferent dacă este posibilă sau nu interogarea bazelor de date ale Interpol.”</w:t>
      </w:r>
    </w:p>
    <w:p>
      <w:pPr>
        <w:pStyle w:val="Point2"/>
        <w:spacing w:before="0" w:after="0"/>
        <w:ind w:left="0" w:firstLine="0"/>
        <w:rPr>
          <w:noProof/>
        </w:rPr>
      </w:pPr>
    </w:p>
    <w:p>
      <w:pPr>
        <w:pStyle w:val="Point0number"/>
        <w:spacing w:before="0"/>
        <w:rPr>
          <w:noProof/>
        </w:rPr>
      </w:pPr>
      <w:r>
        <w:rPr>
          <w:noProof/>
        </w:rPr>
        <w:t>La articolul 96, al doilea paragraf se modifică după cum urmează:</w:t>
      </w:r>
    </w:p>
    <w:p>
      <w:pPr>
        <w:pStyle w:val="Point2"/>
        <w:ind w:left="1560" w:hanging="143"/>
        <w:rPr>
          <w:noProof/>
        </w:rPr>
      </w:pPr>
      <w:r>
        <w:rPr>
          <w:noProof/>
        </w:rPr>
        <w:t>„Prezentul regulament se aplică de la data stabilită de către Comisie în conformitate cu articolul 88, cu excepția articolelor 6, 11, 11a, 12, 33, 34, 35, 59, 71, 72, 73, 75-79, 82, 85, 87, 89, 90 și 91, a articolului 92 alineatele (1) și (2) și a articolelor 93 și 95, precum și a dispozițiilor aferente măsurilor menționate la articolul 88 alineatul (1) litera (d), care se aplică de la 9 octombrie 2018.”</w:t>
      </w:r>
    </w:p>
    <w:p>
      <w:pPr>
        <w:pStyle w:val="Point2"/>
        <w:ind w:left="0" w:firstLine="0"/>
        <w:rPr>
          <w:noProof/>
        </w:rPr>
      </w:pPr>
    </w:p>
    <w:p>
      <w:pPr>
        <w:pStyle w:val="SectionTitle"/>
        <w:rPr>
          <w:strike/>
          <w:noProof/>
        </w:rPr>
      </w:pPr>
      <w:r>
        <w:rPr>
          <w:noProof/>
        </w:rPr>
        <w:t>CAPITOLUL II: MODIFICĂRI ADUSE ALTOR INSTRUMENTE ALE UNIUNII</w:t>
      </w:r>
    </w:p>
    <w:p>
      <w:pPr>
        <w:pStyle w:val="Titrearticle"/>
        <w:rPr>
          <w:noProof/>
        </w:rPr>
      </w:pPr>
      <w:r>
        <w:rPr>
          <w:noProof/>
        </w:rPr>
        <w:t>Articolul 2</w:t>
      </w:r>
    </w:p>
    <w:p>
      <w:pPr>
        <w:pStyle w:val="Titrearticle"/>
        <w:rPr>
          <w:noProof/>
        </w:rPr>
      </w:pPr>
      <w:r>
        <w:rPr>
          <w:b/>
          <w:noProof/>
        </w:rPr>
        <w:t>Modificări aduse Regulamentului (CE) nr. 767/2008 [VIS]</w:t>
      </w:r>
    </w:p>
    <w:p>
      <w:pPr>
        <w:autoSpaceDE w:val="0"/>
        <w:autoSpaceDN w:val="0"/>
        <w:adjustRightInd w:val="0"/>
        <w:spacing w:before="0" w:after="0"/>
        <w:rPr>
          <w:noProof/>
        </w:rPr>
      </w:pPr>
    </w:p>
    <w:p>
      <w:pPr>
        <w:autoSpaceDE w:val="0"/>
        <w:autoSpaceDN w:val="0"/>
        <w:adjustRightInd w:val="0"/>
        <w:spacing w:before="0" w:after="0"/>
        <w:rPr>
          <w:noProof/>
        </w:rPr>
      </w:pPr>
      <w:r>
        <w:rPr>
          <w:noProof/>
        </w:rPr>
        <w:t>Regulamentul (CE) nr. 767/2008 se modifică după cum urmează:</w:t>
      </w:r>
    </w:p>
    <w:p>
      <w:pPr>
        <w:autoSpaceDE w:val="0"/>
        <w:autoSpaceDN w:val="0"/>
        <w:adjustRightInd w:val="0"/>
        <w:spacing w:before="0" w:after="0"/>
        <w:rPr>
          <w:noProof/>
        </w:rPr>
      </w:pPr>
    </w:p>
    <w:p>
      <w:pPr>
        <w:pStyle w:val="Point0number"/>
        <w:numPr>
          <w:ilvl w:val="0"/>
          <w:numId w:val="16"/>
        </w:numPr>
        <w:spacing w:before="0"/>
        <w:rPr>
          <w:noProof/>
        </w:rPr>
      </w:pPr>
      <w:r>
        <w:rPr>
          <w:noProof/>
        </w:rPr>
        <w:t>La articolul 6, alineatul (2) se înlocuiește cu următorul text:</w:t>
      </w:r>
    </w:p>
    <w:p>
      <w:pPr>
        <w:pStyle w:val="Point1"/>
        <w:ind w:left="1276" w:hanging="426"/>
        <w:rPr>
          <w:noProof/>
        </w:rPr>
      </w:pPr>
      <w:r>
        <w:rPr>
          <w:noProof/>
        </w:rPr>
        <w:t>„(2)  Accesul la VIS pentru consultarea datelor este rezervat în mod exclusiv personalului autorizat în mod corespunzător din cadrul autorităților fiecărui stat membru, inclusiv membrilor autorizați în mod corespunzător ai personalului unităților naționale ale ETIAS, care sunt desemnați în temeiul articolului 8 din Regulamentul (UE) 2018/1240 al Parlamentului European și al Consiliului*, care au competențele necesare în scopurile prevăzute la articolele 15-22, precum și personalului autorizat în mod corespunzător din cadrul autorităților naționale ale fiecărui stat membru și al organismelor UE care au competențele necesare în scopurile prevăzute la [articolul 20 și articolul 21 din Regulamentul 2018/xx privind interoperabilitatea], în măsura în care aceste date sunt necesare pentru îndeplinirea sarcinilor lor stabilite în funcție de respectivele obiective și în mod proporțional cu obiectivele urmărite.”</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p>
      <w:pPr>
        <w:pStyle w:val="Point1"/>
        <w:spacing w:before="0" w:after="0"/>
        <w:ind w:left="1276" w:hanging="426"/>
        <w:rPr>
          <w:noProof/>
        </w:rPr>
      </w:pPr>
    </w:p>
    <w:p>
      <w:pPr>
        <w:pStyle w:val="Point0number"/>
        <w:spacing w:before="0"/>
        <w:rPr>
          <w:noProof/>
        </w:rPr>
      </w:pPr>
      <w:r>
        <w:rPr>
          <w:noProof/>
        </w:rPr>
        <w:t>Se introduc următoarele articole:</w:t>
      </w:r>
    </w:p>
    <w:p>
      <w:pPr>
        <w:pStyle w:val="Titrearticle"/>
        <w:rPr>
          <w:b/>
          <w:bCs/>
          <w:noProof/>
        </w:rPr>
      </w:pPr>
      <w:r>
        <w:rPr>
          <w:noProof/>
        </w:rPr>
        <w:t>„Articolul 18b</w:t>
      </w:r>
      <w:r>
        <w:rPr>
          <w:noProof/>
        </w:rPr>
        <w:br/>
      </w:r>
      <w:r>
        <w:rPr>
          <w:b/>
          <w:noProof/>
        </w:rPr>
        <w:t>Interoperabilitatea cu ETIAS în sensul articolului 11 din Regulamentul (UE) 2018/1240</w:t>
      </w:r>
    </w:p>
    <w:p>
      <w:pPr>
        <w:pStyle w:val="ManualNumPar1"/>
        <w:rPr>
          <w:noProof/>
        </w:rPr>
      </w:pPr>
      <w:r>
        <w:t>1.</w:t>
      </w:r>
      <w:r>
        <w:tab/>
      </w:r>
      <w:r>
        <w:rPr>
          <w:noProof/>
        </w:rPr>
        <w:t xml:space="preserve">De la începerea funcționării ETIAS, astfel cum este prevăzută la articolul 88 alineatul (1) din Regulamentul (UE) 2018/1240, «CS-VIS» este conectat la </w:t>
      </w:r>
      <w:r>
        <w:rPr>
          <w:noProof/>
        </w:rPr>
        <w:lastRenderedPageBreak/>
        <w:t>instrumentul menționat la articolul 11 din Regulamentul (UE) 2018/1240 pentru a permite prelucrarea automată menționată la articolul respectiv.</w:t>
      </w:r>
    </w:p>
    <w:p>
      <w:pPr>
        <w:pStyle w:val="ManualNumPar1"/>
        <w:rPr>
          <w:noProof/>
        </w:rPr>
      </w:pPr>
      <w:r>
        <w:t>2.</w:t>
      </w:r>
      <w:r>
        <w:tab/>
      </w:r>
      <w:r>
        <w:rPr>
          <w:noProof/>
        </w:rPr>
        <w:t>Prelucrarea automată menționată la articolul 11 din Regulamentul (UE) 2018/1240 permite efectuarea verificărilor prevăzute la articolul 20 din regulamentul respectiv și a verificărilor ulterioare prevăzute la articolele 22 și 26 din regulamentul respectiv.</w:t>
      </w:r>
      <w:r>
        <w:rPr>
          <w:noProof/>
        </w:rPr>
        <w:tab/>
      </w:r>
      <w:r>
        <w:rPr>
          <w:noProof/>
        </w:rPr>
        <w:br/>
      </w:r>
      <w:r>
        <w:rPr>
          <w:noProof/>
        </w:rPr>
        <w:br/>
        <w:t>În scopul efectuării verificărilor menționate la articolul 20 alineatul (2) litera (i) din Regulamentul (UE) 2018/1240, sistemul central al ETIAS utilizează instrumentul menționat la articolul 11 din regulamentul respectiv pentru a compara datele din ETIAS cu datele din VIS, în conformitate cu articolul 11 alineatul (8) din regulamentul respectiv, utilizând tabelul de corespondență din anexa II.</w:t>
      </w:r>
    </w:p>
    <w:p>
      <w:pPr>
        <w:pStyle w:val="Text1"/>
        <w:spacing w:before="0" w:after="0"/>
        <w:rPr>
          <w:noProof/>
        </w:rPr>
      </w:pPr>
    </w:p>
    <w:p>
      <w:pPr>
        <w:pStyle w:val="Titrearticle"/>
        <w:spacing w:before="0"/>
        <w:rPr>
          <w:b/>
          <w:noProof/>
        </w:rPr>
      </w:pPr>
      <w:r>
        <w:rPr>
          <w:noProof/>
        </w:rPr>
        <w:t>Articolul 18c</w:t>
      </w:r>
      <w:r>
        <w:rPr>
          <w:noProof/>
        </w:rPr>
        <w:br/>
      </w:r>
      <w:r>
        <w:rPr>
          <w:b/>
          <w:noProof/>
        </w:rPr>
        <w:t>Accesarea datelor VIS de către unitatea centrală a ETIAS</w:t>
      </w:r>
    </w:p>
    <w:p>
      <w:pPr>
        <w:pStyle w:val="ManualNumPar1"/>
        <w:rPr>
          <w:noProof/>
        </w:rPr>
      </w:pPr>
      <w:r>
        <w:t>1.</w:t>
      </w:r>
      <w:r>
        <w:tab/>
      </w:r>
      <w:r>
        <w:rPr>
          <w:noProof/>
        </w:rPr>
        <w:t>Unitatea centrală a ETIAS, instituită în cadrul Agenției Europene pentru Poliția de Frontieră și Garda de Coastă în conformitate cu articolul 7 din Regulamentul (UE) 2018/1240, are, în scopul îndeplinirii sarcinilor care îi sunt conferite prin Regulamentul (UE) 2018/1240, dreptul de a accesa date relevante din VIS și de a efectua căutări în aceste date în conformitate cu articolul 11 alineatul (8) din regulamentul respectiv.</w:t>
      </w:r>
    </w:p>
    <w:p>
      <w:pPr>
        <w:pStyle w:val="ManualNumPar1"/>
        <w:rPr>
          <w:noProof/>
        </w:rPr>
      </w:pPr>
      <w:r>
        <w:t>2.</w:t>
      </w:r>
      <w:r>
        <w:tab/>
      </w:r>
      <w:r>
        <w:rPr>
          <w:noProof/>
        </w:rPr>
        <w:t>În cazul în care o verificare efectuată de unitatea centrală a ETIAS confirmă corespondența dintre datele înregistrate în dosarul de cerere ETIAS și datele din EES sau în cazul în care persistă îndoieli, se aplică procedura prevăzută la articolul 26 din Regulamentul (UE) 2018/1240, fără a aduce atingere articolului 24 din Regulamentul (UE) 2018/1240.</w:t>
      </w:r>
    </w:p>
    <w:p>
      <w:pPr>
        <w:pStyle w:val="Text1"/>
        <w:spacing w:before="0" w:after="0"/>
        <w:rPr>
          <w:noProof/>
        </w:rPr>
      </w:pPr>
    </w:p>
    <w:p>
      <w:pPr>
        <w:pStyle w:val="Titrearticle"/>
        <w:spacing w:before="0"/>
        <w:rPr>
          <w:noProof/>
        </w:rPr>
      </w:pPr>
      <w:r>
        <w:rPr>
          <w:noProof/>
        </w:rPr>
        <w:t>Articolul 18d</w:t>
      </w:r>
      <w:r>
        <w:rPr>
          <w:noProof/>
        </w:rPr>
        <w:br/>
      </w:r>
      <w:r>
        <w:rPr>
          <w:b/>
          <w:noProof/>
        </w:rPr>
        <w:t>Utilizarea VIS pentru prelucrarea manuală efectuată de unitățile naționale ale ETIAS</w:t>
      </w:r>
    </w:p>
    <w:p>
      <w:pPr>
        <w:pStyle w:val="ManualNumPar1"/>
        <w:rPr>
          <w:noProof/>
        </w:rPr>
      </w:pPr>
      <w:r>
        <w:t>1.</w:t>
      </w:r>
      <w:r>
        <w:tab/>
      </w:r>
      <w:r>
        <w:rPr>
          <w:noProof/>
        </w:rPr>
        <w:t>Pentru consultarea VIS, unitățile naționale ale ETIAS utilizează aceleași date alfanumerice ca cele utilizate pentru prelucrarea automată menționată la articolul 18b alineatul (2).</w:t>
      </w:r>
    </w:p>
    <w:p>
      <w:pPr>
        <w:pStyle w:val="ManualNumPar1"/>
        <w:rPr>
          <w:noProof/>
        </w:rPr>
      </w:pPr>
      <w:r>
        <w:t>2.</w:t>
      </w:r>
      <w:r>
        <w:tab/>
      </w:r>
      <w:r>
        <w:rPr>
          <w:noProof/>
        </w:rPr>
        <w:t>Unitățile naționale ale ETIAS, desemnate în temeiul articolului 8 alineatul (1) din Regulamentul (UE) 2018/1240, au acces la VIS și pot consulta acest sistem, într-un format care permite numai citirea, în scopul examinării cererilor de autorizații de călătorie în temeiul articolului 8 alineatul (2) din regulamentul respectiv. Unitățile naționale ale ETIAS pot consulta datele menționate la articolele 9-14 din prezentul regulament.</w:t>
      </w:r>
    </w:p>
    <w:p>
      <w:pPr>
        <w:pStyle w:val="ManualNumPar1"/>
        <w:rPr>
          <w:noProof/>
        </w:rPr>
      </w:pPr>
      <w:r>
        <w:t>3.</w:t>
      </w:r>
      <w:r>
        <w:tab/>
      </w:r>
      <w:r>
        <w:rPr>
          <w:noProof/>
        </w:rPr>
        <w:t>În urma unui acces efectuat în temeiul alineatului (1), personalul autorizat în mod corespunzător din cadrul unităților naționale ale ETIAS înregistrează numai rezultatul evaluării și efectuează înregistrarea acestui rezultat în dosarele de cerere ale ETIAS.”</w:t>
      </w:r>
    </w:p>
    <w:p>
      <w:pPr>
        <w:pStyle w:val="Text1"/>
        <w:spacing w:before="0" w:after="0"/>
        <w:ind w:left="0"/>
        <w:rPr>
          <w:noProof/>
        </w:rPr>
      </w:pPr>
    </w:p>
    <w:p>
      <w:pPr>
        <w:pStyle w:val="Point0number"/>
        <w:spacing w:before="0"/>
        <w:rPr>
          <w:noProof/>
        </w:rPr>
      </w:pPr>
      <w:r>
        <w:rPr>
          <w:noProof/>
        </w:rPr>
        <w:t>Se introduce următorul articol:</w:t>
      </w:r>
    </w:p>
    <w:p>
      <w:pPr>
        <w:pStyle w:val="Titrearticle"/>
        <w:rPr>
          <w:b/>
          <w:noProof/>
        </w:rPr>
      </w:pPr>
      <w:r>
        <w:rPr>
          <w:noProof/>
        </w:rPr>
        <w:lastRenderedPageBreak/>
        <w:t>„Articolul 34a</w:t>
      </w:r>
      <w:r>
        <w:rPr>
          <w:noProof/>
        </w:rPr>
        <w:br/>
      </w:r>
      <w:r>
        <w:rPr>
          <w:b/>
          <w:noProof/>
        </w:rPr>
        <w:t>Ținerea evidențelor</w:t>
      </w:r>
    </w:p>
    <w:p>
      <w:pPr>
        <w:pStyle w:val="Point1"/>
        <w:spacing w:before="0" w:after="0"/>
        <w:ind w:left="851" w:hanging="1"/>
        <w:rPr>
          <w:noProof/>
        </w:rPr>
      </w:pPr>
      <w:r>
        <w:rPr>
          <w:noProof/>
        </w:rPr>
        <w:t>În vederea consultărilor menționate la articolul 18b din prezentul regulament, se ține evidența tuturor operațiunilor de prelucrare a datelor efectuate în cadrul VIS și al ETIAS în conformitate cu articolul 34 din prezentul regulament și cu articolul 69 din Regulamentul (UE) 2018/1240.”</w:t>
      </w:r>
    </w:p>
    <w:p>
      <w:pPr>
        <w:pStyle w:val="Point1"/>
        <w:spacing w:before="0" w:after="0"/>
        <w:ind w:left="0" w:firstLine="0"/>
        <w:rPr>
          <w:noProof/>
        </w:rPr>
      </w:pPr>
    </w:p>
    <w:p>
      <w:pPr>
        <w:pStyle w:val="Point0number"/>
        <w:rPr>
          <w:noProof/>
        </w:rPr>
      </w:pPr>
      <w:r>
        <w:rPr>
          <w:noProof/>
        </w:rPr>
        <w:t>Anexa este numerotată „Anexa I” și se adaugă următoarea anexă:</w:t>
      </w:r>
    </w:p>
    <w:p>
      <w:pPr>
        <w:autoSpaceDE w:val="0"/>
        <w:autoSpaceDN w:val="0"/>
        <w:adjustRightInd w:val="0"/>
        <w:spacing w:after="0"/>
        <w:rPr>
          <w:noProof/>
        </w:rPr>
      </w:pPr>
      <w:r>
        <w:rPr>
          <w:noProof/>
        </w:rPr>
        <w:t>„Anexa II</w:t>
      </w:r>
    </w:p>
    <w:p>
      <w:pPr>
        <w:autoSpaceDE w:val="0"/>
        <w:autoSpaceDN w:val="0"/>
        <w:adjustRightInd w:val="0"/>
        <w:rPr>
          <w:noProof/>
        </w:rPr>
      </w:pPr>
      <w:r>
        <w:rPr>
          <w:noProof/>
        </w:rPr>
        <w:t>Tabelul de corespondență menționat la articolul 18b</w:t>
      </w:r>
    </w:p>
    <w:tbl>
      <w:tblPr>
        <w:tblStyle w:val="TableGrid"/>
        <w:tblW w:w="7843" w:type="dxa"/>
        <w:tblLook w:val="04A0" w:firstRow="1" w:lastRow="0" w:firstColumn="1" w:lastColumn="0" w:noHBand="0" w:noVBand="1"/>
      </w:tblPr>
      <w:tblGrid>
        <w:gridCol w:w="3827"/>
        <w:gridCol w:w="4016"/>
      </w:tblGrid>
      <w:tr>
        <w:tc>
          <w:tcPr>
            <w:tcW w:w="3827" w:type="dxa"/>
          </w:tcPr>
          <w:p>
            <w:pPr>
              <w:autoSpaceDE w:val="0"/>
              <w:autoSpaceDN w:val="0"/>
              <w:adjustRightInd w:val="0"/>
              <w:spacing w:before="0" w:after="0"/>
              <w:ind w:firstLine="11"/>
              <w:rPr>
                <w:b/>
                <w:noProof/>
              </w:rPr>
            </w:pPr>
            <w:r>
              <w:rPr>
                <w:b/>
                <w:noProof/>
              </w:rPr>
              <w:t>Datele menționate la articolul 17 alineatul (2) din Regulamentul nr. 2018/1240 transmise de sistemul central al ETIAS</w:t>
            </w:r>
          </w:p>
        </w:tc>
        <w:tc>
          <w:tcPr>
            <w:tcW w:w="4016" w:type="dxa"/>
          </w:tcPr>
          <w:p>
            <w:pPr>
              <w:autoSpaceDE w:val="0"/>
              <w:autoSpaceDN w:val="0"/>
              <w:adjustRightInd w:val="0"/>
              <w:spacing w:before="0" w:after="0"/>
              <w:ind w:firstLine="11"/>
              <w:rPr>
                <w:b/>
                <w:noProof/>
              </w:rPr>
            </w:pPr>
            <w:r>
              <w:rPr>
                <w:b/>
                <w:noProof/>
              </w:rPr>
              <w:t>Datele corespunzătoare din VIS, menționate la articolul 9 alineatul (4) din prezentul regulament, în raport cu care ar trebui verificate datele din ETIAS</w:t>
            </w:r>
          </w:p>
        </w:tc>
      </w:tr>
      <w:tr>
        <w:tc>
          <w:tcPr>
            <w:tcW w:w="3827" w:type="dxa"/>
          </w:tcPr>
          <w:p>
            <w:pPr>
              <w:autoSpaceDE w:val="0"/>
              <w:autoSpaceDN w:val="0"/>
              <w:adjustRightInd w:val="0"/>
              <w:spacing w:before="0" w:after="0"/>
              <w:ind w:firstLine="11"/>
              <w:rPr>
                <w:noProof/>
              </w:rPr>
            </w:pPr>
            <w:r>
              <w:rPr>
                <w:noProof/>
              </w:rPr>
              <w:t>numele (de familie)</w:t>
            </w:r>
          </w:p>
        </w:tc>
        <w:tc>
          <w:tcPr>
            <w:tcW w:w="4016" w:type="dxa"/>
          </w:tcPr>
          <w:p>
            <w:pPr>
              <w:autoSpaceDE w:val="0"/>
              <w:autoSpaceDN w:val="0"/>
              <w:adjustRightInd w:val="0"/>
              <w:spacing w:before="0" w:after="0"/>
              <w:ind w:firstLine="11"/>
              <w:rPr>
                <w:noProof/>
              </w:rPr>
            </w:pPr>
            <w:r>
              <w:rPr>
                <w:noProof/>
              </w:rPr>
              <w:t>numele (numele de familie)</w:t>
            </w:r>
          </w:p>
        </w:tc>
      </w:tr>
      <w:tr>
        <w:tc>
          <w:tcPr>
            <w:tcW w:w="3827" w:type="dxa"/>
          </w:tcPr>
          <w:p>
            <w:pPr>
              <w:autoSpaceDE w:val="0"/>
              <w:autoSpaceDN w:val="0"/>
              <w:adjustRightInd w:val="0"/>
              <w:spacing w:before="0" w:after="0"/>
              <w:ind w:firstLine="11"/>
              <w:rPr>
                <w:noProof/>
              </w:rPr>
            </w:pPr>
            <w:r>
              <w:rPr>
                <w:noProof/>
              </w:rPr>
              <w:t>numele la naștere</w:t>
            </w:r>
          </w:p>
        </w:tc>
        <w:tc>
          <w:tcPr>
            <w:tcW w:w="4016" w:type="dxa"/>
          </w:tcPr>
          <w:p>
            <w:pPr>
              <w:autoSpaceDE w:val="0"/>
              <w:autoSpaceDN w:val="0"/>
              <w:adjustRightInd w:val="0"/>
              <w:spacing w:before="0" w:after="0"/>
              <w:ind w:firstLine="11"/>
              <w:rPr>
                <w:noProof/>
              </w:rPr>
            </w:pPr>
            <w:r>
              <w:rPr>
                <w:noProof/>
              </w:rPr>
              <w:t>numele la naștere [numele anterior (anterioare)]</w:t>
            </w:r>
          </w:p>
        </w:tc>
      </w:tr>
      <w:tr>
        <w:tc>
          <w:tcPr>
            <w:tcW w:w="3827" w:type="dxa"/>
          </w:tcPr>
          <w:p>
            <w:pPr>
              <w:autoSpaceDE w:val="0"/>
              <w:autoSpaceDN w:val="0"/>
              <w:adjustRightInd w:val="0"/>
              <w:spacing w:before="0" w:after="0"/>
              <w:ind w:firstLine="11"/>
              <w:rPr>
                <w:noProof/>
              </w:rPr>
            </w:pPr>
            <w:r>
              <w:rPr>
                <w:noProof/>
              </w:rPr>
              <w:t>prenumele (numele de botez)</w:t>
            </w:r>
          </w:p>
        </w:tc>
        <w:tc>
          <w:tcPr>
            <w:tcW w:w="4016" w:type="dxa"/>
          </w:tcPr>
          <w:p>
            <w:pPr>
              <w:autoSpaceDE w:val="0"/>
              <w:autoSpaceDN w:val="0"/>
              <w:adjustRightInd w:val="0"/>
              <w:spacing w:before="0" w:after="0"/>
              <w:ind w:firstLine="11"/>
              <w:rPr>
                <w:noProof/>
              </w:rPr>
            </w:pPr>
            <w:r>
              <w:rPr>
                <w:noProof/>
              </w:rPr>
              <w:t>prenumele</w:t>
            </w:r>
          </w:p>
        </w:tc>
      </w:tr>
      <w:tr>
        <w:tc>
          <w:tcPr>
            <w:tcW w:w="3827" w:type="dxa"/>
          </w:tcPr>
          <w:p>
            <w:pPr>
              <w:autoSpaceDE w:val="0"/>
              <w:autoSpaceDN w:val="0"/>
              <w:adjustRightInd w:val="0"/>
              <w:spacing w:before="0" w:after="0"/>
              <w:ind w:firstLine="11"/>
              <w:rPr>
                <w:noProof/>
              </w:rPr>
            </w:pPr>
            <w:r>
              <w:rPr>
                <w:noProof/>
              </w:rPr>
              <w:t>data nașterii</w:t>
            </w:r>
          </w:p>
        </w:tc>
        <w:tc>
          <w:tcPr>
            <w:tcW w:w="4016" w:type="dxa"/>
          </w:tcPr>
          <w:p>
            <w:pPr>
              <w:autoSpaceDE w:val="0"/>
              <w:autoSpaceDN w:val="0"/>
              <w:adjustRightInd w:val="0"/>
              <w:spacing w:before="0" w:after="0"/>
              <w:ind w:firstLine="11"/>
              <w:rPr>
                <w:noProof/>
              </w:rPr>
            </w:pPr>
            <w:r>
              <w:rPr>
                <w:noProof/>
              </w:rPr>
              <w:t>data nașterii</w:t>
            </w:r>
          </w:p>
        </w:tc>
      </w:tr>
      <w:tr>
        <w:tc>
          <w:tcPr>
            <w:tcW w:w="3827" w:type="dxa"/>
          </w:tcPr>
          <w:p>
            <w:pPr>
              <w:autoSpaceDE w:val="0"/>
              <w:autoSpaceDN w:val="0"/>
              <w:adjustRightInd w:val="0"/>
              <w:spacing w:before="0" w:after="0"/>
              <w:ind w:firstLine="11"/>
              <w:rPr>
                <w:noProof/>
              </w:rPr>
            </w:pPr>
            <w:r>
              <w:rPr>
                <w:noProof/>
              </w:rPr>
              <w:t>locul nașterii</w:t>
            </w:r>
          </w:p>
        </w:tc>
        <w:tc>
          <w:tcPr>
            <w:tcW w:w="4016" w:type="dxa"/>
          </w:tcPr>
          <w:p>
            <w:pPr>
              <w:autoSpaceDE w:val="0"/>
              <w:autoSpaceDN w:val="0"/>
              <w:adjustRightInd w:val="0"/>
              <w:spacing w:before="0" w:after="0"/>
              <w:ind w:firstLine="11"/>
              <w:rPr>
                <w:noProof/>
              </w:rPr>
            </w:pPr>
            <w:r>
              <w:rPr>
                <w:noProof/>
              </w:rPr>
              <w:t>locul nașterii</w:t>
            </w:r>
          </w:p>
        </w:tc>
      </w:tr>
      <w:tr>
        <w:tc>
          <w:tcPr>
            <w:tcW w:w="3827" w:type="dxa"/>
          </w:tcPr>
          <w:p>
            <w:pPr>
              <w:autoSpaceDE w:val="0"/>
              <w:autoSpaceDN w:val="0"/>
              <w:adjustRightInd w:val="0"/>
              <w:spacing w:before="0" w:after="0"/>
              <w:ind w:firstLine="11"/>
              <w:rPr>
                <w:noProof/>
              </w:rPr>
            </w:pPr>
            <w:r>
              <w:rPr>
                <w:noProof/>
              </w:rPr>
              <w:t>țara nașterii</w:t>
            </w:r>
          </w:p>
        </w:tc>
        <w:tc>
          <w:tcPr>
            <w:tcW w:w="4016" w:type="dxa"/>
          </w:tcPr>
          <w:p>
            <w:pPr>
              <w:autoSpaceDE w:val="0"/>
              <w:autoSpaceDN w:val="0"/>
              <w:adjustRightInd w:val="0"/>
              <w:spacing w:before="0" w:after="0"/>
              <w:ind w:firstLine="11"/>
              <w:rPr>
                <w:noProof/>
              </w:rPr>
            </w:pPr>
            <w:r>
              <w:rPr>
                <w:noProof/>
              </w:rPr>
              <w:t>țara nașterii</w:t>
            </w:r>
          </w:p>
        </w:tc>
      </w:tr>
      <w:tr>
        <w:tc>
          <w:tcPr>
            <w:tcW w:w="3827" w:type="dxa"/>
          </w:tcPr>
          <w:p>
            <w:pPr>
              <w:autoSpaceDE w:val="0"/>
              <w:autoSpaceDN w:val="0"/>
              <w:adjustRightInd w:val="0"/>
              <w:spacing w:before="0" w:after="0"/>
              <w:ind w:firstLine="11"/>
              <w:rPr>
                <w:noProof/>
              </w:rPr>
            </w:pPr>
            <w:r>
              <w:rPr>
                <w:noProof/>
              </w:rPr>
              <w:t>sexul</w:t>
            </w:r>
          </w:p>
        </w:tc>
        <w:tc>
          <w:tcPr>
            <w:tcW w:w="4016" w:type="dxa"/>
          </w:tcPr>
          <w:p>
            <w:pPr>
              <w:autoSpaceDE w:val="0"/>
              <w:autoSpaceDN w:val="0"/>
              <w:adjustRightInd w:val="0"/>
              <w:spacing w:before="0" w:after="0"/>
              <w:ind w:firstLine="11"/>
              <w:rPr>
                <w:noProof/>
              </w:rPr>
            </w:pPr>
            <w:r>
              <w:rPr>
                <w:noProof/>
              </w:rPr>
              <w:t>sexul</w:t>
            </w:r>
          </w:p>
        </w:tc>
      </w:tr>
      <w:tr>
        <w:tc>
          <w:tcPr>
            <w:tcW w:w="3827" w:type="dxa"/>
          </w:tcPr>
          <w:p>
            <w:pPr>
              <w:autoSpaceDE w:val="0"/>
              <w:autoSpaceDN w:val="0"/>
              <w:adjustRightInd w:val="0"/>
              <w:spacing w:before="0" w:after="0"/>
              <w:ind w:firstLine="11"/>
              <w:rPr>
                <w:noProof/>
              </w:rPr>
            </w:pPr>
            <w:r>
              <w:rPr>
                <w:noProof/>
              </w:rPr>
              <w:t>cetățenia actuală</w:t>
            </w:r>
          </w:p>
        </w:tc>
        <w:tc>
          <w:tcPr>
            <w:tcW w:w="4016" w:type="dxa"/>
          </w:tcPr>
          <w:p>
            <w:pPr>
              <w:autoSpaceDE w:val="0"/>
              <w:autoSpaceDN w:val="0"/>
              <w:adjustRightInd w:val="0"/>
              <w:spacing w:before="0" w:after="0"/>
              <w:ind w:firstLine="11"/>
              <w:rPr>
                <w:noProof/>
              </w:rPr>
            </w:pPr>
            <w:r>
              <w:rPr>
                <w:noProof/>
              </w:rPr>
              <w:t>cetățenia actuală și cetățenia la naștere</w:t>
            </w:r>
          </w:p>
        </w:tc>
      </w:tr>
      <w:tr>
        <w:tc>
          <w:tcPr>
            <w:tcW w:w="3827" w:type="dxa"/>
          </w:tcPr>
          <w:p>
            <w:pPr>
              <w:autoSpaceDE w:val="0"/>
              <w:autoSpaceDN w:val="0"/>
              <w:adjustRightInd w:val="0"/>
              <w:spacing w:before="0" w:after="0"/>
              <w:ind w:firstLine="11"/>
              <w:rPr>
                <w:noProof/>
              </w:rPr>
            </w:pPr>
            <w:r>
              <w:rPr>
                <w:noProof/>
              </w:rPr>
              <w:t>alte cetățenii (dacă este cazul)</w:t>
            </w:r>
          </w:p>
        </w:tc>
        <w:tc>
          <w:tcPr>
            <w:tcW w:w="4016" w:type="dxa"/>
          </w:tcPr>
          <w:p>
            <w:pPr>
              <w:autoSpaceDE w:val="0"/>
              <w:autoSpaceDN w:val="0"/>
              <w:adjustRightInd w:val="0"/>
              <w:spacing w:before="0" w:after="0"/>
              <w:ind w:firstLine="11"/>
              <w:rPr>
                <w:noProof/>
              </w:rPr>
            </w:pPr>
            <w:r>
              <w:rPr>
                <w:noProof/>
              </w:rPr>
              <w:t>cetățenia actuală și cetățenia la naștere</w:t>
            </w:r>
          </w:p>
        </w:tc>
      </w:tr>
      <w:tr>
        <w:tc>
          <w:tcPr>
            <w:tcW w:w="3827" w:type="dxa"/>
          </w:tcPr>
          <w:p>
            <w:pPr>
              <w:autoSpaceDE w:val="0"/>
              <w:autoSpaceDN w:val="0"/>
              <w:adjustRightInd w:val="0"/>
              <w:spacing w:before="0" w:after="0"/>
              <w:ind w:firstLine="11"/>
              <w:rPr>
                <w:noProof/>
              </w:rPr>
            </w:pPr>
            <w:r>
              <w:rPr>
                <w:noProof/>
              </w:rPr>
              <w:t>tipul documentului de călătorie</w:t>
            </w:r>
          </w:p>
        </w:tc>
        <w:tc>
          <w:tcPr>
            <w:tcW w:w="4016" w:type="dxa"/>
          </w:tcPr>
          <w:p>
            <w:pPr>
              <w:autoSpaceDE w:val="0"/>
              <w:autoSpaceDN w:val="0"/>
              <w:adjustRightInd w:val="0"/>
              <w:spacing w:before="0" w:after="0"/>
              <w:ind w:firstLine="11"/>
              <w:rPr>
                <w:noProof/>
              </w:rPr>
            </w:pPr>
            <w:r>
              <w:rPr>
                <w:noProof/>
              </w:rPr>
              <w:t>tipul documentului de călătorie</w:t>
            </w:r>
          </w:p>
        </w:tc>
      </w:tr>
      <w:tr>
        <w:tc>
          <w:tcPr>
            <w:tcW w:w="3827" w:type="dxa"/>
          </w:tcPr>
          <w:p>
            <w:pPr>
              <w:autoSpaceDE w:val="0"/>
              <w:autoSpaceDN w:val="0"/>
              <w:adjustRightInd w:val="0"/>
              <w:spacing w:before="0" w:after="0"/>
              <w:ind w:firstLine="11"/>
              <w:rPr>
                <w:noProof/>
              </w:rPr>
            </w:pPr>
            <w:r>
              <w:rPr>
                <w:noProof/>
              </w:rPr>
              <w:t>numărul documentului de călătorie</w:t>
            </w:r>
          </w:p>
        </w:tc>
        <w:tc>
          <w:tcPr>
            <w:tcW w:w="4016" w:type="dxa"/>
          </w:tcPr>
          <w:p>
            <w:pPr>
              <w:autoSpaceDE w:val="0"/>
              <w:autoSpaceDN w:val="0"/>
              <w:adjustRightInd w:val="0"/>
              <w:spacing w:before="0" w:after="0"/>
              <w:ind w:firstLine="11"/>
              <w:rPr>
                <w:noProof/>
              </w:rPr>
            </w:pPr>
            <w:r>
              <w:rPr>
                <w:noProof/>
              </w:rPr>
              <w:t>numărul documentului de călătorie</w:t>
            </w:r>
          </w:p>
        </w:tc>
      </w:tr>
      <w:tr>
        <w:tc>
          <w:tcPr>
            <w:tcW w:w="3827" w:type="dxa"/>
          </w:tcPr>
          <w:p>
            <w:pPr>
              <w:autoSpaceDE w:val="0"/>
              <w:autoSpaceDN w:val="0"/>
              <w:adjustRightInd w:val="0"/>
              <w:spacing w:before="0" w:after="0"/>
              <w:ind w:firstLine="11"/>
              <w:rPr>
                <w:noProof/>
              </w:rPr>
            </w:pPr>
            <w:r>
              <w:rPr>
                <w:noProof/>
              </w:rPr>
              <w:t>țara emitentă a documentului de călătorie</w:t>
            </w:r>
          </w:p>
        </w:tc>
        <w:tc>
          <w:tcPr>
            <w:tcW w:w="4016" w:type="dxa"/>
          </w:tcPr>
          <w:p>
            <w:pPr>
              <w:autoSpaceDE w:val="0"/>
              <w:autoSpaceDN w:val="0"/>
              <w:adjustRightInd w:val="0"/>
              <w:spacing w:before="0" w:after="0"/>
              <w:ind w:firstLine="11"/>
              <w:rPr>
                <w:noProof/>
              </w:rPr>
            </w:pPr>
            <w:r>
              <w:rPr>
                <w:noProof/>
              </w:rPr>
              <w:t>autoritatea care a eliberat documentul de călătorie</w:t>
            </w:r>
          </w:p>
        </w:tc>
      </w:tr>
    </w:tbl>
    <w:p>
      <w:pPr>
        <w:pStyle w:val="Titrearticle"/>
        <w:spacing w:before="0" w:after="0"/>
        <w:jc w:val="left"/>
        <w:rPr>
          <w:noProof/>
        </w:rPr>
      </w:pPr>
      <w:r>
        <w:rPr>
          <w:noProof/>
        </w:rPr>
        <w:t xml:space="preserve"> ”</w:t>
      </w:r>
    </w:p>
    <w:p>
      <w:pPr>
        <w:pStyle w:val="Titrearticle"/>
        <w:rPr>
          <w:noProof/>
        </w:rPr>
      </w:pPr>
      <w:r>
        <w:rPr>
          <w:noProof/>
        </w:rPr>
        <w:t>Articolul 3</w:t>
      </w:r>
    </w:p>
    <w:p>
      <w:pPr>
        <w:pStyle w:val="Titrearticle"/>
        <w:rPr>
          <w:b/>
          <w:bCs/>
          <w:noProof/>
        </w:rPr>
      </w:pPr>
      <w:r>
        <w:rPr>
          <w:b/>
          <w:noProof/>
        </w:rPr>
        <w:t>Modificări aduse Regulamentului (UE) 2017/2226 [EES]</w:t>
      </w:r>
    </w:p>
    <w:p>
      <w:pPr>
        <w:spacing w:before="0" w:after="0"/>
        <w:rPr>
          <w:noProof/>
        </w:rPr>
      </w:pPr>
    </w:p>
    <w:p>
      <w:pPr>
        <w:spacing w:before="0" w:after="0"/>
        <w:rPr>
          <w:noProof/>
        </w:rPr>
      </w:pPr>
      <w:r>
        <w:rPr>
          <w:noProof/>
        </w:rPr>
        <w:t xml:space="preserve">Regulamentul (UE) 2017/2226 se modifică după cum urmează: </w:t>
      </w:r>
    </w:p>
    <w:p>
      <w:pPr>
        <w:spacing w:before="0" w:after="0"/>
        <w:rPr>
          <w:noProof/>
        </w:rPr>
      </w:pPr>
    </w:p>
    <w:p>
      <w:pPr>
        <w:pStyle w:val="Point0number"/>
        <w:numPr>
          <w:ilvl w:val="0"/>
          <w:numId w:val="19"/>
        </w:numPr>
        <w:rPr>
          <w:noProof/>
        </w:rPr>
      </w:pPr>
      <w:r>
        <w:rPr>
          <w:noProof/>
        </w:rPr>
        <w:t>La articolul 6 alineatul (1), se adaugă următoarea literă:</w:t>
      </w:r>
    </w:p>
    <w:p>
      <w:pPr>
        <w:pStyle w:val="Point1"/>
        <w:rPr>
          <w:noProof/>
        </w:rPr>
      </w:pPr>
      <w:r>
        <w:rPr>
          <w:noProof/>
        </w:rPr>
        <w:t>„(k</w:t>
      </w:r>
      <w:r>
        <w:rPr>
          <w:rStyle w:val="FootnoteReference0"/>
          <w:noProof/>
        </w:rPr>
        <w:footnoteReference w:id="55"/>
      </w:r>
      <w:r>
        <w:rPr>
          <w:noProof/>
        </w:rPr>
        <w:t>) să sprijine obiectivele ETIAS stabilite în Regulamentul (UE) 2018/1240 al Parlamentului European și al Consiliului*.</w:t>
      </w:r>
    </w:p>
    <w:p>
      <w:pPr>
        <w:pStyle w:val="Point1"/>
        <w:rPr>
          <w:noProof/>
        </w:rPr>
      </w:pPr>
      <w:r>
        <w:rPr>
          <w:noProof/>
        </w:rPr>
        <w:t>_____________</w:t>
      </w:r>
    </w:p>
    <w:p>
      <w:pPr>
        <w:spacing w:before="0" w:after="0"/>
        <w:ind w:left="1145" w:hanging="425"/>
        <w:rPr>
          <w:noProof/>
        </w:rPr>
      </w:pPr>
      <w:r>
        <w:rPr>
          <w:noProof/>
        </w:rPr>
        <w:lastRenderedPageBreak/>
        <w:t>* 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p>
      <w:pPr>
        <w:spacing w:before="0" w:after="0"/>
        <w:ind w:left="1145" w:hanging="425"/>
        <w:rPr>
          <w:noProof/>
        </w:rPr>
      </w:pPr>
    </w:p>
    <w:p>
      <w:pPr>
        <w:pStyle w:val="Point0number"/>
        <w:spacing w:before="0"/>
        <w:rPr>
          <w:noProof/>
        </w:rPr>
      </w:pPr>
      <w:r>
        <w:rPr>
          <w:noProof/>
        </w:rPr>
        <w:t>Se introduc următoarele articole:</w:t>
      </w:r>
    </w:p>
    <w:p>
      <w:pPr>
        <w:pStyle w:val="Titrearticle"/>
        <w:rPr>
          <w:b/>
          <w:bCs/>
          <w:noProof/>
        </w:rPr>
      </w:pPr>
      <w:r>
        <w:rPr>
          <w:noProof/>
        </w:rPr>
        <w:t>„Articolul 8a</w:t>
      </w:r>
      <w:r>
        <w:rPr>
          <w:noProof/>
        </w:rPr>
        <w:br/>
      </w:r>
      <w:r>
        <w:rPr>
          <w:b/>
          <w:noProof/>
        </w:rPr>
        <w:t>Procesul automat cu ETIAS</w:t>
      </w:r>
    </w:p>
    <w:p>
      <w:pPr>
        <w:pStyle w:val="Point0"/>
        <w:ind w:left="0" w:firstLine="0"/>
        <w:rPr>
          <w:noProof/>
        </w:rPr>
      </w:pPr>
      <w:r>
        <w:rPr>
          <w:noProof/>
        </w:rPr>
        <w:t>Un proces automat, care utilizează infrastructura de comunicații securizată prevăzută la articolul 6 alineatul (2) litera (d) din Regulamentul (UE) 2018/1240, permite EES să creeze sau să actualizeze fișa de intrare/ieșire sau fișa de refuz al intrării din EES pentru un resortisant al unei țări terțe exonerat de obligația de a deține viză, în conformitate cu articolele 14 și 17 din prezentul regulament.</w:t>
      </w:r>
    </w:p>
    <w:p>
      <w:pPr>
        <w:pStyle w:val="Point0"/>
        <w:ind w:left="0" w:firstLine="0"/>
        <w:rPr>
          <w:noProof/>
        </w:rPr>
      </w:pPr>
      <w:r>
        <w:rPr>
          <w:noProof/>
        </w:rPr>
        <w:t>Atunci când se creează o fișă de intrare/ieșire a unui resortisant al unei țări terțe exonerat de obligația de a deține viză, procesul automat permite sistemului central al EES următoarele:</w:t>
      </w:r>
    </w:p>
    <w:p>
      <w:pPr>
        <w:pStyle w:val="Point1letter"/>
        <w:rPr>
          <w:noProof/>
        </w:rPr>
      </w:pPr>
      <w:r>
        <w:rPr>
          <w:noProof/>
        </w:rPr>
        <w:t xml:space="preserve">să efectueze interogări în sistemul central al ETIAS și să importe din acest </w:t>
      </w:r>
      <w:r>
        <w:rPr>
          <w:noProof/>
          <w:spacing w:val="-4"/>
        </w:rPr>
        <w:t>sistem informațiile menționate la articolul 47 alineatul (2) din Regulamentul (UE)</w:t>
      </w:r>
      <w:r>
        <w:rPr>
          <w:noProof/>
        </w:rPr>
        <w:t xml:space="preserve"> 2018/1240, numărul cererii și sfârșitul perioadei de valabilitate a unei autorizații de călătorie ETIAS;</w:t>
      </w:r>
    </w:p>
    <w:p>
      <w:pPr>
        <w:pStyle w:val="Point1letter"/>
        <w:rPr>
          <w:noProof/>
        </w:rPr>
      </w:pPr>
      <w:r>
        <w:rPr>
          <w:noProof/>
        </w:rPr>
        <w:t>să actualizeze fișa de intrare/ieșire în EES, în conformitate cu articolul 17 alineatul (2) din prezentul regulament.</w:t>
      </w:r>
    </w:p>
    <w:p>
      <w:pPr>
        <w:pStyle w:val="Titrearticle"/>
        <w:rPr>
          <w:b/>
          <w:bCs/>
          <w:noProof/>
        </w:rPr>
      </w:pPr>
      <w:r>
        <w:rPr>
          <w:noProof/>
        </w:rPr>
        <w:t>Articolul 8b</w:t>
      </w:r>
      <w:r>
        <w:rPr>
          <w:noProof/>
        </w:rPr>
        <w:br/>
      </w:r>
      <w:r>
        <w:rPr>
          <w:b/>
          <w:noProof/>
        </w:rPr>
        <w:t>Interoperabilitatea cu ETIAS în sensul articolului 11 din Regulamentul (UE) 2018/1240</w:t>
      </w:r>
    </w:p>
    <w:p>
      <w:pPr>
        <w:pStyle w:val="ManualNumPar1"/>
        <w:rPr>
          <w:noProof/>
        </w:rPr>
      </w:pPr>
      <w:r>
        <w:t>1.</w:t>
      </w:r>
      <w:r>
        <w:tab/>
      </w:r>
      <w:r>
        <w:rPr>
          <w:noProof/>
        </w:rPr>
        <w:t>De la începerea funcționării ETIAS, astfel cum este prevăzută la articolul 88 alineatul (1) din Regulamentul (UE) 2018/1240, sistemul central al EES este conectat la instrumentul menționat la articolul 11 din Regulamentul (UE) 2018/1240 pentru a permite prelucrarea automată menționată la articolul respectiv.</w:t>
      </w:r>
    </w:p>
    <w:p>
      <w:pPr>
        <w:pStyle w:val="ManualNumPar1"/>
        <w:rPr>
          <w:noProof/>
        </w:rPr>
      </w:pPr>
      <w:r>
        <w:t>2.</w:t>
      </w:r>
      <w:r>
        <w:tab/>
      </w:r>
      <w:r>
        <w:rPr>
          <w:noProof/>
        </w:rPr>
        <w:t>Fără a aduce atingere articolului 24 din Regulamentul (UE) 2018/1240, prelucrarea automată menționată la articolul 11 din Regulamentul (UE) 2018/1240 permite efectuarea verificărilor prevăzute la articolul 20 din regulamentul respectiv și a verificărilor ulterioare prevăzute la articolele 22 și 26 din regulamentul respectiv.</w:t>
      </w:r>
    </w:p>
    <w:p>
      <w:pPr>
        <w:pStyle w:val="Point1"/>
        <w:ind w:left="851" w:firstLine="0"/>
        <w:rPr>
          <w:noProof/>
        </w:rPr>
      </w:pPr>
      <w:r>
        <w:rPr>
          <w:noProof/>
        </w:rPr>
        <w:t>În scopul efectuării verificărilor menționate la articolul 20 alineatul (2) literele (g) și (h) din Regulamentul (UE) 2018/1240, sistemul central al ETIAS utilizează instrumentul menționat la articolul 11 din regulamentul respectiv pentru a compara datele din ETIAS cu datele din EES, în conformitate cu articolul 11 alineatul (8) din regulamentul respectiv, utilizând tabelul de corespondență din anexa III.</w:t>
      </w:r>
    </w:p>
    <w:p>
      <w:pPr>
        <w:pStyle w:val="Point1"/>
        <w:ind w:left="851" w:firstLine="0"/>
        <w:rPr>
          <w:noProof/>
        </w:rPr>
      </w:pPr>
      <w:r>
        <w:rPr>
          <w:noProof/>
        </w:rPr>
        <w:t>Verificările nu aduc atingere normelor specifice prevăzute la articolul 24 alineatul (3) din Regulamentul (UE) 2018/1240.”</w:t>
      </w:r>
    </w:p>
    <w:p>
      <w:pPr>
        <w:pStyle w:val="Point1"/>
        <w:spacing w:before="0" w:after="0"/>
        <w:ind w:left="851" w:firstLine="0"/>
        <w:rPr>
          <w:noProof/>
        </w:rPr>
      </w:pPr>
    </w:p>
    <w:p>
      <w:pPr>
        <w:pStyle w:val="Point0number"/>
        <w:spacing w:before="0"/>
        <w:rPr>
          <w:noProof/>
        </w:rPr>
      </w:pPr>
      <w:r>
        <w:rPr>
          <w:noProof/>
        </w:rPr>
        <w:t>La articolul 9, se introduce următorul alineat (2a):</w:t>
      </w:r>
    </w:p>
    <w:p>
      <w:pPr>
        <w:pStyle w:val="ListParagraph"/>
        <w:autoSpaceDE w:val="0"/>
        <w:autoSpaceDN w:val="0"/>
        <w:adjustRightInd w:val="0"/>
        <w:spacing w:after="0" w:line="240" w:lineRule="auto"/>
        <w:ind w:left="1418" w:hanging="567"/>
        <w:jc w:val="both"/>
        <w:rPr>
          <w:rFonts w:ascii="Times New Roman" w:hAnsi="Times New Roman" w:cs="Times New Roman"/>
          <w:noProof/>
          <w:sz w:val="24"/>
          <w:szCs w:val="24"/>
        </w:rPr>
      </w:pPr>
      <w:r>
        <w:rPr>
          <w:rFonts w:ascii="Times New Roman" w:hAnsi="Times New Roman"/>
          <w:noProof/>
          <w:sz w:val="24"/>
        </w:rPr>
        <w:t xml:space="preserve">„(2a) Personalul autorizat în mod corespunzător din cadrul unităților naționale ale ETIAS, desemnat în temeiul articolului 8 din Regulamentul (UE) 2018/1240, </w:t>
      </w:r>
      <w:r>
        <w:rPr>
          <w:rFonts w:ascii="Times New Roman" w:hAnsi="Times New Roman"/>
          <w:noProof/>
          <w:sz w:val="24"/>
        </w:rPr>
        <w:lastRenderedPageBreak/>
        <w:t>are acces la EES pentru a consulta datele într-un format care permite numai citirea.”</w:t>
      </w:r>
    </w:p>
    <w:p>
      <w:pPr>
        <w:pStyle w:val="ListParagraph"/>
        <w:autoSpaceDE w:val="0"/>
        <w:autoSpaceDN w:val="0"/>
        <w:adjustRightInd w:val="0"/>
        <w:spacing w:after="0" w:line="240" w:lineRule="auto"/>
        <w:ind w:left="1070"/>
        <w:jc w:val="both"/>
        <w:rPr>
          <w:rFonts w:ascii="Times New Roman" w:hAnsi="Times New Roman" w:cs="Times New Roman"/>
          <w:noProof/>
          <w:sz w:val="24"/>
          <w:szCs w:val="24"/>
        </w:rPr>
      </w:pPr>
    </w:p>
    <w:p>
      <w:pPr>
        <w:pStyle w:val="Point0number"/>
        <w:spacing w:before="0"/>
        <w:rPr>
          <w:noProof/>
        </w:rPr>
      </w:pPr>
      <w:r>
        <w:rPr>
          <w:noProof/>
        </w:rPr>
        <w:t>La articolul 17 alineatul (2) se adaugă un al doilea paragraf, după cum urmează:</w:t>
      </w:r>
    </w:p>
    <w:p>
      <w:pPr>
        <w:pStyle w:val="Point1"/>
        <w:rPr>
          <w:noProof/>
        </w:rPr>
      </w:pPr>
      <w:r>
        <w:rPr>
          <w:noProof/>
        </w:rPr>
        <w:t>„În fișa de intrare/ieșire se introduc, de asemenea, următoarele date:</w:t>
      </w:r>
    </w:p>
    <w:p>
      <w:pPr>
        <w:pStyle w:val="Point2letter"/>
        <w:rPr>
          <w:noProof/>
        </w:rPr>
      </w:pPr>
      <w:r>
        <w:rPr>
          <w:noProof/>
        </w:rPr>
        <w:t>numărul cererii;</w:t>
      </w:r>
    </w:p>
    <w:p>
      <w:pPr>
        <w:pStyle w:val="Point2letter"/>
        <w:rPr>
          <w:noProof/>
        </w:rPr>
      </w:pPr>
      <w:r>
        <w:rPr>
          <w:noProof/>
        </w:rPr>
        <w:t>sfârșitul perioadei de valabilitate a unei autorizații de călătorie ETIAS;</w:t>
      </w:r>
    </w:p>
    <w:p>
      <w:pPr>
        <w:pStyle w:val="Point2letter"/>
        <w:spacing w:after="0"/>
        <w:rPr>
          <w:noProof/>
        </w:rPr>
      </w:pPr>
      <w:r>
        <w:rPr>
          <w:noProof/>
        </w:rPr>
        <w:t>în cazul unei autorizații de călătorie cu valabilitate teritorială limitată, statul membru (statele membre) pentru care aceasta este valabilă.”</w:t>
      </w:r>
    </w:p>
    <w:p>
      <w:pPr>
        <w:autoSpaceDE w:val="0"/>
        <w:autoSpaceDN w:val="0"/>
        <w:adjustRightInd w:val="0"/>
        <w:spacing w:after="0"/>
        <w:ind w:left="720"/>
        <w:rPr>
          <w:noProof/>
        </w:rPr>
      </w:pPr>
    </w:p>
    <w:p>
      <w:pPr>
        <w:pStyle w:val="Point0number"/>
        <w:spacing w:before="0"/>
        <w:rPr>
          <w:noProof/>
        </w:rPr>
      </w:pPr>
      <w:r>
        <w:rPr>
          <w:noProof/>
        </w:rPr>
        <w:t>Se introduc următoarele articole:</w:t>
      </w:r>
    </w:p>
    <w:p>
      <w:pPr>
        <w:pStyle w:val="Titrearticle"/>
        <w:rPr>
          <w:b/>
          <w:noProof/>
        </w:rPr>
      </w:pPr>
      <w:r>
        <w:rPr>
          <w:noProof/>
        </w:rPr>
        <w:t>„Articolul 25a</w:t>
      </w:r>
      <w:r>
        <w:rPr>
          <w:noProof/>
        </w:rPr>
        <w:br/>
      </w:r>
      <w:r>
        <w:rPr>
          <w:b/>
          <w:noProof/>
        </w:rPr>
        <w:t>Accesarea datelor EES de către unitatea centrală a ETIAS</w:t>
      </w:r>
    </w:p>
    <w:p>
      <w:pPr>
        <w:pStyle w:val="ManualNumPar1"/>
        <w:rPr>
          <w:noProof/>
        </w:rPr>
      </w:pPr>
      <w:r>
        <w:t>1.</w:t>
      </w:r>
      <w:r>
        <w:tab/>
      </w:r>
      <w:r>
        <w:rPr>
          <w:noProof/>
        </w:rPr>
        <w:t>Unitatea centrală a ETIAS, instituită în cadrul Agenției Europene pentru Poliția de Frontieră și Garda de Coastă în conformitate cu articolul 7 din Regulamentul (UE) 2018/1240, are, în scopul îndeplinirii sarcinilor care îi sunt conferite prin Regulamentul (UE) 2018/1240, dreptul de a accesa date din EES și de a efectua căutări în aceste date în conformitate cu articolul 11 alineatul (8) din regulamentul respectiv.</w:t>
      </w:r>
    </w:p>
    <w:p>
      <w:pPr>
        <w:pStyle w:val="Text1"/>
        <w:rPr>
          <w:noProof/>
        </w:rPr>
      </w:pPr>
    </w:p>
    <w:p>
      <w:pPr>
        <w:pStyle w:val="ManualNumPar1"/>
        <w:rPr>
          <w:noProof/>
        </w:rPr>
      </w:pPr>
      <w:r>
        <w:t>2.</w:t>
      </w:r>
      <w:r>
        <w:tab/>
      </w:r>
      <w:r>
        <w:rPr>
          <w:noProof/>
        </w:rPr>
        <w:t>În cazul în care o verificare efectuată de unitatea centrală a ETIAS confirmă corespondența dintre datele înregistrate în dosarul de cerere ETIAS și datele din EES sau în cazul în care persistă îndoieli, se aplică procedura prevăzută la articolul 26 din Regulamentul (UE) 2018/1240.</w:t>
      </w:r>
    </w:p>
    <w:p>
      <w:pPr>
        <w:pStyle w:val="Titrearticle"/>
        <w:rPr>
          <w:noProof/>
        </w:rPr>
      </w:pPr>
      <w:r>
        <w:rPr>
          <w:noProof/>
        </w:rPr>
        <w:t xml:space="preserve"> Articolul 25b</w:t>
      </w:r>
      <w:r>
        <w:rPr>
          <w:noProof/>
        </w:rPr>
        <w:br/>
      </w:r>
      <w:r>
        <w:rPr>
          <w:b/>
          <w:noProof/>
        </w:rPr>
        <w:t>Utilizarea EES pentru prelucrarea manuală efectuată de unitățile naționale ale ETIAS</w:t>
      </w:r>
    </w:p>
    <w:p>
      <w:pPr>
        <w:pStyle w:val="ManualNumPar1"/>
        <w:rPr>
          <w:noProof/>
        </w:rPr>
      </w:pPr>
      <w:r>
        <w:t>1.</w:t>
      </w:r>
      <w:r>
        <w:tab/>
      </w:r>
      <w:r>
        <w:rPr>
          <w:noProof/>
        </w:rPr>
        <w:t>Pentru consultarea EES, unitățile naționale ale ETIAS menționate la articolul 8 alineatul (1) din Regulamentul (UE) 2018/1240 utilizează aceleași date alfanumerice ca cele utilizate pentru prelucrarea automată menționată la articolul 8b alineatul (2) din prezentul regulament.</w:t>
      </w:r>
    </w:p>
    <w:p>
      <w:pPr>
        <w:pStyle w:val="ManualNumPar1"/>
        <w:rPr>
          <w:noProof/>
        </w:rPr>
      </w:pPr>
      <w:r>
        <w:t>2.</w:t>
      </w:r>
      <w:r>
        <w:tab/>
      </w:r>
      <w:r>
        <w:rPr>
          <w:noProof/>
        </w:rPr>
        <w:t>Unitățile naționale ale ETIAS au acces la EES și pot consulta acest sistem, într-un format care permite numai citirea, în scopul examinării cererilor de autorizații de călătorie în temeiul articolului 8 alineatul (2) din regulamentul respectiv. Unitățile naționale ale ETIAS pot consulta datele menționate la articolele 16-18 din prezentul regulament, fără a aduce atingere articolului 24 din Regulamentul (UE) 2018/1240.</w:t>
      </w:r>
    </w:p>
    <w:p>
      <w:pPr>
        <w:pStyle w:val="ManualNumPar1"/>
        <w:rPr>
          <w:noProof/>
        </w:rPr>
      </w:pPr>
      <w:r>
        <w:t>3.</w:t>
      </w:r>
      <w:r>
        <w:tab/>
      </w:r>
      <w:r>
        <w:rPr>
          <w:noProof/>
        </w:rPr>
        <w:t>În urma unui acces efectuat în temeiul alineatului (1), personalul autorizat în mod corespunzător din cadrul unităților naționale ale ETIAS înregistrează numai rezultatul evaluării și efectuează înregistrarea acestui rezultat în dosarele de cerere ale ETIAS.”</w:t>
      </w:r>
    </w:p>
    <w:p>
      <w:pPr>
        <w:pStyle w:val="Text1"/>
        <w:spacing w:before="0" w:after="0"/>
        <w:ind w:left="0"/>
        <w:rPr>
          <w:noProof/>
        </w:rPr>
      </w:pPr>
    </w:p>
    <w:p>
      <w:pPr>
        <w:pStyle w:val="Point0number"/>
        <w:spacing w:before="0" w:after="0"/>
        <w:rPr>
          <w:noProof/>
        </w:rPr>
      </w:pPr>
      <w:r>
        <w:rPr>
          <w:noProof/>
        </w:rPr>
        <w:t>Articolul 28 se înlocuiește cu următorul text:</w:t>
      </w:r>
    </w:p>
    <w:p>
      <w:pPr>
        <w:autoSpaceDE w:val="0"/>
        <w:autoSpaceDN w:val="0"/>
        <w:adjustRightInd w:val="0"/>
        <w:spacing w:after="0"/>
        <w:ind w:left="720"/>
        <w:jc w:val="center"/>
        <w:rPr>
          <w:b/>
          <w:noProof/>
        </w:rPr>
      </w:pPr>
      <w:r>
        <w:rPr>
          <w:noProof/>
        </w:rPr>
        <w:lastRenderedPageBreak/>
        <w:t>„Articolul 28</w:t>
      </w:r>
      <w:r>
        <w:rPr>
          <w:noProof/>
        </w:rPr>
        <w:br/>
      </w:r>
      <w:r>
        <w:rPr>
          <w:b/>
          <w:noProof/>
        </w:rPr>
        <w:t>Păstrarea datelor recuperate din EES</w:t>
      </w:r>
    </w:p>
    <w:p>
      <w:pPr>
        <w:pStyle w:val="Point1"/>
        <w:spacing w:before="0" w:after="0"/>
        <w:ind w:left="851" w:hanging="1"/>
        <w:rPr>
          <w:noProof/>
        </w:rPr>
      </w:pPr>
      <w:r>
        <w:rPr>
          <w:noProof/>
        </w:rPr>
        <w:t>Datele recuperate din EES în temeiul articolelor 24, 25, 26 și 27 pot fi păstrate în dosarele naționale, iar datele recuperate din EES în temeiul articolului 25a pot fi păstrate în dosarul de cerere ETIAS numai dacă acest lucru este necesar într-un caz individual, în conformitate cu scopul pentru care au fost recuperate și cu dreptul relevant al Uniunii, în special cu dispozițiile referitoare la protecția datelor, pentru o perioadă care să nu depășească strictul necesar în cazul individual respectiv.”</w:t>
      </w:r>
    </w:p>
    <w:p>
      <w:pPr>
        <w:pStyle w:val="Point1"/>
        <w:spacing w:before="0" w:after="0"/>
        <w:ind w:left="851" w:hanging="1"/>
        <w:rPr>
          <w:noProof/>
        </w:rPr>
      </w:pPr>
    </w:p>
    <w:p>
      <w:pPr>
        <w:pStyle w:val="Point0number"/>
        <w:rPr>
          <w:noProof/>
        </w:rPr>
      </w:pPr>
      <w:r>
        <w:rPr>
          <w:b/>
          <w:noProof/>
        </w:rPr>
        <w:t xml:space="preserve"> </w:t>
      </w:r>
      <w:r>
        <w:rPr>
          <w:noProof/>
        </w:rPr>
        <w:t>La articolul 46 alineatul (2), se adaugă un al doilea paragraf, după cum urmează:</w:t>
      </w:r>
    </w:p>
    <w:p>
      <w:pPr>
        <w:pStyle w:val="Point1"/>
        <w:spacing w:after="0"/>
        <w:ind w:left="993" w:hanging="143"/>
        <w:rPr>
          <w:noProof/>
        </w:rPr>
      </w:pPr>
      <w:r>
        <w:rPr>
          <w:noProof/>
        </w:rPr>
        <w:t>„În vederea consultărilor menționate la articolele 8a, 8b și 25a din prezentul regulament, se ține evidența tuturor operațiunilor de prelucrare a datelor efectuate în cadrul EES și al ETIAS în conformitate cu prezentul articol și cu articolul 69 din Regulamentul (UE) 2018/1240.”</w:t>
      </w:r>
    </w:p>
    <w:p>
      <w:pPr>
        <w:autoSpaceDE w:val="0"/>
        <w:autoSpaceDN w:val="0"/>
        <w:adjustRightInd w:val="0"/>
        <w:spacing w:before="0" w:after="0"/>
        <w:rPr>
          <w:noProof/>
        </w:rPr>
      </w:pPr>
    </w:p>
    <w:p>
      <w:pPr>
        <w:pStyle w:val="Point0number"/>
        <w:spacing w:before="0"/>
        <w:rPr>
          <w:noProof/>
        </w:rPr>
      </w:pPr>
      <w:r>
        <w:rPr>
          <w:noProof/>
        </w:rPr>
        <w:t>Se adaugă următoarea anexă:</w:t>
      </w:r>
    </w:p>
    <w:p>
      <w:pPr>
        <w:autoSpaceDE w:val="0"/>
        <w:autoSpaceDN w:val="0"/>
        <w:adjustRightInd w:val="0"/>
        <w:spacing w:before="0" w:after="0"/>
        <w:rPr>
          <w:noProof/>
        </w:rPr>
      </w:pPr>
    </w:p>
    <w:p>
      <w:pPr>
        <w:pStyle w:val="Point0"/>
        <w:spacing w:before="0"/>
        <w:rPr>
          <w:noProof/>
        </w:rPr>
      </w:pPr>
      <w:r>
        <w:rPr>
          <w:noProof/>
        </w:rPr>
        <w:t>„Anexa III</w:t>
      </w:r>
    </w:p>
    <w:p>
      <w:pPr>
        <w:pStyle w:val="Point0"/>
        <w:rPr>
          <w:noProof/>
        </w:rPr>
      </w:pPr>
      <w:r>
        <w:rPr>
          <w:noProof/>
        </w:rPr>
        <w:t>Tabelul de corespondență menționat la articolul 8b</w:t>
      </w:r>
    </w:p>
    <w:tbl>
      <w:tblPr>
        <w:tblStyle w:val="TableGrid"/>
        <w:tblW w:w="8224" w:type="dxa"/>
        <w:tblLook w:val="04A0" w:firstRow="1" w:lastRow="0" w:firstColumn="1" w:lastColumn="0" w:noHBand="0" w:noVBand="1"/>
      </w:tblPr>
      <w:tblGrid>
        <w:gridCol w:w="4210"/>
        <w:gridCol w:w="4014"/>
      </w:tblGrid>
      <w:tr>
        <w:tc>
          <w:tcPr>
            <w:tcW w:w="4210" w:type="dxa"/>
          </w:tcPr>
          <w:p>
            <w:pPr>
              <w:autoSpaceDE w:val="0"/>
              <w:autoSpaceDN w:val="0"/>
              <w:adjustRightInd w:val="0"/>
              <w:spacing w:before="0" w:after="0"/>
              <w:ind w:left="698" w:firstLine="11"/>
              <w:rPr>
                <w:b/>
                <w:i/>
                <w:noProof/>
              </w:rPr>
            </w:pPr>
            <w:r>
              <w:rPr>
                <w:b/>
                <w:i/>
                <w:noProof/>
              </w:rPr>
              <w:t>Datele menționate la articolul 17 alineatul (2) din Regulamentul nr. 2018/1240 transmise de sistemul central al ETIAS</w:t>
            </w:r>
          </w:p>
        </w:tc>
        <w:tc>
          <w:tcPr>
            <w:tcW w:w="4014" w:type="dxa"/>
          </w:tcPr>
          <w:p>
            <w:pPr>
              <w:autoSpaceDE w:val="0"/>
              <w:autoSpaceDN w:val="0"/>
              <w:adjustRightInd w:val="0"/>
              <w:spacing w:before="0" w:after="0"/>
              <w:ind w:left="646"/>
              <w:rPr>
                <w:b/>
                <w:i/>
                <w:noProof/>
              </w:rPr>
            </w:pPr>
            <w:r>
              <w:rPr>
                <w:b/>
                <w:i/>
                <w:noProof/>
              </w:rPr>
              <w:t>Datele corespunzătoare din EES, menționate la articolul 17 alineatul (1) litera (a) din prezentul regulament, în raport cu care ar trebui verificate datele din ETIAS</w:t>
            </w:r>
          </w:p>
        </w:tc>
      </w:tr>
      <w:tr>
        <w:tc>
          <w:tcPr>
            <w:tcW w:w="4210" w:type="dxa"/>
          </w:tcPr>
          <w:p>
            <w:pPr>
              <w:autoSpaceDE w:val="0"/>
              <w:autoSpaceDN w:val="0"/>
              <w:adjustRightInd w:val="0"/>
              <w:spacing w:before="0" w:after="0"/>
              <w:ind w:left="993" w:hanging="284"/>
              <w:rPr>
                <w:noProof/>
              </w:rPr>
            </w:pPr>
            <w:r>
              <w:rPr>
                <w:noProof/>
              </w:rPr>
              <w:t>numele (de familie)</w:t>
            </w:r>
          </w:p>
        </w:tc>
        <w:tc>
          <w:tcPr>
            <w:tcW w:w="4014" w:type="dxa"/>
          </w:tcPr>
          <w:p>
            <w:pPr>
              <w:autoSpaceDE w:val="0"/>
              <w:autoSpaceDN w:val="0"/>
              <w:adjustRightInd w:val="0"/>
              <w:spacing w:before="0" w:after="0"/>
              <w:ind w:left="993" w:hanging="284"/>
              <w:rPr>
                <w:noProof/>
              </w:rPr>
            </w:pPr>
            <w:r>
              <w:rPr>
                <w:noProof/>
              </w:rPr>
              <w:t>numele</w:t>
            </w:r>
          </w:p>
        </w:tc>
      </w:tr>
      <w:tr>
        <w:tc>
          <w:tcPr>
            <w:tcW w:w="4210" w:type="dxa"/>
          </w:tcPr>
          <w:p>
            <w:pPr>
              <w:autoSpaceDE w:val="0"/>
              <w:autoSpaceDN w:val="0"/>
              <w:adjustRightInd w:val="0"/>
              <w:spacing w:before="0" w:after="0"/>
              <w:ind w:left="993" w:hanging="284"/>
              <w:rPr>
                <w:noProof/>
              </w:rPr>
            </w:pPr>
            <w:r>
              <w:rPr>
                <w:noProof/>
              </w:rPr>
              <w:t>numele la naștere</w:t>
            </w:r>
          </w:p>
        </w:tc>
        <w:tc>
          <w:tcPr>
            <w:tcW w:w="4014" w:type="dxa"/>
          </w:tcPr>
          <w:p>
            <w:pPr>
              <w:autoSpaceDE w:val="0"/>
              <w:autoSpaceDN w:val="0"/>
              <w:adjustRightInd w:val="0"/>
              <w:spacing w:before="0" w:after="0"/>
              <w:ind w:left="993" w:hanging="284"/>
              <w:rPr>
                <w:noProof/>
              </w:rPr>
            </w:pPr>
            <w:r>
              <w:rPr>
                <w:noProof/>
              </w:rPr>
              <w:t>numele</w:t>
            </w:r>
          </w:p>
        </w:tc>
      </w:tr>
      <w:tr>
        <w:tc>
          <w:tcPr>
            <w:tcW w:w="4210" w:type="dxa"/>
          </w:tcPr>
          <w:p>
            <w:pPr>
              <w:autoSpaceDE w:val="0"/>
              <w:autoSpaceDN w:val="0"/>
              <w:adjustRightInd w:val="0"/>
              <w:spacing w:before="0" w:after="0"/>
              <w:ind w:left="993" w:hanging="284"/>
              <w:rPr>
                <w:noProof/>
              </w:rPr>
            </w:pPr>
            <w:r>
              <w:rPr>
                <w:noProof/>
              </w:rPr>
              <w:t>prenumele (numele de botez)</w:t>
            </w:r>
          </w:p>
        </w:tc>
        <w:tc>
          <w:tcPr>
            <w:tcW w:w="4014" w:type="dxa"/>
          </w:tcPr>
          <w:p>
            <w:pPr>
              <w:autoSpaceDE w:val="0"/>
              <w:autoSpaceDN w:val="0"/>
              <w:adjustRightInd w:val="0"/>
              <w:spacing w:before="0" w:after="0"/>
              <w:ind w:left="993" w:hanging="284"/>
              <w:rPr>
                <w:noProof/>
              </w:rPr>
            </w:pPr>
            <w:r>
              <w:rPr>
                <w:noProof/>
              </w:rPr>
              <w:t>prenumele</w:t>
            </w:r>
          </w:p>
        </w:tc>
      </w:tr>
      <w:tr>
        <w:tc>
          <w:tcPr>
            <w:tcW w:w="4210" w:type="dxa"/>
          </w:tcPr>
          <w:p>
            <w:pPr>
              <w:autoSpaceDE w:val="0"/>
              <w:autoSpaceDN w:val="0"/>
              <w:adjustRightInd w:val="0"/>
              <w:spacing w:before="0" w:after="0"/>
              <w:ind w:left="698" w:firstLine="11"/>
              <w:rPr>
                <w:noProof/>
              </w:rPr>
            </w:pPr>
            <w:r>
              <w:rPr>
                <w:noProof/>
              </w:rPr>
              <w:t>alte nume [pseudonim, nume artistic(e), nume uzual(e)];</w:t>
            </w:r>
          </w:p>
        </w:tc>
        <w:tc>
          <w:tcPr>
            <w:tcW w:w="4014" w:type="dxa"/>
          </w:tcPr>
          <w:p>
            <w:pPr>
              <w:autoSpaceDE w:val="0"/>
              <w:autoSpaceDN w:val="0"/>
              <w:adjustRightInd w:val="0"/>
              <w:spacing w:before="0" w:after="0"/>
              <w:ind w:left="993" w:hanging="284"/>
              <w:rPr>
                <w:noProof/>
              </w:rPr>
            </w:pPr>
            <w:r>
              <w:rPr>
                <w:noProof/>
              </w:rPr>
              <w:t>prenumele</w:t>
            </w:r>
          </w:p>
        </w:tc>
      </w:tr>
      <w:tr>
        <w:tc>
          <w:tcPr>
            <w:tcW w:w="4210" w:type="dxa"/>
          </w:tcPr>
          <w:p>
            <w:pPr>
              <w:autoSpaceDE w:val="0"/>
              <w:autoSpaceDN w:val="0"/>
              <w:adjustRightInd w:val="0"/>
              <w:spacing w:before="0" w:after="0"/>
              <w:ind w:left="993" w:hanging="284"/>
              <w:rPr>
                <w:noProof/>
              </w:rPr>
            </w:pPr>
            <w:r>
              <w:rPr>
                <w:noProof/>
              </w:rPr>
              <w:t>data nașterii</w:t>
            </w:r>
          </w:p>
        </w:tc>
        <w:tc>
          <w:tcPr>
            <w:tcW w:w="4014" w:type="dxa"/>
          </w:tcPr>
          <w:p>
            <w:pPr>
              <w:autoSpaceDE w:val="0"/>
              <w:autoSpaceDN w:val="0"/>
              <w:adjustRightInd w:val="0"/>
              <w:spacing w:before="0" w:after="0"/>
              <w:ind w:left="993" w:hanging="284"/>
              <w:rPr>
                <w:noProof/>
              </w:rPr>
            </w:pPr>
            <w:r>
              <w:rPr>
                <w:noProof/>
              </w:rPr>
              <w:t>data nașterii</w:t>
            </w:r>
          </w:p>
        </w:tc>
      </w:tr>
      <w:tr>
        <w:tc>
          <w:tcPr>
            <w:tcW w:w="4210" w:type="dxa"/>
          </w:tcPr>
          <w:p>
            <w:pPr>
              <w:autoSpaceDE w:val="0"/>
              <w:autoSpaceDN w:val="0"/>
              <w:adjustRightInd w:val="0"/>
              <w:spacing w:before="0" w:after="0"/>
              <w:ind w:left="993" w:hanging="284"/>
              <w:rPr>
                <w:noProof/>
              </w:rPr>
            </w:pPr>
            <w:r>
              <w:rPr>
                <w:noProof/>
              </w:rPr>
              <w:t>sexul</w:t>
            </w:r>
          </w:p>
        </w:tc>
        <w:tc>
          <w:tcPr>
            <w:tcW w:w="4014" w:type="dxa"/>
          </w:tcPr>
          <w:p>
            <w:pPr>
              <w:autoSpaceDE w:val="0"/>
              <w:autoSpaceDN w:val="0"/>
              <w:adjustRightInd w:val="0"/>
              <w:spacing w:before="0" w:after="0"/>
              <w:ind w:left="993" w:hanging="284"/>
              <w:rPr>
                <w:noProof/>
              </w:rPr>
            </w:pPr>
            <w:r>
              <w:rPr>
                <w:noProof/>
              </w:rPr>
              <w:t>sexul</w:t>
            </w:r>
          </w:p>
        </w:tc>
      </w:tr>
      <w:tr>
        <w:tc>
          <w:tcPr>
            <w:tcW w:w="4210" w:type="dxa"/>
          </w:tcPr>
          <w:p>
            <w:pPr>
              <w:autoSpaceDE w:val="0"/>
              <w:autoSpaceDN w:val="0"/>
              <w:adjustRightInd w:val="0"/>
              <w:spacing w:before="0" w:after="0"/>
              <w:ind w:left="993" w:hanging="284"/>
              <w:rPr>
                <w:noProof/>
              </w:rPr>
            </w:pPr>
            <w:r>
              <w:rPr>
                <w:noProof/>
              </w:rPr>
              <w:t>cetățenia actuală</w:t>
            </w:r>
          </w:p>
        </w:tc>
        <w:tc>
          <w:tcPr>
            <w:tcW w:w="4014" w:type="dxa"/>
          </w:tcPr>
          <w:p>
            <w:pPr>
              <w:autoSpaceDE w:val="0"/>
              <w:autoSpaceDN w:val="0"/>
              <w:adjustRightInd w:val="0"/>
              <w:spacing w:before="0" w:after="0"/>
              <w:ind w:left="993" w:hanging="284"/>
              <w:rPr>
                <w:noProof/>
              </w:rPr>
            </w:pPr>
            <w:r>
              <w:rPr>
                <w:noProof/>
              </w:rPr>
              <w:t>cetățenia sau cetățeniile</w:t>
            </w:r>
          </w:p>
        </w:tc>
      </w:tr>
      <w:tr>
        <w:tc>
          <w:tcPr>
            <w:tcW w:w="4210" w:type="dxa"/>
          </w:tcPr>
          <w:p>
            <w:pPr>
              <w:autoSpaceDE w:val="0"/>
              <w:autoSpaceDN w:val="0"/>
              <w:adjustRightInd w:val="0"/>
              <w:spacing w:before="0" w:after="0"/>
              <w:ind w:left="993" w:hanging="284"/>
              <w:rPr>
                <w:noProof/>
              </w:rPr>
            </w:pPr>
            <w:r>
              <w:rPr>
                <w:noProof/>
              </w:rPr>
              <w:t>alte cetățenii (dacă este cazul)</w:t>
            </w:r>
          </w:p>
        </w:tc>
        <w:tc>
          <w:tcPr>
            <w:tcW w:w="4014" w:type="dxa"/>
          </w:tcPr>
          <w:p>
            <w:pPr>
              <w:autoSpaceDE w:val="0"/>
              <w:autoSpaceDN w:val="0"/>
              <w:adjustRightInd w:val="0"/>
              <w:spacing w:before="0" w:after="0"/>
              <w:ind w:left="993" w:hanging="284"/>
              <w:rPr>
                <w:noProof/>
              </w:rPr>
            </w:pPr>
            <w:r>
              <w:rPr>
                <w:noProof/>
              </w:rPr>
              <w:t>cetățenia sau cetățeniile</w:t>
            </w:r>
          </w:p>
        </w:tc>
      </w:tr>
      <w:tr>
        <w:tc>
          <w:tcPr>
            <w:tcW w:w="4210" w:type="dxa"/>
          </w:tcPr>
          <w:p>
            <w:pPr>
              <w:autoSpaceDE w:val="0"/>
              <w:autoSpaceDN w:val="0"/>
              <w:adjustRightInd w:val="0"/>
              <w:spacing w:before="0" w:after="0"/>
              <w:ind w:left="993" w:hanging="284"/>
              <w:rPr>
                <w:noProof/>
              </w:rPr>
            </w:pPr>
            <w:r>
              <w:rPr>
                <w:noProof/>
              </w:rPr>
              <w:t>tipul documentului de călătorie</w:t>
            </w:r>
          </w:p>
        </w:tc>
        <w:tc>
          <w:tcPr>
            <w:tcW w:w="4014" w:type="dxa"/>
          </w:tcPr>
          <w:p>
            <w:pPr>
              <w:autoSpaceDE w:val="0"/>
              <w:autoSpaceDN w:val="0"/>
              <w:adjustRightInd w:val="0"/>
              <w:spacing w:before="0" w:after="0"/>
              <w:ind w:left="993" w:hanging="284"/>
              <w:rPr>
                <w:noProof/>
              </w:rPr>
            </w:pPr>
            <w:r>
              <w:rPr>
                <w:noProof/>
              </w:rPr>
              <w:t>tipul documentului de călătorie</w:t>
            </w:r>
          </w:p>
        </w:tc>
      </w:tr>
      <w:tr>
        <w:tc>
          <w:tcPr>
            <w:tcW w:w="4210" w:type="dxa"/>
          </w:tcPr>
          <w:p>
            <w:pPr>
              <w:autoSpaceDE w:val="0"/>
              <w:autoSpaceDN w:val="0"/>
              <w:adjustRightInd w:val="0"/>
              <w:spacing w:before="0" w:after="0"/>
              <w:ind w:left="993" w:hanging="284"/>
              <w:rPr>
                <w:noProof/>
              </w:rPr>
            </w:pPr>
            <w:r>
              <w:rPr>
                <w:noProof/>
              </w:rPr>
              <w:t>numărul documentului de călătorie</w:t>
            </w:r>
          </w:p>
        </w:tc>
        <w:tc>
          <w:tcPr>
            <w:tcW w:w="4014" w:type="dxa"/>
          </w:tcPr>
          <w:p>
            <w:pPr>
              <w:autoSpaceDE w:val="0"/>
              <w:autoSpaceDN w:val="0"/>
              <w:adjustRightInd w:val="0"/>
              <w:spacing w:before="0" w:after="0"/>
              <w:ind w:left="993" w:hanging="284"/>
              <w:rPr>
                <w:noProof/>
              </w:rPr>
            </w:pPr>
            <w:r>
              <w:rPr>
                <w:noProof/>
              </w:rPr>
              <w:t>numărul documentului de călătorie</w:t>
            </w:r>
          </w:p>
        </w:tc>
      </w:tr>
      <w:tr>
        <w:tc>
          <w:tcPr>
            <w:tcW w:w="4210" w:type="dxa"/>
          </w:tcPr>
          <w:p>
            <w:pPr>
              <w:autoSpaceDE w:val="0"/>
              <w:autoSpaceDN w:val="0"/>
              <w:adjustRightInd w:val="0"/>
              <w:spacing w:before="0" w:after="0"/>
              <w:ind w:left="698" w:hanging="1"/>
              <w:rPr>
                <w:noProof/>
              </w:rPr>
            </w:pPr>
            <w:r>
              <w:rPr>
                <w:noProof/>
              </w:rPr>
              <w:t>țara emitentă a documentului de călătorie</w:t>
            </w:r>
          </w:p>
        </w:tc>
        <w:tc>
          <w:tcPr>
            <w:tcW w:w="4014" w:type="dxa"/>
          </w:tcPr>
          <w:p>
            <w:pPr>
              <w:autoSpaceDE w:val="0"/>
              <w:autoSpaceDN w:val="0"/>
              <w:adjustRightInd w:val="0"/>
              <w:spacing w:before="0" w:after="0"/>
              <w:ind w:left="788"/>
              <w:rPr>
                <w:noProof/>
              </w:rPr>
            </w:pPr>
            <w:r>
              <w:rPr>
                <w:noProof/>
              </w:rPr>
              <w:t>codul din trei litere al țării emitente a documentului de călătorie</w:t>
            </w:r>
          </w:p>
        </w:tc>
      </w:tr>
    </w:tbl>
    <w:p>
      <w:pPr>
        <w:autoSpaceDE w:val="0"/>
        <w:autoSpaceDN w:val="0"/>
        <w:adjustRightInd w:val="0"/>
        <w:spacing w:before="0" w:after="0"/>
        <w:rPr>
          <w:noProof/>
        </w:rPr>
      </w:pPr>
      <w:r>
        <w:rPr>
          <w:noProof/>
        </w:rPr>
        <w:t>”</w:t>
      </w:r>
    </w:p>
    <w:p>
      <w:pPr>
        <w:pStyle w:val="Titrearticle"/>
        <w:spacing w:before="0"/>
        <w:jc w:val="both"/>
        <w:rPr>
          <w:noProof/>
        </w:rPr>
      </w:pPr>
    </w:p>
    <w:p>
      <w:pPr>
        <w:pStyle w:val="Titrearticle"/>
        <w:spacing w:before="0"/>
        <w:rPr>
          <w:noProof/>
        </w:rPr>
      </w:pPr>
      <w:r>
        <w:rPr>
          <w:noProof/>
        </w:rPr>
        <w:t>Articolul 4</w:t>
      </w:r>
    </w:p>
    <w:p>
      <w:pPr>
        <w:pStyle w:val="Titrearticle"/>
        <w:rPr>
          <w:b/>
          <w:bCs/>
          <w:noProof/>
        </w:rPr>
      </w:pPr>
      <w:r>
        <w:rPr>
          <w:b/>
          <w:noProof/>
        </w:rPr>
        <w:t>Modificări aduse Regulamentului (UE) 2018/1861 [SIS în domeniul verificărilor la frontiere]</w:t>
      </w:r>
    </w:p>
    <w:p>
      <w:pPr>
        <w:pStyle w:val="Point0"/>
        <w:spacing w:before="0" w:after="0"/>
        <w:rPr>
          <w:noProof/>
        </w:rPr>
      </w:pPr>
    </w:p>
    <w:p>
      <w:pPr>
        <w:pStyle w:val="Point0"/>
        <w:spacing w:before="0" w:after="0"/>
        <w:rPr>
          <w:noProof/>
        </w:rPr>
      </w:pPr>
      <w:r>
        <w:rPr>
          <w:noProof/>
        </w:rPr>
        <w:lastRenderedPageBreak/>
        <w:t>Regulamentul (UE) 2018/1861 se modifică după cum urmează:</w:t>
      </w:r>
    </w:p>
    <w:p>
      <w:pPr>
        <w:pStyle w:val="Point0"/>
        <w:spacing w:before="0" w:after="0"/>
        <w:rPr>
          <w:noProof/>
        </w:rPr>
      </w:pPr>
    </w:p>
    <w:p>
      <w:pPr>
        <w:pStyle w:val="Point0number"/>
        <w:numPr>
          <w:ilvl w:val="0"/>
          <w:numId w:val="23"/>
        </w:numPr>
        <w:spacing w:before="0" w:after="0"/>
        <w:rPr>
          <w:noProof/>
        </w:rPr>
      </w:pPr>
      <w:r>
        <w:rPr>
          <w:noProof/>
        </w:rPr>
        <w:t>În capitolul III, se adaugă următorul articol:</w:t>
      </w:r>
    </w:p>
    <w:p>
      <w:pPr>
        <w:pStyle w:val="Titrearticle"/>
        <w:rPr>
          <w:b/>
          <w:bCs/>
          <w:noProof/>
        </w:rPr>
      </w:pPr>
      <w:r>
        <w:rPr>
          <w:noProof/>
        </w:rPr>
        <w:t>„Articolul 18a</w:t>
      </w:r>
      <w:r>
        <w:rPr>
          <w:noProof/>
        </w:rPr>
        <w:br/>
      </w:r>
      <w:r>
        <w:rPr>
          <w:b/>
          <w:noProof/>
        </w:rPr>
        <w:t>Păstrarea înregistrărilor în scopul interoperabilității cu ETIAS în sensul articolului 11 din Regulamentul (UE) 2018/1240</w:t>
      </w:r>
    </w:p>
    <w:p>
      <w:pPr>
        <w:pStyle w:val="Point1"/>
        <w:ind w:left="1276" w:firstLine="0"/>
        <w:rPr>
          <w:noProof/>
        </w:rPr>
      </w:pPr>
      <w:r>
        <w:rPr>
          <w:noProof/>
        </w:rPr>
        <w:t>Înregistrările fiecărei operațiuni de prelucrare a datelor efectuate în SIS și în ETIAS în temeiul articolelor 36a și 36b se păstrează în conformitate cu articolul 18 din prezentul regulament și cu articolul 69 din Regulamentul (UE) 2018/1240 al Parlamentului European și al Consiliului*.</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p>
      <w:pPr>
        <w:autoSpaceDE w:val="0"/>
        <w:autoSpaceDN w:val="0"/>
        <w:adjustRightInd w:val="0"/>
        <w:spacing w:before="0" w:after="0"/>
        <w:rPr>
          <w:noProof/>
        </w:rPr>
      </w:pPr>
    </w:p>
    <w:p>
      <w:pPr>
        <w:pStyle w:val="Point0number"/>
        <w:numPr>
          <w:ilvl w:val="0"/>
          <w:numId w:val="6"/>
        </w:numPr>
        <w:spacing w:before="0" w:after="0"/>
        <w:rPr>
          <w:noProof/>
        </w:rPr>
      </w:pPr>
      <w:r>
        <w:rPr>
          <w:noProof/>
        </w:rPr>
        <w:t>La articolul 34 alineatul (1), se adaugă următoarea literă:</w:t>
      </w:r>
    </w:p>
    <w:p>
      <w:pPr>
        <w:spacing w:before="0" w:after="0"/>
        <w:rPr>
          <w:noProof/>
        </w:rPr>
      </w:pPr>
    </w:p>
    <w:p>
      <w:pPr>
        <w:pStyle w:val="ListParagraph"/>
        <w:spacing w:after="0"/>
        <w:ind w:left="1418" w:hanging="567"/>
        <w:rPr>
          <w:rFonts w:ascii="Times New Roman" w:hAnsi="Times New Roman" w:cs="Times New Roman"/>
          <w:noProof/>
          <w:sz w:val="24"/>
        </w:rPr>
      </w:pPr>
      <w:r>
        <w:rPr>
          <w:rFonts w:ascii="Times New Roman" w:hAnsi="Times New Roman"/>
          <w:noProof/>
          <w:sz w:val="24"/>
        </w:rPr>
        <w:t>„(g) prelucrarea manuală a cererilor ETIAS de către unitatea națională a ETIAS, în temeiul articolului 8 din Regulamentul (UE) 2018/1240.”</w:t>
      </w:r>
    </w:p>
    <w:p>
      <w:pPr>
        <w:spacing w:before="0" w:after="0"/>
        <w:rPr>
          <w:noProof/>
        </w:rPr>
      </w:pPr>
    </w:p>
    <w:p>
      <w:pPr>
        <w:pStyle w:val="Point0number"/>
        <w:spacing w:before="0" w:after="0"/>
        <w:rPr>
          <w:noProof/>
        </w:rPr>
      </w:pPr>
      <w:r>
        <w:rPr>
          <w:noProof/>
        </w:rPr>
        <w:t>Se introduc următoarele articole:</w:t>
      </w:r>
    </w:p>
    <w:p>
      <w:pPr>
        <w:pStyle w:val="Titrearticle"/>
        <w:rPr>
          <w:b/>
          <w:noProof/>
        </w:rPr>
      </w:pPr>
      <w:r>
        <w:rPr>
          <w:noProof/>
        </w:rPr>
        <w:t>„Articolul 36a</w:t>
      </w:r>
      <w:r>
        <w:rPr>
          <w:noProof/>
        </w:rPr>
        <w:br/>
      </w:r>
      <w:r>
        <w:rPr>
          <w:b/>
          <w:noProof/>
        </w:rPr>
        <w:t xml:space="preserve">Accesarea datelor SIS de către unitatea centrală a ETIAS </w:t>
      </w:r>
    </w:p>
    <w:p>
      <w:pPr>
        <w:pStyle w:val="ManualNumPar1"/>
        <w:rPr>
          <w:noProof/>
        </w:rPr>
      </w:pPr>
      <w:r>
        <w:t>1.</w:t>
      </w:r>
      <w:r>
        <w:tab/>
      </w:r>
      <w:r>
        <w:rPr>
          <w:noProof/>
        </w:rPr>
        <w:t>Unitatea centrală a ETIAS, instituită în cadrul Agenției Europene pentru Poliția de Frontieră și Garda de Coastă în conformitate cu articolul 7 din Regulamentul (UE) 2018/1240, are, în scopul îndeplinirii sarcinilor care îi sunt conferite prin Regulamentul (UE) 2018/1240, dreptul de a accesa date relevante introduse în SIS și de a efectua căutări în aceste date. În cazul accesului și căutării în cauză se aplică dispozițiile prevăzute la articolul 36 alineatele (4)-(8).</w:t>
      </w:r>
    </w:p>
    <w:p>
      <w:pPr>
        <w:pStyle w:val="ManualNumPar1"/>
        <w:rPr>
          <w:noProof/>
        </w:rPr>
      </w:pPr>
      <w:r>
        <w:t>2.</w:t>
      </w:r>
      <w:r>
        <w:tab/>
      </w:r>
      <w:r>
        <w:rPr>
          <w:noProof/>
        </w:rPr>
        <w:t>Fără a aduce atingere articolului 24 din Regulamentul (UE) 2018/1240, în cazul în care o verificare efectuată de unitatea centrală a ETIAS confirmă corespondența datelor înregistrate în dosarul de cerere ETIAS cu o semnalare din SIS, se aplică procedura prevăzută la articolul 26 din Regulamentul (UE) 2018/1240.</w:t>
      </w:r>
    </w:p>
    <w:p>
      <w:pPr>
        <w:pStyle w:val="Titrearticle"/>
        <w:rPr>
          <w:b/>
          <w:bCs/>
          <w:noProof/>
        </w:rPr>
      </w:pPr>
      <w:r>
        <w:rPr>
          <w:noProof/>
        </w:rPr>
        <w:t>Articolul 36b</w:t>
      </w:r>
      <w:r>
        <w:rPr>
          <w:noProof/>
        </w:rPr>
        <w:br/>
      </w:r>
      <w:r>
        <w:rPr>
          <w:b/>
          <w:noProof/>
        </w:rPr>
        <w:t>Interoperabilitatea cu ETIAS în sensul articolului 11 din Regulamentul (UE) 2018/1240</w:t>
      </w:r>
    </w:p>
    <w:p>
      <w:pPr>
        <w:pStyle w:val="ManualNumPar1"/>
        <w:rPr>
          <w:noProof/>
        </w:rPr>
      </w:pPr>
      <w:r>
        <w:t>1.</w:t>
      </w:r>
      <w:r>
        <w:tab/>
      </w:r>
      <w:r>
        <w:rPr>
          <w:noProof/>
        </w:rPr>
        <w:t>De la începerea funcționării ETIAS, astfel cum este prevăzută la articolul 88 alineatul (1) din Regulamentul (UE) 2018/1240, sistemul central al SIS este conectat la instrumentul menționat la articolul 11 din Regulamentul (UE) 2018/1240 pentru a permite prelucrarea automată menționată la articolul respectiv.</w:t>
      </w:r>
    </w:p>
    <w:p>
      <w:pPr>
        <w:pStyle w:val="ManualNumPar1"/>
        <w:rPr>
          <w:noProof/>
        </w:rPr>
      </w:pPr>
      <w:r>
        <w:t>2.</w:t>
      </w:r>
      <w:r>
        <w:tab/>
      </w:r>
      <w:r>
        <w:rPr>
          <w:noProof/>
        </w:rPr>
        <w:t xml:space="preserve">În scopul efectuării verificărilor menționate la articolul 20 alineatul (2) litera (c), litera (m) punctul (ii) și litera (o) din Regulamentul (UE) 2018/1240, sistemul central </w:t>
      </w:r>
      <w:r>
        <w:rPr>
          <w:noProof/>
        </w:rPr>
        <w:lastRenderedPageBreak/>
        <w:t xml:space="preserve">al ETIAS utilizează instrumentul menționat la articolul 11 din regulamentul respectiv </w:t>
      </w:r>
      <w:r>
        <w:rPr>
          <w:noProof/>
          <w:spacing w:val="-4"/>
        </w:rPr>
        <w:t>pentru a compara datele menționate la articolul 11 alineatul (4) din Regulamentul (UE)</w:t>
      </w:r>
      <w:r>
        <w:rPr>
          <w:noProof/>
        </w:rPr>
        <w:t xml:space="preserve"> 2018/1240 cu datele din SIS, în conformitate cu articolul 11 alineatul (8) din regulamentul respectiv.</w:t>
      </w:r>
    </w:p>
    <w:p>
      <w:pPr>
        <w:pStyle w:val="ManualNumPar1"/>
        <w:rPr>
          <w:noProof/>
        </w:rPr>
      </w:pPr>
      <w:r>
        <w:t>3.</w:t>
      </w:r>
      <w:r>
        <w:tab/>
      </w:r>
      <w:r>
        <w:rPr>
          <w:noProof/>
        </w:rPr>
        <w:t>În cazul în care se introduce în SIS o nouă semnalare, menționată la articolul 41 alineatul (3) din Regulamentul (UE) 2018/1240, sistemul central transmite informațiile referitoare la această semnalare, utilizând prelucrarea automată și instrumentul menționat la articolul 11 din respectivul regulament, sistemului central al ETIAS pentru a verifica dacă această nouă semnalare corespunde unei autorizații de călătorie existente.”</w:t>
      </w:r>
    </w:p>
    <w:p>
      <w:pPr>
        <w:autoSpaceDE w:val="0"/>
        <w:autoSpaceDN w:val="0"/>
        <w:adjustRightInd w:val="0"/>
        <w:spacing w:after="0"/>
        <w:rPr>
          <w:b/>
          <w:noProof/>
          <w:u w:val="single"/>
        </w:rPr>
      </w:pPr>
    </w:p>
    <w:p>
      <w:pPr>
        <w:pStyle w:val="SectionTitle"/>
        <w:rPr>
          <w:noProof/>
        </w:rPr>
      </w:pPr>
      <w:r>
        <w:rPr>
          <w:noProof/>
        </w:rPr>
        <w:t>CAPITOLUL III: DISPOZIȚII FINALE</w:t>
      </w:r>
    </w:p>
    <w:p>
      <w:pPr>
        <w:pStyle w:val="Titrearticle"/>
        <w:rPr>
          <w:noProof/>
        </w:rPr>
      </w:pPr>
      <w:r>
        <w:rPr>
          <w:noProof/>
        </w:rPr>
        <w:t>Articolul 5</w:t>
      </w:r>
    </w:p>
    <w:p>
      <w:pPr>
        <w:pStyle w:val="Titrearticle"/>
        <w:rPr>
          <w:noProof/>
        </w:rPr>
      </w:pPr>
      <w:r>
        <w:rPr>
          <w:b/>
          <w:noProof/>
        </w:rPr>
        <w:t>Intrare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Prezentul regulament se aplică de la data stabilită în conformitate cu articolul 96 al doilea paragraf din Regulamentul (UE) 2018/1240.</w:t>
      </w: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footnote>
  <w:footnote w:id="2">
    <w:p>
      <w:pPr>
        <w:pStyle w:val="FootnoteText"/>
      </w:pPr>
      <w:r>
        <w:rPr>
          <w:rStyle w:val="FootnoteReference0"/>
        </w:rPr>
        <w:footnoteRef/>
      </w:r>
      <w:r>
        <w:tab/>
        <w:t>Regulamentul (UE) 2018/1241 al Parlamentului European și al Consiliului din 12 septembrie 2018 de modificare a Regulamentului (UE) 2016/794 în scopul instituirii Sistemului european de informații și de autorizare privind călătoriile (ETIAS) (JO L 236, 19.9.2018, p.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Articolul 20 alineatul (2) și articolul 23 alineatul (1) din Regulamentul (UE) 2018/1240, menționat în nota de subsol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Regulamentul (UE) 2017/2226 de instituire a Sistemului de intrare/ieșire (EES), din 9 decembrie 2017, JO L 327, p. 20.</w:t>
      </w:r>
    </w:p>
  </w:footnote>
  <w:footnote w:id="8">
    <w:p>
      <w:pPr>
        <w:pStyle w:val="FootnoteText"/>
      </w:pPr>
      <w:r>
        <w:rPr>
          <w:rStyle w:val="FootnoteReference0"/>
        </w:rPr>
        <w:footnoteRef/>
      </w:r>
      <w:r>
        <w:tab/>
        <w:t>COM(2017) 344 final.</w:t>
      </w:r>
    </w:p>
  </w:footnote>
  <w:footnote w:id="9">
    <w:p>
      <w:pPr>
        <w:pStyle w:val="FootnoteText"/>
      </w:pPr>
      <w:r>
        <w:rPr>
          <w:rStyle w:val="FootnoteReference0"/>
        </w:rPr>
        <w:footnoteRef/>
      </w:r>
      <w:r>
        <w:tab/>
        <w:t>COM(2016) 883 final, COM(2016) 882 final, COM(2016) 881 final.</w:t>
      </w:r>
    </w:p>
  </w:footnote>
  <w:footnote w:id="10">
    <w:p>
      <w:pPr>
        <w:pStyle w:val="FootnoteText"/>
      </w:pPr>
      <w:r>
        <w:rPr>
          <w:rStyle w:val="FootnoteReference0"/>
        </w:rPr>
        <w:footnoteRef/>
      </w:r>
      <w:r>
        <w:tab/>
        <w:t>Regulamentul (UE) nr. 603/2013 al Parlamentului European și al Consiliului din 26 iunie 2013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și privind cererile autorităților de aplicare a legii din statele membre și a Europol de comparare a datelor Eurodac în scopul asigurării respectării aplicării legii și de modificare a Regulamentului (UE) nr. 1077/2011 de instituire a Agenției europene pentru gestionarea operațională a sistemelor informatice la scară largă, în spațiul de libertate, securitate și justiție (JO L 180, 29.6.2013, p. 1).</w:t>
      </w:r>
    </w:p>
  </w:footnote>
  <w:footnote w:id="11">
    <w:p>
      <w:pPr>
        <w:pStyle w:val="FootnoteText"/>
      </w:pPr>
      <w:r>
        <w:rPr>
          <w:rStyle w:val="FootnoteReference0"/>
        </w:rPr>
        <w:footnoteRef/>
      </w:r>
      <w:r>
        <w:tab/>
        <w:t xml:space="preserve">În Regulamentul privind ETIAS au fost menținute trimiterile la Eurodac care făceau parte din </w:t>
      </w:r>
      <w:r>
        <w:rPr>
          <w:spacing w:val="-4"/>
        </w:rPr>
        <w:t>propunerea Comisiei privind ETIAS, precizându-se în același timp, la articolul 97 din Regulamentul (UE)</w:t>
      </w:r>
      <w:r>
        <w:t xml:space="preserve"> 2018/1240 privind ETIAS, că dispozițiile referitoare la consultarea Eurodac se vor aplica numai de la data de aplicare a reformării Eurodac.</w:t>
      </w:r>
    </w:p>
  </w:footnote>
  <w:footnote w:id="12">
    <w:p>
      <w:pPr>
        <w:pStyle w:val="FootnoteText"/>
      </w:pPr>
      <w:r>
        <w:rPr>
          <w:rStyle w:val="FootnoteReference0"/>
        </w:rPr>
        <w:footnoteRef/>
      </w:r>
      <w:r>
        <w:tab/>
        <w:t>Considerentul 58 din Regulamentul (UE) 2018/1240, menționat în nota de subsol (1).</w:t>
      </w:r>
    </w:p>
  </w:footnote>
  <w:footnote w:id="13">
    <w:p>
      <w:pPr>
        <w:pStyle w:val="FootnoteText"/>
      </w:pPr>
      <w:r>
        <w:rPr>
          <w:rStyle w:val="FootnoteReference0"/>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w:t>
      </w:r>
    </w:p>
  </w:footnote>
  <w:footnote w:id="14">
    <w:p>
      <w:pPr>
        <w:pStyle w:val="FootnoteText"/>
      </w:pPr>
      <w:r>
        <w:rPr>
          <w:rStyle w:val="FootnoteReference0"/>
        </w:rPr>
        <w:footnoteRef/>
      </w:r>
      <w:r>
        <w:tab/>
        <w:t>COM(2016) 272 final.</w:t>
      </w:r>
    </w:p>
  </w:footnote>
  <w:footnote w:id="15">
    <w:p>
      <w:pPr>
        <w:pStyle w:val="FootnoteText"/>
      </w:pPr>
      <w:r>
        <w:rPr>
          <w:rStyle w:val="FootnoteReference0"/>
        </w:rPr>
        <w:footnoteRef/>
      </w:r>
      <w:r>
        <w:tab/>
        <w:t>COM(2018) 478 final și COM(2018) 480 final.</w:t>
      </w:r>
    </w:p>
  </w:footnote>
  <w:footnote w:id="16">
    <w:p>
      <w:pPr>
        <w:pStyle w:val="FootnoteText"/>
      </w:pPr>
      <w:r>
        <w:rPr>
          <w:rStyle w:val="FootnoteReference0"/>
        </w:rPr>
        <w:footnoteRef/>
      </w:r>
      <w:r>
        <w:tab/>
      </w:r>
      <w:r>
        <w:rPr>
          <w:spacing w:val="-4"/>
        </w:rPr>
        <w:t>Regulamentul (UE) nr. 2226/2017 de instituire a Sistemului de intrare/ieșire (EES), din 9 decembrie 2017</w:t>
      </w:r>
      <w:r>
        <w:t>, JO L 327, p. 20.</w:t>
      </w:r>
    </w:p>
  </w:footnote>
  <w:footnote w:id="17">
    <w:p>
      <w:pPr>
        <w:pStyle w:val="FootnoteText"/>
      </w:pPr>
      <w:r>
        <w:rPr>
          <w:rStyle w:val="FootnoteReference0"/>
        </w:rPr>
        <w:footnoteRef/>
      </w:r>
      <w:r>
        <w:tab/>
        <w:t>COM(2018) 478 final și COM(2018) 480 final.</w:t>
      </w:r>
    </w:p>
  </w:footnote>
  <w:footnote w:id="18">
    <w:p>
      <w:pPr>
        <w:pStyle w:val="FootnoteText"/>
      </w:pPr>
      <w:r>
        <w:rPr>
          <w:rStyle w:val="FootnoteReference0"/>
        </w:rPr>
        <w:footnoteRef/>
      </w:r>
      <w:r>
        <w:tab/>
        <w:t>A se vedea nota de subsol (1).</w:t>
      </w:r>
    </w:p>
  </w:footnote>
  <w:footnote w:id="19">
    <w:p>
      <w:pPr>
        <w:pStyle w:val="FootnoteText"/>
      </w:pPr>
      <w:r>
        <w:rPr>
          <w:rStyle w:val="FootnoteReference0"/>
        </w:rPr>
        <w:footnoteRef/>
      </w:r>
      <w:r>
        <w:tab/>
        <w:t>Directiva 2004/38/CE a Parlamentului European și a Consiliului din 29 aprilie 2004 privind dreptul la liberă circulație și ședere pe teritoriul statelor membre pentru cetățenii Uniunii și membrii familiilor acestora, de modificare a Regulamentului (CEE) nr. 1612/68 și de abrogare a Directivelor 64/221/CEE, 68/360/CEE, 72/194/CEE, 73/148/CEE, 75/34/CEE, 75/35/CEE, 90/364/CEE, 90/365/CEE și 93/96/CE (JO L 158, 30.4.2004, p. 77).</w:t>
      </w:r>
    </w:p>
  </w:footnote>
  <w:footnote w:id="20">
    <w:p>
      <w:pPr>
        <w:pStyle w:val="FootnoteText"/>
      </w:pPr>
      <w:r>
        <w:rPr>
          <w:rStyle w:val="FootnoteReference0"/>
        </w:rPr>
        <w:footnoteRef/>
      </w:r>
      <w:r>
        <w:tab/>
        <w:t>COM(2015) 185 final.</w:t>
      </w:r>
    </w:p>
  </w:footnote>
  <w:footnote w:id="21">
    <w:p>
      <w:pPr>
        <w:pStyle w:val="FootnoteText"/>
      </w:pPr>
      <w:r>
        <w:rPr>
          <w:rStyle w:val="FootnoteReference0"/>
        </w:rPr>
        <w:footnoteRef/>
      </w:r>
      <w:r>
        <w:tab/>
        <w:t>COM(2018) 470 final.</w:t>
      </w:r>
    </w:p>
  </w:footnote>
  <w:footnote w:id="22">
    <w:p>
      <w:pPr>
        <w:pStyle w:val="FootnoteText"/>
      </w:pPr>
      <w:r>
        <w:rPr>
          <w:rStyle w:val="FootnoteReference0"/>
        </w:rPr>
        <w:footnoteRef/>
      </w:r>
      <w:r>
        <w:tab/>
        <w:t>JO L 176, 10.7.1999, p. 36.</w:t>
      </w:r>
    </w:p>
  </w:footnote>
  <w:footnote w:id="23">
    <w:p>
      <w:pPr>
        <w:pStyle w:val="FootnoteText"/>
      </w:pPr>
      <w:r>
        <w:rPr>
          <w:rStyle w:val="FootnoteReference0"/>
        </w:rPr>
        <w:footnoteRef/>
      </w:r>
      <w:r>
        <w:tab/>
        <w:t>JO L 53, 27.2.2008, p. 52.</w:t>
      </w:r>
    </w:p>
  </w:footnote>
  <w:footnote w:id="24">
    <w:p>
      <w:pPr>
        <w:pStyle w:val="FootnoteText"/>
      </w:pPr>
      <w:r>
        <w:rPr>
          <w:rStyle w:val="FootnoteReference0"/>
        </w:rPr>
        <w:footnoteRef/>
      </w:r>
      <w:r>
        <w:tab/>
        <w:t>JO L 160, 18.6.2011, p. 19.</w:t>
      </w:r>
    </w:p>
  </w:footnote>
  <w:footnote w:id="25">
    <w:p>
      <w:pPr>
        <w:pStyle w:val="FootnoteText"/>
      </w:pPr>
      <w:r>
        <w:rPr>
          <w:rStyle w:val="FootnoteReference0"/>
        </w:rPr>
        <w:footnoteRef/>
      </w:r>
      <w:r>
        <w:tab/>
        <w:t>Decizia 2010/365/UE a Consiliului din 29 iunie 2010 privind aplicarea dispozițiilor acquis-ului Schengen referitoare la Sistemul de Informații Schengen în Republica Bulgaria și în România (JO L 166, 1.7.2010, p. 17).</w:t>
      </w:r>
    </w:p>
  </w:footnote>
  <w:footnote w:id="26">
    <w:p>
      <w:pPr>
        <w:pStyle w:val="FootnoteText"/>
      </w:pPr>
      <w:r>
        <w:rPr>
          <w:rStyle w:val="FootnoteReference0"/>
        </w:rPr>
        <w:footnoteRef/>
      </w:r>
      <w:r>
        <w:tab/>
        <w:t>Decizia (UE) 2017/733 a Consiliului din 25 aprilie 2017 privind aplicarea dispozițiilor acquis-ului Schengen referitoare la Sistemul de Informații Schengen în Republica Croația (JO L 108, 26.4.2017, p. 31).</w:t>
      </w:r>
    </w:p>
  </w:footnote>
  <w:footnote w:id="27">
    <w:p>
      <w:pPr>
        <w:pStyle w:val="FootnoteText"/>
      </w:pPr>
      <w:r>
        <w:rPr>
          <w:rStyle w:val="FootnoteReference0"/>
        </w:rPr>
        <w:footnoteRef/>
      </w:r>
      <w:r>
        <w:tab/>
        <w:t xml:space="preserve">Decizia (UE) 2017/1908 a Consiliului din 12 octombrie 2017 privind punerea în aplicare a anumitor dispoziții ale acquis-ului Schengen referitoare la Sistemul de informații privind vizele în Republica Bulgaria și în România (JO L 269, 19.10.2017, p. 39-43). </w:t>
      </w:r>
    </w:p>
  </w:footnote>
  <w:footnote w:id="28">
    <w:p>
      <w:pPr>
        <w:pStyle w:val="FootnoteText"/>
      </w:pPr>
      <w:r>
        <w:rPr>
          <w:rStyle w:val="FootnoteReference0"/>
        </w:rPr>
        <w:footnoteRef/>
      </w:r>
      <w:r>
        <w:tab/>
        <w:t>Decizia (UE) 2018/934 a Consiliului din 25 iunie 2018 privind punerea în aplicare a dispozițiilor rămase ale acquis-ului Schengen referitoare la Sistemul de informații Schengen în Republica Bulgaria și în România (JO L 165, 2.7.2018, p. 37).</w:t>
      </w:r>
    </w:p>
  </w:footnote>
  <w:footnote w:id="29">
    <w:p>
      <w:pPr>
        <w:pStyle w:val="FootnoteText"/>
      </w:pPr>
      <w:r>
        <w:rPr>
          <w:rStyle w:val="FootnoteReference0"/>
        </w:rPr>
        <w:footnoteRef/>
      </w:r>
      <w:r>
        <w:tab/>
        <w:t>JO C , , p. .</w:t>
      </w:r>
    </w:p>
  </w:footnote>
  <w:footnote w:id="30">
    <w:p>
      <w:pPr>
        <w:pStyle w:val="FootnoteText"/>
      </w:pPr>
      <w:r>
        <w:rPr>
          <w:rStyle w:val="FootnoteReference0"/>
        </w:rPr>
        <w:footnoteRef/>
      </w:r>
      <w:r>
        <w:tab/>
        <w:t>JO C , , p. .</w:t>
      </w:r>
    </w:p>
  </w:footnote>
  <w:footnote w:id="31">
    <w:p>
      <w:pPr>
        <w:pStyle w:val="FootnoteText"/>
      </w:pPr>
      <w:r>
        <w:rPr>
          <w:rStyle w:val="FootnoteReference0"/>
        </w:rPr>
        <w:footnoteRef/>
      </w:r>
      <w:r>
        <w:tab/>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footnote>
  <w:footnote w:id="32">
    <w:p>
      <w:pPr>
        <w:pStyle w:val="FootnoteText"/>
      </w:pPr>
      <w:r>
        <w:rPr>
          <w:rStyle w:val="FootnoteReference0"/>
        </w:rPr>
        <w:footnoteRef/>
      </w:r>
      <w:r>
        <w:tab/>
        <w:t>Regulamentul (CE) nr. 767/2008 al Parlamentului European și al Consiliului din 9 iulie 2008 privind Sistemul de informații privind vizele (VIS) și schimbul de date între statele membre cu privire la vizele de scurtă ședere (Regulamentul VIS) (JO L 218, 13.8.2008, p. 60).</w:t>
      </w:r>
    </w:p>
  </w:footnote>
  <w:footnote w:id="33">
    <w:p>
      <w:pPr>
        <w:pStyle w:val="FootnoteText"/>
      </w:pPr>
      <w:r>
        <w:rPr>
          <w:rStyle w:val="FootnoteReference0"/>
        </w:rPr>
        <w:footnoteRef/>
      </w:r>
      <w:r>
        <w:tab/>
        <w:t>Regulamentul (UE) 2017/2226 al Parlamentului European și al Consiliului din 30 noiembrie 2017 de instituire a Sistemului de intrare/ieșire (EES) pentru înregistrarea datelor de intrare și de ieșire și a datelor referitoare la refuzul intrării ale resortisanților țărilor terțe care trec frontierele externe ale statelor membre, de stabilire a condițiilor de acces la EES în scopul aplicării legii și de modificare a Convenției de punere în aplicare a Acordului Schengen și a Regulamentelor (CE) nr. 767/2008 și (UE) nr. 1077/2011 (JO L 327, 9.12.2017, p. 20).</w:t>
      </w:r>
    </w:p>
  </w:footnote>
  <w:footnote w:id="34">
    <w:p>
      <w:pPr>
        <w:pStyle w:val="FootnoteText"/>
      </w:pPr>
      <w:r>
        <w:rPr>
          <w:rStyle w:val="FootnoteReference0"/>
        </w:rPr>
        <w:footnoteRef/>
      </w:r>
      <w:r>
        <w:tab/>
        <w:t>Regulamentul (UE) 2018/1861 al Parlamentului European și al Consiliului din 28 noiembrie 2018 privind instituirea, funcționarea și utilizarea Sistemului de informații Schengen (SIS) în domeniul verificărilor la frontiere, de modificare a Convenției de punere în aplicare a Acordului Schengen și de modificare și abrogare a Regulamentului (CE) nr. 1987/2006 (JO L 312, 7.12.2018, p. 14).</w:t>
      </w:r>
    </w:p>
  </w:footnote>
  <w:footnote w:id="35">
    <w:p>
      <w:pPr>
        <w:pStyle w:val="FootnoteText"/>
      </w:pPr>
      <w:r>
        <w:rPr>
          <w:rStyle w:val="FootnoteReference0"/>
        </w:rPr>
        <w:footnoteRef/>
      </w:r>
      <w:r>
        <w:tab/>
        <w:t>Decizia 2010/365/UE a Consiliului din 29 iunie 2010 privind aplicarea dispozițiilor acquis-ului Schengen referitoare la Sistemul de Informații Schengen în Republica Bulgaria și în România (JO L 166, 1.7.2010, p. 17); Decizia (UE) 2017/733 a Consiliului din 25 aprilie 2017 privind aplicarea dispozițiilor acquis-ului Schengen referitoare la Sistemul de Informații Schengen în Republica Croația (JO L 108, 26.4.2017, p. 31); Decizia (UE) 2017/1908 a Consiliului din 12 octombrie 2017 privind punerea în aplicare a anumitor dispoziții ale acquis-ului Schengen referitoare la Sistemul de informații privind vizele în Republica Bulgaria și în România (JO L 269, 19.10.2017, p. 39-43); Decizia (UE) 2018/934 a Consiliului din 25 iunie 2018 privind punerea în aplicare a dispozițiilor rămase ale acquis-ului Schengen referitoare la Sistemul de informații Schengen în Republica Bulgaria și în România (JO L 165, 2.7.2018, p. 37).</w:t>
      </w:r>
    </w:p>
  </w:footnote>
  <w:footnote w:id="36">
    <w:p>
      <w:pPr>
        <w:pStyle w:val="FootnoteText"/>
      </w:pPr>
      <w:r>
        <w:rPr>
          <w:rStyle w:val="FootnoteReference0"/>
        </w:rPr>
        <w:footnoteRef/>
      </w:r>
      <w:r>
        <w:tab/>
        <w:t>Regulamentul (UE) 2018/1726 al Parlamentului European și al Consiliului din 14 noiembrie 2018 privind Agenția Uniunii Europene pentru Gestionarea Operațională a Sistemelor Informatice la Scară Largă în Spațiul de Libertate, Securitate și Justiție (eu-LISA) și de modificare a Regulamentului (CE) nr. 1987/2006 și a Deciziei 2007/533/JAI a Consiliului, precum și de abrogare a Regulamentului (UE) nr. 1077/2011 (JO L 295, 21.11.2018, p. 99).</w:t>
      </w:r>
    </w:p>
  </w:footnote>
  <w:footnote w:id="37">
    <w:p>
      <w:pPr>
        <w:pStyle w:val="FootnoteText"/>
      </w:pPr>
      <w:r>
        <w:rPr>
          <w:rStyle w:val="FootnoteReference0"/>
        </w:rPr>
        <w:footnoteRef/>
      </w:r>
      <w:r>
        <w:tab/>
        <w:t>JO L 158, 30.4.2004, p. 77.</w:t>
      </w:r>
    </w:p>
  </w:footnote>
  <w:footnote w:id="38">
    <w:p>
      <w:pPr>
        <w:pStyle w:val="FootnoteText"/>
      </w:pPr>
      <w:r>
        <w:rPr>
          <w:rStyle w:val="FootnoteReference0"/>
        </w:rPr>
        <w:footnoteRef/>
      </w:r>
      <w:r>
        <w:tab/>
        <w:t>Decizia 2000/365/CE a Consiliului din 29 mai 2000 privind solicitarea Regatului Unit al Marii Britanii și Irlandei de Nord de a participa la unele dintre dispozițiile acquis-ului Schengen (JO L 131, 1.6.2000, p. 43).</w:t>
      </w:r>
    </w:p>
  </w:footnote>
  <w:footnote w:id="39">
    <w:p>
      <w:pPr>
        <w:pStyle w:val="FootnoteText"/>
      </w:pPr>
      <w:r>
        <w:rPr>
          <w:rStyle w:val="FootnoteReference0"/>
        </w:rPr>
        <w:footnoteRef/>
      </w:r>
      <w:r>
        <w:tab/>
        <w:t>Decizia 2002/192/CE a Consiliului din 28 februarie 2002 privind solicitarea Irlandei de a participa la unele dintre dispozițiile acquis-ului Schengen (JO L 64, 7.3.2002, p. 20).</w:t>
      </w:r>
    </w:p>
  </w:footnote>
  <w:footnote w:id="40">
    <w:p>
      <w:pPr>
        <w:pStyle w:val="FootnoteText"/>
      </w:pPr>
      <w:r>
        <w:rPr>
          <w:rStyle w:val="FootnoteReference0"/>
        </w:rPr>
        <w:footnoteRef/>
      </w:r>
      <w:r>
        <w:tab/>
        <w:t>JO L 176, 10.7.1999, p. 36.</w:t>
      </w:r>
    </w:p>
  </w:footnote>
  <w:footnote w:id="41">
    <w:p>
      <w:pPr>
        <w:pStyle w:val="FootnoteText"/>
      </w:pPr>
      <w:r>
        <w:rPr>
          <w:rStyle w:val="FootnoteReference0"/>
        </w:rPr>
        <w:footnoteRef/>
      </w:r>
      <w:r>
        <w:tab/>
        <w:t>Decizia 1999/437/CE a Consiliului din 17 mai 1999 privind anumite modalități de aplicare a Acordului încheiat între Consiliul Uniunii Europene și Republica Islanda și Regatul Norvegiei în ceea ce privește asocierea acestor două state în vederea punerii în aplicare, a asigurării respectării și dezvoltării acquis-ului Schengen (JO L 176, 10.7.1999, p. 31).</w:t>
      </w:r>
    </w:p>
  </w:footnote>
  <w:footnote w:id="42">
    <w:p>
      <w:pPr>
        <w:pStyle w:val="FootnoteText"/>
      </w:pPr>
      <w:r>
        <w:rPr>
          <w:rStyle w:val="FootnoteReference0"/>
        </w:rPr>
        <w:footnoteRef/>
      </w:r>
      <w:r>
        <w:tab/>
        <w:t>JO L 53, 27.2.2008, p. 52.</w:t>
      </w:r>
    </w:p>
  </w:footnote>
  <w:footnote w:id="43">
    <w:p>
      <w:pPr>
        <w:pStyle w:val="FootnoteText"/>
      </w:pPr>
      <w:r>
        <w:rPr>
          <w:rStyle w:val="FootnoteReference0"/>
        </w:rPr>
        <w:footnoteRef/>
      </w:r>
      <w:r>
        <w:tab/>
        <w:t>Decizia 2008/146/CE a Consiliului din 28 ianuarie 2008 privind încheierea, în numele Comunității Europene, a Acordului dintre Uniunea Europeană, Comunitatea Europeană și Confederația Elvețiană cu privire la asocierea Confederației Elvețiene la punerea în aplicare, respectarea și dezvoltarea acquis-ului Schengen (JO L 53, 27.2.2008, p. 1).</w:t>
      </w:r>
    </w:p>
  </w:footnote>
  <w:footnote w:id="44">
    <w:p>
      <w:pPr>
        <w:pStyle w:val="FootnoteText"/>
      </w:pPr>
      <w:r>
        <w:rPr>
          <w:rStyle w:val="FootnoteReference0"/>
        </w:rPr>
        <w:footnoteRef/>
      </w:r>
      <w:r>
        <w:tab/>
        <w:t>Decizia 2008/149/JAI a Consiliului din 28 ianuarie 2008 privind încheierea, în numele Uniunii Europene, a Acordului dintre Uniunea Europeană, Comunitatea Europeană și Confederația Elvețiană cu privire la asocierea Confederației Elvețiene la punerea în aplicare, respectarea și dezvoltarea acquis-ului Schengen (JO L 53, 27.2.2008, p. 50).</w:t>
      </w:r>
    </w:p>
  </w:footnote>
  <w:footnote w:id="45">
    <w:p>
      <w:pPr>
        <w:pStyle w:val="FootnoteText"/>
      </w:pPr>
      <w:r>
        <w:rPr>
          <w:rStyle w:val="FootnoteReference0"/>
        </w:rPr>
        <w:footnoteRef/>
      </w:r>
      <w:r>
        <w:tab/>
        <w:t>JO L 160, 18.6.2011, p. 21.</w:t>
      </w:r>
    </w:p>
  </w:footnote>
  <w:footnote w:id="46">
    <w:p>
      <w:pPr>
        <w:pStyle w:val="FootnoteText"/>
      </w:pPr>
      <w:r>
        <w:rPr>
          <w:rStyle w:val="FootnoteReference0"/>
        </w:rPr>
        <w:footnoteRef/>
      </w:r>
      <w:r>
        <w:tab/>
        <w:t>Decizia 2011/350/UE a Consiliului din 7 martie 2011 privind încheierea, în numele Uniunii Europene, a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 în ceea ce privește eliminarea controalelor la frontierele interne și circulația persoanelor (JO L 160, 18.6.2011, p. 19).</w:t>
      </w:r>
    </w:p>
  </w:footnote>
  <w:footnote w:id="47">
    <w:p>
      <w:pPr>
        <w:pStyle w:val="FootnoteText"/>
      </w:pPr>
      <w:r>
        <w:rPr>
          <w:rStyle w:val="FootnoteReference0"/>
        </w:rPr>
        <w:footnoteRef/>
      </w:r>
      <w:r>
        <w:tab/>
        <w:t>Decizia 2011/349/UE a Consiliului din 7 martie 2011 privind încheierea, în numele Uniunii Europene, a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 în special în ceea ce privește cooperarea judiciară în materie penală și cooperarea polițienească (JO L 160, 18.6.2011, p. 1).</w:t>
      </w:r>
    </w:p>
  </w:footnote>
  <w:footnote w:id="48">
    <w:p>
      <w:pPr>
        <w:pStyle w:val="FootnoteText"/>
      </w:pPr>
      <w:r>
        <w:rPr>
          <w:rStyle w:val="FootnoteReference0"/>
        </w:rPr>
        <w:footnoteRef/>
      </w:r>
      <w:r>
        <w:tab/>
        <w:t>Decizia 2010/365/UE a Consiliului din 29 iunie 2010 privind aplicarea dispozițiilor acquis-ului Schengen referitoare la Sistemul de Informații Schengen în Republica Bulgaria și în România (JO L 166, 1.7.2010, p. 17).</w:t>
      </w:r>
    </w:p>
  </w:footnote>
  <w:footnote w:id="49">
    <w:p>
      <w:pPr>
        <w:pStyle w:val="FootnoteText"/>
      </w:pPr>
      <w:r>
        <w:rPr>
          <w:rStyle w:val="FootnoteReference0"/>
        </w:rPr>
        <w:footnoteRef/>
      </w:r>
      <w:r>
        <w:tab/>
        <w:t>Decizia (UE) 2017/733 a Consiliului din 25 aprilie 2017 privind aplicarea dispozițiilor acquis-ului Schengen referitoare la Sistemul de Informații Schengen în Republica Croația (JO L 108, 26.4.2017, p. 31).</w:t>
      </w:r>
    </w:p>
  </w:footnote>
  <w:footnote w:id="50">
    <w:p>
      <w:pPr>
        <w:pStyle w:val="FootnoteText"/>
      </w:pPr>
      <w:r>
        <w:rPr>
          <w:rStyle w:val="FootnoteReference0"/>
        </w:rPr>
        <w:footnoteRef/>
      </w:r>
      <w:r>
        <w:tab/>
        <w:t>Decizia (UE) 2017/1908 a Consiliului din 12 octombrie 2017 privind punerea în aplicare a anumitor dispoziții ale acquis-ului Schengen referitoare la Sistemul de informații privind vizele în Republica Bulgaria și în România (JO L 269, 19.10.2017, p. 39-43).</w:t>
      </w:r>
    </w:p>
  </w:footnote>
  <w:footnote w:id="51">
    <w:p>
      <w:pPr>
        <w:pStyle w:val="FootnoteText"/>
      </w:pPr>
      <w:r>
        <w:rPr>
          <w:rStyle w:val="FootnoteReference0"/>
        </w:rPr>
        <w:footnoteRef/>
      </w:r>
      <w:r>
        <w:tab/>
        <w:t>Decizia (UE) 2018/934 a Consiliului din 25 iunie 2018 privind punerea în aplicare a dispozițiilor rămase ale acquis-ului Schengen referitoare la Sistemul de informații Schengen în Republica Bulgaria și în România (JO L 165, 2.7.2018, p. 37).</w:t>
      </w:r>
    </w:p>
  </w:footnote>
  <w:footnote w:id="52">
    <w:p>
      <w:pPr>
        <w:pStyle w:val="FootnoteText"/>
      </w:pPr>
      <w:r>
        <w:rPr>
          <w:rStyle w:val="FootnoteReference0"/>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 (JO L 295, 21.11.2018, p. 39).</w:t>
      </w:r>
    </w:p>
  </w:footnote>
  <w:footnote w:id="53">
    <w:p>
      <w:pPr>
        <w:pStyle w:val="FootnoteText"/>
      </w:pPr>
      <w:r>
        <w:rPr>
          <w:rStyle w:val="FootnoteReference0"/>
        </w:rPr>
        <w:footnoteRef/>
      </w:r>
      <w:r>
        <w:tab/>
        <w:t>Numerotarea ține seama de modificarea prezentului regulament de Propunerea de regulament al Parlamentului European și al Consiliului de stabilire a unui cadru de interoperabilitate între sistemele de informații ale UE (frontiere și vize), COM(2018) 478 final.</w:t>
      </w:r>
    </w:p>
  </w:footnote>
  <w:footnote w:id="54">
    <w:p>
      <w:pPr>
        <w:pStyle w:val="FootnoteText"/>
      </w:pPr>
      <w:r>
        <w:rPr>
          <w:rStyle w:val="FootnoteReference0"/>
        </w:rPr>
        <w:footnoteRef/>
      </w:r>
      <w:r>
        <w:tab/>
        <w:t>Numerotarea ține seama de modificarea prezentului regulament de Propunerea de regulament al Parlamentului European și al Consiliului de stabilire a unui cadru de interoperabilitate între sistemele de informații ale UE (frontiere și vize), COM(2018) 478 final.</w:t>
      </w:r>
    </w:p>
  </w:footnote>
  <w:footnote w:id="55">
    <w:p>
      <w:pPr>
        <w:pStyle w:val="FootnoteText"/>
      </w:pPr>
      <w:r>
        <w:rPr>
          <w:rStyle w:val="FootnoteReference0"/>
        </w:rPr>
        <w:footnoteRef/>
      </w:r>
      <w:r>
        <w:tab/>
        <w:t>Numerotarea ține seama de modificarea prezentului regulament de Propunerea de regulament al Parlamentului European și al Consiliului de stabilire a unui cadru de interoperabilitate între sistemele de informații ale UE (frontiere și vize), COM (2018) 478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28: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74"/>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C81531F5-41CB-4358-9977-A7411F7AEED0"/>
    <w:docVar w:name="LW_COVERPAGE_TYPE" w:val="1"/>
    <w:docVar w:name="LW_CROSSREFERENCE" w:val="&lt;UNUSED&gt;"/>
    <w:docVar w:name="LW_DocType" w:val="COM"/>
    <w:docVar w:name="LW_EMISSION" w:val="7.1.2019"/>
    <w:docVar w:name="LW_EMISSION_ISODATE" w:val="2019-01-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02"/>
    <w:docVar w:name="LW_REF.II.NEW.CP_YEAR" w:val="2019"/>
    <w:docVar w:name="LW_REF.INST.NEW" w:val="COM"/>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stabilire a condi\u539?iilor de acces la celelalte sisteme de informa\u539?ii ale UE în scopuri legate de ETIAS \u537?i de modificare a Regulamentului (UE) 2018/1240, a Regulamentului (CE) nr. 767/2008, a Regulamentului (UE) 2017/2226 \u537?i a Regulamentului (UE) 2018/1861"/>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A3C003-3494-4E4A-BB18-A1A06775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29</Pages>
  <Words>10076</Words>
  <Characters>59550</Characters>
  <Application>Microsoft Office Word</Application>
  <DocSecurity>0</DocSecurity>
  <Lines>1102</Lines>
  <Paragraphs>429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2019-01-03T08:40:00Z</cp:lastPrinted>
  <dcterms:created xsi:type="dcterms:W3CDTF">2019-01-14T07:52:00Z</dcterms:created>
  <dcterms:modified xsi:type="dcterms:W3CDTF">2019-01-14T09:28:00Z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