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1162108-C656-4258-8A99-ADAEBC45B4CB" style="width:450.65pt;height:366.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rPr>
          <w:noProof/>
        </w:rPr>
      </w:pPr>
      <w:r>
        <w:rPr>
          <w:noProof/>
        </w:rPr>
        <w:t>Energiatoodete ja elektrienergia maksustamist ELis reguleeritakse nõukogu direktiiviga 2003/96/EÜ (edaspidi „direktiiv“). Kõnealuses direktiivis täpsustatakse maksustatavad tooted, nende maksustamise aluseks olevad kasutusviisid ja maksustamise alammäärad sõltuvalt sellest, kas neid tooteid kasutatakse mootorikütusena, teatavatel tööstuslikel või kaubanduslikel eesmärkidel või kütmiseks.</w:t>
      </w:r>
    </w:p>
    <w:p>
      <w:pPr>
        <w:rPr>
          <w:noProof/>
        </w:rPr>
      </w:pPr>
      <w:r>
        <w:rPr>
          <w:noProof/>
        </w:rPr>
        <w:t>Direktiivi artikli 19 lõike 1 kohaselt võib nõukogu komisjoni ettepaneku põhjal ühehäälselt lubada liikmesriigil teatavatel poliitilistel kaalutlustel kehtestada aktsiisimaksu suhtes täiendavaid maksuvabastusi või -vähendusi.</w:t>
      </w:r>
    </w:p>
    <w:p>
      <w:pPr>
        <w:rPr>
          <w:noProof/>
        </w:rPr>
      </w:pPr>
      <w:r>
        <w:rPr>
          <w:noProof/>
        </w:rPr>
        <w:t>Käesoleva ettepaneku eesmärk on lubada Prantsusmaal jätkata maksumäära vähendamise kohaldamist Korsika departemangudes kütusena kasutatava ja tarbimiseks ringlusse lubatud pliivaba bensiini suhtes, et osaliselt hüvitada suurest geograafilisest vahemaast ja tarneraskustest tulenevad lisakulud.</w:t>
      </w:r>
    </w:p>
    <w:p>
      <w:pPr>
        <w:pStyle w:val="ManualHeading2"/>
        <w:rPr>
          <w:rFonts w:eastAsia="Arial Unicode MS"/>
          <w:noProof/>
          <w:u w:color="000000"/>
          <w:bdr w:val="nil"/>
        </w:rPr>
      </w:pPr>
      <w:r>
        <w:rPr>
          <w:noProof/>
        </w:rPr>
        <w:t>•</w:t>
      </w:r>
      <w:r>
        <w:rPr>
          <w:noProof/>
        </w:rPr>
        <w:tab/>
        <w:t>Taotlus ja selle üldine taust</w:t>
      </w:r>
    </w:p>
    <w:p>
      <w:pPr>
        <w:rPr>
          <w:noProof/>
        </w:rPr>
      </w:pPr>
      <w:r>
        <w:rPr>
          <w:noProof/>
        </w:rPr>
        <w:t>Nõukogu 20. detsembri 2007. aasta otsusega 2007/880/EÜ lubati Prantsusmaal kohaldada vähendatud aktsiisimäära Korsika departemangudes kütusena kasutatava ja tarbimiseks ringlusse lubatud pliivaba bensiini suhtes tingimusel, et vähendamine ei ületa transpordi, ladustamise ja jaotamise lisakulusid Prantsusmaa mandriosaga võrreldes. Nõukogu 22. aprilli 2013. aasta rakendusotsusega 2013/192/EL lubatakse Prantsusmaal vastavalt direktiivi 2003/96/EÜ artiklile 19 jätkuvalt kohaldada vähendatud maksumäära Korsika departemangudes mootorikütusena kasutatava ja tarbimiseks ringlusse lubatud pliivaba bensiini suhtes. Kõnealuste otsuste eesmärk on osaliselt hüvitada geograafilisest kaugusest ja tarneraskustest tulenevad lisakulud. Käesoleva otsuse kohaldamisel vähendas Prantsusmaa pliivaba bensiini maksumäära ühe euro võrra hektoliitri kohta.</w:t>
      </w:r>
    </w:p>
    <w:p>
      <w:pPr>
        <w:rPr>
          <w:noProof/>
        </w:rPr>
      </w:pPr>
      <w:r>
        <w:rPr>
          <w:noProof/>
        </w:rPr>
        <w:t xml:space="preserve">26. septembri 2018. aasta kirjaga taotlesid Prantsusmaa ametiasutused luba, et jätkuvalt kohaldada maksumäära vähendamist ühe euro võrra hektoliitri kohta veel kuue aasta jooksul, 1. jaanuarist 2019 kuni 31. detsembrini 2024. 25. oktoobri 2018. aasta ja 7. novembri 2018. aasta kirjadega esitas Prantsusmaa lisateavet eranditaotluse põhjenduse kohta. </w:t>
      </w:r>
    </w:p>
    <w:p>
      <w:pPr>
        <w:rPr>
          <w:noProof/>
        </w:rPr>
      </w:pPr>
      <w:r>
        <w:rPr>
          <w:noProof/>
        </w:rPr>
        <w:t xml:space="preserve">Nagu ka eelmistes kirjades, väitsid Prantsusmaa ametiasutused, et pliivaba bensiini kõrgema hinna hüvitamiseks on vaja vähendada aktsiisimäära. Pliivaba bensiini (SSP95) tanklahind Korsikal septembris 2018 oli 1,67 eurot liitri kohta, samas kui Prantsusmaa territooriumil oli ühe liitri keskmine hind 1,63 eurot liitri kohta (Prantsuse peamised tarnijad, välja arvatud jaemüük), ning see tulenes Korsika saarelisest asendist. </w:t>
      </w:r>
    </w:p>
    <w:p>
      <w:pPr>
        <w:rPr>
          <w:noProof/>
        </w:rPr>
      </w:pPr>
      <w:r>
        <w:rPr>
          <w:noProof/>
        </w:rPr>
        <w:t>Prantsusmaa ametiasutuste andmetel on lisakuludel mitmeid põhjuseid.</w:t>
      </w:r>
    </w:p>
    <w:p>
      <w:pPr>
        <w:ind w:left="720" w:hanging="720"/>
        <w:rPr>
          <w:noProof/>
        </w:rPr>
      </w:pPr>
      <w:r>
        <w:rPr>
          <w:noProof/>
        </w:rPr>
        <w:t>1)</w:t>
      </w:r>
      <w:r>
        <w:rPr>
          <w:noProof/>
        </w:rPr>
        <w:tab/>
        <w:t>Kuna Korsikal ei ole rafineerimistehast, on mere- ja teetranspordist (pikemad vahemaad ja veo kestus) tulenevate lisakulude tõttu kütuse sinna transportimise ja seal turustamise kulud suuremad. Vahemaa lähimast Fos-sur-Meris asuvast rafineerimistehasest kahte Korsikal Lucianos ja Ajaccios asuvasse lattu on vastavalt 358 km (sellest 182 km meritsi) ja 315 km (sellest 170 km meritsi). Transport nendesse ladudesse toimub eranditult laevaga, kuid kõik Prantsusmaa mandriosas asuvad laod on torujuhtmestiku kaudu otse rafineerimistehasega ühendatud, mis vähendab märkimisväärselt transpordikulusid. Näiteks on transpordikulud Korsikale neli kuni viis korda suuremad kui torutransport Le Havre'i ja Pariisi piirkonna vahel.</w:t>
      </w:r>
    </w:p>
    <w:p>
      <w:pPr>
        <w:ind w:left="720" w:hanging="720"/>
        <w:rPr>
          <w:noProof/>
        </w:rPr>
      </w:pPr>
      <w:r>
        <w:rPr>
          <w:noProof/>
        </w:rPr>
        <w:lastRenderedPageBreak/>
        <w:t>2)</w:t>
      </w:r>
      <w:r>
        <w:rPr>
          <w:noProof/>
        </w:rPr>
        <w:tab/>
        <w:t>Korsikal asuva kahe lao palju väiksema mahutavuse (vastavalt 16 000 m</w:t>
      </w:r>
      <w:r>
        <w:rPr>
          <w:noProof/>
          <w:vertAlign w:val="superscript"/>
        </w:rPr>
        <w:t>3</w:t>
      </w:r>
      <w:r>
        <w:rPr>
          <w:noProof/>
        </w:rPr>
        <w:t xml:space="preserve"> ja 19 000 m</w:t>
      </w:r>
      <w:r>
        <w:rPr>
          <w:noProof/>
          <w:vertAlign w:val="superscript"/>
        </w:rPr>
        <w:t>3</w:t>
      </w:r>
      <w:r>
        <w:rPr>
          <w:noProof/>
        </w:rPr>
        <w:t>) tõttu tuleb nendesse tarnida tihemini. Hooldusinvesteeringud, rajatiste vastavus nõuetele ja tööjõukulud ei ole ladude tegevusmahuga seotud. Nendesse hoidlatesse ladustatud kütuse üldkogus on väiksem kui 400 000 m</w:t>
      </w:r>
      <w:r>
        <w:rPr>
          <w:noProof/>
          <w:vertAlign w:val="superscript"/>
        </w:rPr>
        <w:t>3</w:t>
      </w:r>
      <w:r>
        <w:rPr>
          <w:noProof/>
        </w:rPr>
        <w:t xml:space="preserve"> aastas, mis on pool mandril asuva lao keskmisest kogusest. Seetõttu on ladustamiskulu kuupmeetri kohta Korsikal suurem.</w:t>
      </w:r>
    </w:p>
    <w:p>
      <w:pPr>
        <w:ind w:left="720" w:hanging="720"/>
        <w:rPr>
          <w:noProof/>
        </w:rPr>
      </w:pPr>
      <w:r>
        <w:rPr>
          <w:noProof/>
        </w:rPr>
        <w:t>3)</w:t>
      </w:r>
      <w:r>
        <w:rPr>
          <w:noProof/>
        </w:rPr>
        <w:tab/>
        <w:t>Väikesest asustustihedusest tingitud väiksem müügimaht peab katma tarnijate kantavad püsikulud. Rahvastiku tihedus Korsikal on 37,7/km</w:t>
      </w:r>
      <w:r>
        <w:rPr>
          <w:noProof/>
          <w:vertAlign w:val="superscript"/>
        </w:rPr>
        <w:t>2</w:t>
      </w:r>
      <w:r>
        <w:rPr>
          <w:noProof/>
        </w:rPr>
        <w:t>, võrreldes Prantsusmaa mandriosaga, kus rahvastiku tihedus on 118/km</w:t>
      </w:r>
      <w:r>
        <w:rPr>
          <w:noProof/>
          <w:vertAlign w:val="superscript"/>
        </w:rPr>
        <w:t>2</w:t>
      </w:r>
      <w:r>
        <w:rPr>
          <w:noProof/>
        </w:rPr>
        <w:t xml:space="preserve"> (Insee 2018), maastik on väga mägine (90 % mäed) ja teenindusjaamades müüdava kütuse kogused väikesed. Seetõttu on jaotusalad eraldatud ning asuvad üksteisest kaugel. Elanike arv teenindusjaama kohta on 2 485, võrreldes Prantsusmaa territooriumi vastava keskmise elanike arvuga 5 768, ning müügimaht teenindusjaama kohta on 2 278 m</w:t>
      </w:r>
      <w:r>
        <w:rPr>
          <w:noProof/>
          <w:vertAlign w:val="superscript"/>
        </w:rPr>
        <w:t>3</w:t>
      </w:r>
      <w:r>
        <w:rPr>
          <w:noProof/>
        </w:rPr>
        <w:t xml:space="preserve"> Korsikal ja 4 149 m</w:t>
      </w:r>
      <w:r>
        <w:rPr>
          <w:noProof/>
          <w:vertAlign w:val="superscript"/>
        </w:rPr>
        <w:t>3</w:t>
      </w:r>
      <w:r>
        <w:rPr>
          <w:noProof/>
        </w:rPr>
        <w:t xml:space="preserve"> Prantsusmaa mandriosas.</w:t>
      </w:r>
    </w:p>
    <w:p>
      <w:pPr>
        <w:rPr>
          <w:noProof/>
        </w:rPr>
      </w:pPr>
      <w:r>
        <w:rPr>
          <w:noProof/>
        </w:rPr>
        <w:t>Nagu nähtub järgnevast tabelist, on rahvusvaheline kütuse hinnanoteering Korsika ja Prantsusmaa mandriosa puhul sama – 46,62 eurot 100 liitri kohta. Transpordi brutokulud Prantsusmaa mandriosas ja Korsikal on väga erinevad, vastavalt 13,87 eurot 100 liitri kohta ja 35,05 eurot 100 liitri kohta. Hoolimata madalamast maksumäärast (nii energia- kui ka käibemaksu puhul) on pliivaba bensiini lõplik hind Korsikal kõrgem kui Prantsusmaa mandriosas.</w:t>
      </w:r>
    </w:p>
    <w:p>
      <w:pPr>
        <w:rPr>
          <w:bCs/>
          <w:noProof/>
        </w:rPr>
      </w:pPr>
      <w:r>
        <w:rPr>
          <w:noProof/>
        </w:rPr>
        <w:t>Tabelis on toodud bensiini ja diislikütuse hinnastruktuur 2018. aasta oktoobri seisuga.</w:t>
      </w:r>
    </w:p>
    <w:p>
      <w:pPr>
        <w:spacing w:after="240"/>
        <w:rPr>
          <w:i/>
          <w:iCs/>
          <w:noProof/>
        </w:rPr>
      </w:pPr>
      <w:r>
        <w:rPr>
          <w:b/>
          <w:i/>
          <w:noProof/>
          <w:u w:val="single"/>
        </w:rPr>
        <w:t>Kütuse hind (eurot hektoliitri kohta)</w:t>
      </w:r>
      <w:r>
        <w:rPr>
          <w:i/>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430"/>
        <w:gridCol w:w="1426"/>
        <w:gridCol w:w="1409"/>
      </w:tblGrid>
      <w:tr>
        <w:trPr>
          <w:cantSplit/>
          <w:tblHeader/>
          <w:jc w:val="center"/>
        </w:trPr>
        <w:tc>
          <w:tcPr>
            <w:tcW w:w="3424" w:type="dxa"/>
            <w:shd w:val="clear" w:color="auto" w:fill="auto"/>
          </w:tcPr>
          <w:p>
            <w:pPr>
              <w:rPr>
                <w:noProof/>
              </w:rPr>
            </w:pPr>
            <w:r>
              <w:rPr>
                <w:noProof/>
              </w:rPr>
              <w:t xml:space="preserve">Bensiini keskmine hind (eurot/100 l) </w:t>
            </w:r>
          </w:p>
        </w:tc>
        <w:tc>
          <w:tcPr>
            <w:tcW w:w="1379" w:type="dxa"/>
            <w:shd w:val="clear" w:color="auto" w:fill="auto"/>
          </w:tcPr>
          <w:p>
            <w:pPr>
              <w:rPr>
                <w:noProof/>
              </w:rPr>
            </w:pPr>
            <w:r>
              <w:rPr>
                <w:noProof/>
              </w:rPr>
              <w:t>Prantsusmaa mandriosa</w:t>
            </w:r>
          </w:p>
          <w:p>
            <w:pPr>
              <w:rPr>
                <w:noProof/>
              </w:rPr>
            </w:pPr>
          </w:p>
        </w:tc>
        <w:tc>
          <w:tcPr>
            <w:tcW w:w="1426" w:type="dxa"/>
            <w:shd w:val="clear" w:color="auto" w:fill="auto"/>
          </w:tcPr>
          <w:p>
            <w:pPr>
              <w:rPr>
                <w:noProof/>
              </w:rPr>
            </w:pPr>
            <w:r>
              <w:rPr>
                <w:noProof/>
              </w:rPr>
              <w:t>Korsika</w:t>
            </w:r>
          </w:p>
          <w:p>
            <w:pPr>
              <w:rPr>
                <w:noProof/>
              </w:rPr>
            </w:pPr>
          </w:p>
        </w:tc>
        <w:tc>
          <w:tcPr>
            <w:tcW w:w="1409" w:type="dxa"/>
            <w:shd w:val="clear" w:color="auto" w:fill="auto"/>
          </w:tcPr>
          <w:p>
            <w:pPr>
              <w:rPr>
                <w:noProof/>
              </w:rPr>
            </w:pPr>
            <w:r>
              <w:rPr>
                <w:noProof/>
              </w:rPr>
              <w:t>Lõuna-Korsika</w:t>
            </w:r>
          </w:p>
          <w:p>
            <w:pPr>
              <w:rPr>
                <w:noProof/>
              </w:rPr>
            </w:pPr>
          </w:p>
        </w:tc>
      </w:tr>
      <w:tr>
        <w:trPr>
          <w:cantSplit/>
          <w:tblHeader/>
          <w:jc w:val="center"/>
        </w:trPr>
        <w:tc>
          <w:tcPr>
            <w:tcW w:w="3424" w:type="dxa"/>
            <w:shd w:val="clear" w:color="auto" w:fill="auto"/>
          </w:tcPr>
          <w:p>
            <w:pPr>
              <w:rPr>
                <w:noProof/>
              </w:rPr>
            </w:pPr>
            <w:r>
              <w:rPr>
                <w:noProof/>
              </w:rPr>
              <w:t>Hind koos maksudega</w:t>
            </w:r>
          </w:p>
        </w:tc>
        <w:tc>
          <w:tcPr>
            <w:tcW w:w="1379" w:type="dxa"/>
            <w:shd w:val="clear" w:color="auto" w:fill="auto"/>
          </w:tcPr>
          <w:p>
            <w:pPr>
              <w:rPr>
                <w:noProof/>
              </w:rPr>
            </w:pPr>
            <w:r>
              <w:rPr>
                <w:noProof/>
              </w:rPr>
              <w:t>155,55</w:t>
            </w:r>
          </w:p>
        </w:tc>
        <w:tc>
          <w:tcPr>
            <w:tcW w:w="1426" w:type="dxa"/>
            <w:shd w:val="clear" w:color="auto" w:fill="auto"/>
          </w:tcPr>
          <w:p>
            <w:pPr>
              <w:rPr>
                <w:noProof/>
              </w:rPr>
            </w:pPr>
            <w:r>
              <w:rPr>
                <w:noProof/>
              </w:rPr>
              <w:t>168,33</w:t>
            </w:r>
          </w:p>
        </w:tc>
        <w:tc>
          <w:tcPr>
            <w:tcW w:w="1409" w:type="dxa"/>
            <w:shd w:val="clear" w:color="auto" w:fill="auto"/>
          </w:tcPr>
          <w:p>
            <w:pPr>
              <w:rPr>
                <w:noProof/>
              </w:rPr>
            </w:pPr>
            <w:r>
              <w:rPr>
                <w:noProof/>
              </w:rPr>
              <w:t>167,78</w:t>
            </w:r>
          </w:p>
        </w:tc>
      </w:tr>
      <w:tr>
        <w:trPr>
          <w:cantSplit/>
          <w:tblHeader/>
          <w:jc w:val="center"/>
        </w:trPr>
        <w:tc>
          <w:tcPr>
            <w:tcW w:w="3424" w:type="dxa"/>
            <w:shd w:val="clear" w:color="auto" w:fill="auto"/>
          </w:tcPr>
          <w:p>
            <w:pPr>
              <w:rPr>
                <w:noProof/>
              </w:rPr>
            </w:pPr>
            <w:r>
              <w:rPr>
                <w:noProof/>
              </w:rPr>
              <w:t>Käibemaks</w:t>
            </w:r>
          </w:p>
        </w:tc>
        <w:tc>
          <w:tcPr>
            <w:tcW w:w="1379" w:type="dxa"/>
            <w:shd w:val="clear" w:color="auto" w:fill="auto"/>
          </w:tcPr>
          <w:p>
            <w:pPr>
              <w:rPr>
                <w:noProof/>
              </w:rPr>
            </w:pPr>
            <w:r>
              <w:rPr>
                <w:noProof/>
              </w:rPr>
              <w:t>25,93</w:t>
            </w:r>
          </w:p>
        </w:tc>
        <w:tc>
          <w:tcPr>
            <w:tcW w:w="1426" w:type="dxa"/>
            <w:shd w:val="clear" w:color="auto" w:fill="auto"/>
          </w:tcPr>
          <w:p>
            <w:pPr>
              <w:rPr>
                <w:noProof/>
              </w:rPr>
            </w:pPr>
            <w:r>
              <w:rPr>
                <w:noProof/>
              </w:rPr>
              <w:t>19,37</w:t>
            </w:r>
          </w:p>
        </w:tc>
        <w:tc>
          <w:tcPr>
            <w:tcW w:w="1409" w:type="dxa"/>
            <w:shd w:val="clear" w:color="auto" w:fill="auto"/>
          </w:tcPr>
          <w:p>
            <w:pPr>
              <w:rPr>
                <w:noProof/>
              </w:rPr>
            </w:pPr>
            <w:r>
              <w:rPr>
                <w:noProof/>
              </w:rPr>
              <w:t>19,30</w:t>
            </w:r>
          </w:p>
        </w:tc>
      </w:tr>
      <w:tr>
        <w:trPr>
          <w:cantSplit/>
          <w:tblHeader/>
          <w:jc w:val="center"/>
        </w:trPr>
        <w:tc>
          <w:tcPr>
            <w:tcW w:w="3424" w:type="dxa"/>
            <w:shd w:val="clear" w:color="auto" w:fill="auto"/>
          </w:tcPr>
          <w:p>
            <w:pPr>
              <w:rPr>
                <w:noProof/>
              </w:rPr>
            </w:pPr>
            <w:r>
              <w:rPr>
                <w:noProof/>
              </w:rPr>
              <w:t xml:space="preserve">Energiamaks </w:t>
            </w:r>
          </w:p>
        </w:tc>
        <w:tc>
          <w:tcPr>
            <w:tcW w:w="1379" w:type="dxa"/>
            <w:shd w:val="clear" w:color="auto" w:fill="auto"/>
          </w:tcPr>
          <w:p>
            <w:pPr>
              <w:rPr>
                <w:noProof/>
              </w:rPr>
            </w:pPr>
            <w:r>
              <w:rPr>
                <w:noProof/>
              </w:rPr>
              <w:t>69,14</w:t>
            </w:r>
          </w:p>
        </w:tc>
        <w:tc>
          <w:tcPr>
            <w:tcW w:w="1426" w:type="dxa"/>
            <w:shd w:val="clear" w:color="auto" w:fill="auto"/>
          </w:tcPr>
          <w:p>
            <w:pPr>
              <w:rPr>
                <w:noProof/>
              </w:rPr>
            </w:pPr>
            <w:r>
              <w:rPr>
                <w:noProof/>
              </w:rPr>
              <w:t>67,29</w:t>
            </w:r>
          </w:p>
        </w:tc>
        <w:tc>
          <w:tcPr>
            <w:tcW w:w="1409" w:type="dxa"/>
            <w:shd w:val="clear" w:color="auto" w:fill="auto"/>
          </w:tcPr>
          <w:p>
            <w:pPr>
              <w:rPr>
                <w:noProof/>
              </w:rPr>
            </w:pPr>
            <w:r>
              <w:rPr>
                <w:noProof/>
              </w:rPr>
              <w:t>67,29</w:t>
            </w:r>
          </w:p>
        </w:tc>
      </w:tr>
      <w:tr>
        <w:trPr>
          <w:cantSplit/>
          <w:tblHeader/>
          <w:jc w:val="center"/>
        </w:trPr>
        <w:tc>
          <w:tcPr>
            <w:tcW w:w="3424" w:type="dxa"/>
            <w:shd w:val="clear" w:color="auto" w:fill="auto"/>
          </w:tcPr>
          <w:p>
            <w:pPr>
              <w:rPr>
                <w:noProof/>
              </w:rPr>
            </w:pPr>
            <w:r>
              <w:rPr>
                <w:noProof/>
              </w:rPr>
              <w:t>Transpordi ja turustamise brutomarginaal</w:t>
            </w:r>
          </w:p>
        </w:tc>
        <w:tc>
          <w:tcPr>
            <w:tcW w:w="1379" w:type="dxa"/>
            <w:shd w:val="clear" w:color="auto" w:fill="auto"/>
          </w:tcPr>
          <w:p>
            <w:pPr>
              <w:rPr>
                <w:noProof/>
              </w:rPr>
            </w:pPr>
            <w:r>
              <w:rPr>
                <w:noProof/>
              </w:rPr>
              <w:t>13,87</w:t>
            </w:r>
          </w:p>
        </w:tc>
        <w:tc>
          <w:tcPr>
            <w:tcW w:w="1426" w:type="dxa"/>
            <w:shd w:val="clear" w:color="auto" w:fill="auto"/>
          </w:tcPr>
          <w:p>
            <w:pPr>
              <w:rPr>
                <w:noProof/>
              </w:rPr>
            </w:pPr>
            <w:r>
              <w:rPr>
                <w:noProof/>
              </w:rPr>
              <w:t>35,05</w:t>
            </w:r>
          </w:p>
        </w:tc>
        <w:tc>
          <w:tcPr>
            <w:tcW w:w="1409" w:type="dxa"/>
            <w:shd w:val="clear" w:color="auto" w:fill="auto"/>
          </w:tcPr>
          <w:p>
            <w:pPr>
              <w:rPr>
                <w:noProof/>
              </w:rPr>
            </w:pPr>
            <w:r>
              <w:rPr>
                <w:noProof/>
              </w:rPr>
              <w:t>34,57</w:t>
            </w:r>
          </w:p>
        </w:tc>
      </w:tr>
      <w:tr>
        <w:trPr>
          <w:cantSplit/>
          <w:tblHeader/>
          <w:jc w:val="center"/>
        </w:trPr>
        <w:tc>
          <w:tcPr>
            <w:tcW w:w="3424" w:type="dxa"/>
            <w:shd w:val="clear" w:color="auto" w:fill="auto"/>
          </w:tcPr>
          <w:p>
            <w:pPr>
              <w:rPr>
                <w:noProof/>
              </w:rPr>
            </w:pPr>
            <w:r>
              <w:rPr>
                <w:noProof/>
              </w:rPr>
              <w:t>Rahvusvaheline noteering</w:t>
            </w:r>
          </w:p>
        </w:tc>
        <w:tc>
          <w:tcPr>
            <w:tcW w:w="1379" w:type="dxa"/>
            <w:shd w:val="clear" w:color="auto" w:fill="auto"/>
          </w:tcPr>
          <w:p>
            <w:pPr>
              <w:rPr>
                <w:noProof/>
              </w:rPr>
            </w:pPr>
            <w:r>
              <w:rPr>
                <w:noProof/>
              </w:rPr>
              <w:t>46,62</w:t>
            </w:r>
          </w:p>
        </w:tc>
        <w:tc>
          <w:tcPr>
            <w:tcW w:w="1426" w:type="dxa"/>
            <w:shd w:val="clear" w:color="auto" w:fill="auto"/>
          </w:tcPr>
          <w:p>
            <w:pPr>
              <w:rPr>
                <w:noProof/>
              </w:rPr>
            </w:pPr>
            <w:r>
              <w:rPr>
                <w:noProof/>
              </w:rPr>
              <w:t>46,62</w:t>
            </w:r>
          </w:p>
        </w:tc>
        <w:tc>
          <w:tcPr>
            <w:tcW w:w="1409" w:type="dxa"/>
            <w:shd w:val="clear" w:color="auto" w:fill="auto"/>
          </w:tcPr>
          <w:p>
            <w:pPr>
              <w:rPr>
                <w:noProof/>
              </w:rPr>
            </w:pPr>
            <w:r>
              <w:rPr>
                <w:noProof/>
              </w:rPr>
              <w:t>46,62</w:t>
            </w:r>
          </w:p>
        </w:tc>
      </w:tr>
    </w:tbl>
    <w:p>
      <w:pPr>
        <w:rPr>
          <w:noProof/>
        </w:rPr>
      </w:pPr>
      <w:r>
        <w:rPr>
          <w:noProof/>
        </w:rPr>
        <w:t>Allikas: www.prix- carburants.gouv.fr</w:t>
      </w:r>
    </w:p>
    <w:p>
      <w:pPr>
        <w:rPr>
          <w:b/>
          <w:noProof/>
        </w:rPr>
      </w:pPr>
      <w:r>
        <w:rPr>
          <w:noProof/>
        </w:rPr>
        <w:t xml:space="preserve">Samuti märkis Prantsusmaa, et see meede põhineb teataval Korsika arengut soodustaval valitsuse poliitikal, mida põhjendatakse saarelisest asendist tingitud puudustega. </w:t>
      </w:r>
    </w:p>
    <w:p>
      <w:pPr>
        <w:pStyle w:val="ManualHeading2"/>
        <w:rPr>
          <w:rFonts w:eastAsia="Arial Unicode MS"/>
          <w:noProof/>
          <w:u w:color="000000"/>
          <w:bdr w:val="nil"/>
        </w:rPr>
      </w:pPr>
      <w:r>
        <w:rPr>
          <w:noProof/>
        </w:rPr>
        <w:t>•</w:t>
      </w:r>
      <w:r>
        <w:rPr>
          <w:noProof/>
        </w:rPr>
        <w:tab/>
        <w:t>Ettepaneku valdkonna õigusnormid</w:t>
      </w:r>
    </w:p>
    <w:p>
      <w:pPr>
        <w:rPr>
          <w:noProof/>
        </w:rPr>
      </w:pPr>
      <w:r>
        <w:rPr>
          <w:noProof/>
        </w:rPr>
        <w:t xml:space="preserve">Nõukogu 27. oktoobri 2003. aasta direktiiv 2003/96/EÜ, millega korraldatakse ümber energiatoodete ja elektrienergia maksustamise ühenduse raamistik. </w:t>
      </w:r>
    </w:p>
    <w:p>
      <w:pPr>
        <w:pStyle w:val="ManualHeading2"/>
        <w:rPr>
          <w:rFonts w:eastAsia="Arial Unicode MS"/>
          <w:noProof/>
          <w:u w:color="000000"/>
          <w:bdr w:val="nil"/>
        </w:rPr>
      </w:pPr>
      <w:r>
        <w:rPr>
          <w:noProof/>
        </w:rPr>
        <w:lastRenderedPageBreak/>
        <w:t>•</w:t>
      </w:r>
      <w:r>
        <w:rPr>
          <w:noProof/>
        </w:rPr>
        <w:tab/>
        <w:t>Direktiivi 2003/96/EÜ artikli 19 kohase meetme hindamine.</w:t>
      </w:r>
    </w:p>
    <w:p>
      <w:pPr>
        <w:keepNext/>
        <w:rPr>
          <w:i/>
          <w:noProof/>
        </w:rPr>
      </w:pPr>
      <w:r>
        <w:rPr>
          <w:i/>
          <w:noProof/>
        </w:rPr>
        <w:t>Teatavad poliitilised kaalutlused</w:t>
      </w:r>
    </w:p>
    <w:p>
      <w:pPr>
        <w:rPr>
          <w:noProof/>
        </w:rPr>
      </w:pPr>
      <w:r>
        <w:rPr>
          <w:noProof/>
        </w:rPr>
        <w:t xml:space="preserve">Direktiivi artikli 19 lõike 1 esimeses lõigus on sätestatud: </w:t>
      </w:r>
    </w:p>
    <w:p>
      <w:pPr>
        <w:rPr>
          <w:noProof/>
        </w:rPr>
      </w:pPr>
      <w:r>
        <w:rPr>
          <w:noProof/>
        </w:rPr>
        <w:t>„Lisaks eelmiste artiklite sätetele, eriti artiklitele 5, 15 ja 17, võib nõukogu komisjoni ettepaneku põhjal ühehäälselt lubada liikmesriigil kehtestada täiendava maksuvabastuse või -vähenduse teatavatel poliitilistel kaalutlustel.“</w:t>
      </w:r>
    </w:p>
    <w:p>
      <w:pPr>
        <w:rPr>
          <w:noProof/>
        </w:rPr>
      </w:pPr>
      <w:r>
        <w:rPr>
          <w:noProof/>
        </w:rPr>
        <w:t xml:space="preserve">Eri maksumäärad ühtlustavad olukorra Korsikal ja mandril pliivaba bensiini tarbijate jaoks, hüvitades osaliselt Korsika tarbijate lisakulud. Kavandatav meede vastab seega teatavatele regionaal- ja ühtekuuluvuspoliitika eesmärkidele. </w:t>
      </w:r>
    </w:p>
    <w:p>
      <w:pPr>
        <w:rPr>
          <w:noProof/>
        </w:rPr>
      </w:pPr>
      <w:r>
        <w:rPr>
          <w:noProof/>
        </w:rPr>
        <w:t xml:space="preserve">Maksumäära vähendamine ei ületa Korsika tarbijate transpordi ja jaotamise täiendavaid kulusid. Tegelikult jääb pliivaba bensiini hinna vähendamine kümne euro võrra 1 000 liitri kohta oluliselt väiksemaks kui vastavate lõplike hindade vaheline erinevus. </w:t>
      </w:r>
    </w:p>
    <w:p>
      <w:pPr>
        <w:keepNext/>
        <w:rPr>
          <w:noProof/>
        </w:rPr>
      </w:pPr>
      <w:r>
        <w:rPr>
          <w:noProof/>
        </w:rPr>
        <w:t xml:space="preserve">Samal ajal jääb Korsikal praegu kohaldatav pliivaba bensiini vähendatud maksumäär (672,9 eurot/1 000 l) märkimisväärselt kõrgemaks kui direktiiviga 2003/96/EÜ kehtestatud ELi alammäär (359 eurot/1 000 l). </w:t>
      </w:r>
    </w:p>
    <w:p>
      <w:pPr>
        <w:keepNext/>
        <w:rPr>
          <w:i/>
          <w:noProof/>
        </w:rPr>
      </w:pPr>
      <w:r>
        <w:rPr>
          <w:i/>
          <w:noProof/>
        </w:rPr>
        <w:t>Kooskõla muude liidu tegevuspõhimõtete ja eesmärkidega</w:t>
      </w:r>
    </w:p>
    <w:p>
      <w:pPr>
        <w:rPr>
          <w:noProof/>
        </w:rPr>
      </w:pPr>
      <w:r>
        <w:rPr>
          <w:noProof/>
        </w:rPr>
        <w:t xml:space="preserve">Komisjon uurib iga taotlust, võttes arvesse siseturu nõuetekohast toimimist, vajadust tagada aus konkurents ning ELi tervishoiu-, keskkonna-, energia- ja transpordipoliitika toimimine. </w:t>
      </w:r>
    </w:p>
    <w:p>
      <w:pPr>
        <w:rPr>
          <w:noProof/>
        </w:rPr>
      </w:pPr>
      <w:r>
        <w:rPr>
          <w:noProof/>
        </w:rPr>
        <w:t>Kõnealune meede on vastuvõetav, pidades silmas siseturu nõuetekohast toimimist ja vajadust tagada aus konkurents. Selle eesmärk on osaliselt hüvitada Korsika saarelisest asukohast tulenevad lisakulud. Pidades silmas nende departemangude kaugust ja saarelist asukohta, mille suhtes vähendamist kohaldatakse, ning maksumäära (mis on muu hulgas väga kõrge võrreldes ELi alammääraga) vähendamise mõõdukust, ei too meede eeldatavasti kaasa muutusi kütusetarbimises ega meelita ligi tarbijaid väljastpoolt neid piirkondi.</w:t>
      </w:r>
    </w:p>
    <w:p>
      <w:pPr>
        <w:rPr>
          <w:noProof/>
        </w:rPr>
      </w:pPr>
      <w:r>
        <w:rPr>
          <w:noProof/>
        </w:rPr>
        <w:t>Kuna maksuvähenduse mõju transpordile on eeldatavasti väheoluline ning võimaliku marginaalse mõju korral on olemas tasakaalustavad poliitilised strateegiad, ei ole meede vastuolus liidu tervise-, keskkonna-, energia- ja transpordipoliitikaga.</w:t>
      </w:r>
    </w:p>
    <w:p>
      <w:pPr>
        <w:rPr>
          <w:i/>
          <w:noProof/>
        </w:rPr>
      </w:pPr>
      <w:r>
        <w:rPr>
          <w:i/>
          <w:noProof/>
        </w:rPr>
        <w:t>Meetme kohaldamisaeg ja energia maksustamist käsitleva ELi raamistiku areng</w:t>
      </w:r>
    </w:p>
    <w:p>
      <w:pPr>
        <w:rPr>
          <w:noProof/>
        </w:rPr>
      </w:pPr>
      <w:r>
        <w:rPr>
          <w:noProof/>
        </w:rPr>
        <w:t>Direktiivi 2003/96/EÜ artikli 19 lõikes 2 sätestatakse niisuguse meetme puhul maksimaalne ajavahemik kuus aastat, mida võib pikendada. Võttes arvesse praeguse korralduse puuduvat kahjulikku mõju liidusisesele kaubandusele ja kütuste maksustamise üldisele tasemele Prantsusmaal ning tagamaks piirkonna õiguskindlus, soovitab komisjon määrata loa praegu kuueks aastaks, st ajavahemikuks 1. jaanuarist 2019 kuni 31. detsembrini 2024.</w:t>
      </w:r>
    </w:p>
    <w:p>
      <w:pPr>
        <w:rPr>
          <w:noProof/>
        </w:rPr>
      </w:pPr>
      <w:r>
        <w:rPr>
          <w:noProof/>
        </w:rPr>
        <w:t>Kuid selleks, et mitte kahjustada kehtiva õigusraamistiku tulevast üldist arengut, on asjakohane sätestada, et kui nõukogu peaks aluslepingu artikli 113 alusel kehtestama üldise muudetud süsteemi energiatoodete maksustamiseks ning praegu antav luba ei oleks sellega kooskõlas, kaotab käesolev otsus kehtivuse päeval, mil hakatakse kohaldama kõnealuseid muudetud eeskirju.</w:t>
      </w:r>
    </w:p>
    <w:p>
      <w:pPr>
        <w:rPr>
          <w:noProof/>
        </w:rPr>
      </w:pPr>
      <w:r>
        <w:rPr>
          <w:noProof/>
        </w:rPr>
        <w:t>Kui nõukogu peaks sellise uue süsteemi vastu võtma ning kui komisjon peaks leidma, et käesoleva otsusega ettenähtud luba on ikka veel õigustatud, vaatab komisjon kindlasti ja õigeaegselt läbi kõik Prantsusmaa esitatud samalaadse loa taotlused, mida on kohandatud sellest uuest süsteemist lähtuvalt, nii et oleks tagatud käesoleva ettepanekuga ettenähtud järjepidevus.</w:t>
      </w:r>
    </w:p>
    <w:p>
      <w:pPr>
        <w:pStyle w:val="ManualHeading2"/>
        <w:rPr>
          <w:rFonts w:eastAsia="Arial Unicode MS"/>
          <w:noProof/>
          <w:u w:color="000000"/>
          <w:bdr w:val="nil"/>
        </w:rPr>
      </w:pPr>
      <w:r>
        <w:rPr>
          <w:noProof/>
        </w:rPr>
        <w:lastRenderedPageBreak/>
        <w:t>•</w:t>
      </w:r>
      <w:r>
        <w:rPr>
          <w:noProof/>
        </w:rPr>
        <w:tab/>
        <w:t>Riigiabi eeskirjad</w:t>
      </w:r>
    </w:p>
    <w:p>
      <w:pPr>
        <w:rPr>
          <w:noProof/>
        </w:rPr>
      </w:pPr>
      <w:r>
        <w:rPr>
          <w:noProof/>
        </w:rPr>
        <w:t>ELi toimimise lepingu artikli 107 lõike 1 kohaselt võib meede endast riigiabi kujutada. Kuna vähendatud maksumäär on kõrgem ELi alammäärast, on meede hõlmatud määruse 651/2014/EL (üldine grupierandi määrus) artikliga 44 ning seda võib pidada siseturuga kooskõlas olevaks. Üldise grupierandi määruse kehtivusaja lõppemisel 31. detsembril 2020 jääb abi teavitamiskohustusest vabastatuks veel kuue kuu pikkuseks üleminekuajaks (vt üldise grupierandi määruse artikli 58 lõige 4). Otsusega ei piirata kohaldatavaid riigiabi eeskirju erandiga hõlmatud perioodil.</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noProof/>
        </w:rPr>
      </w:pPr>
      <w:r>
        <w:rPr>
          <w:noProof/>
        </w:rPr>
        <w:t>Nõukogu direktiivi 2003/96/EÜ artikkel 19.</w:t>
      </w:r>
    </w:p>
    <w:p>
      <w:pPr>
        <w:pStyle w:val="ManualHeading2"/>
        <w:rPr>
          <w:rFonts w:eastAsia="Arial Unicode MS"/>
          <w:noProof/>
          <w:u w:color="000000"/>
          <w:bdr w:val="nil"/>
        </w:rPr>
      </w:pPr>
      <w:r>
        <w:rPr>
          <w:noProof/>
        </w:rPr>
        <w:t>•</w:t>
      </w:r>
      <w:r>
        <w:rPr>
          <w:noProof/>
        </w:rPr>
        <w:tab/>
        <w:t>Subsidiaarsuse põhimõte</w:t>
      </w:r>
    </w:p>
    <w:p>
      <w:pPr>
        <w:rPr>
          <w:noProof/>
        </w:rPr>
      </w:pPr>
      <w:r>
        <w:rPr>
          <w:noProof/>
        </w:rPr>
        <w:t>Euroopa Liidu toimimise lepingu artiklis 113 käsitletud kaudse maksustamise valdkond ei kuulu iseenesest ELi ainupädevusse aluslepingu artikli 3 tähenduses.</w:t>
      </w:r>
    </w:p>
    <w:p>
      <w:pPr>
        <w:rPr>
          <w:noProof/>
        </w:rPr>
      </w:pPr>
      <w:r>
        <w:rPr>
          <w:noProof/>
        </w:rPr>
        <w:t>Siiski võib direktiivi 2003/96/EÜ artikli 19 kohaselt üksnes nõukogu teisese õigusaktiga lubada liikmesriigil kehtestada selle sätte kohaseid täiendavaid maksuvabastusi või -vähendusi. Seepärast ei ole liikmesriikidel õigust nõukogu asemel tegutseda. Subsidiaarsuse põhimõtet seega käesoleva rakendusotsuse puhul ei kohaldata. Kuna käesolev õigusakt ei ole seadusandliku akti eelnõu, ei pea seda aluslepingute protokolli nr 2 kohaselt edastama liikmesriikide parlamentidele subsidiaarsuse põhimõtte järgimise kontrollimiseks.</w:t>
      </w:r>
    </w:p>
    <w:p>
      <w:pPr>
        <w:pStyle w:val="ManualHeading2"/>
        <w:rPr>
          <w:rFonts w:eastAsia="Arial Unicode MS"/>
          <w:noProof/>
          <w:u w:color="000000"/>
          <w:bdr w:val="nil"/>
        </w:rPr>
      </w:pPr>
      <w:r>
        <w:rPr>
          <w:noProof/>
        </w:rPr>
        <w:t>•</w:t>
      </w:r>
      <w:r>
        <w:rPr>
          <w:noProof/>
        </w:rPr>
        <w:tab/>
        <w:t>Proportsionaalsuse põhimõte</w:t>
      </w:r>
    </w:p>
    <w:p>
      <w:pPr>
        <w:rPr>
          <w:noProof/>
        </w:rPr>
      </w:pPr>
      <w:r>
        <w:rPr>
          <w:noProof/>
        </w:rPr>
        <w:t>Ettepanek on kooskõlas proportsionaalsuse põhimõttega. Maksuvähendus ei ületa kõnealuse eesmärgi saavutamiseks vajaminevat.</w:t>
      </w:r>
    </w:p>
    <w:p>
      <w:pPr>
        <w:pStyle w:val="ManualHeading2"/>
        <w:rPr>
          <w:rFonts w:eastAsia="Arial Unicode MS"/>
          <w:noProof/>
          <w:u w:color="000000"/>
          <w:bdr w:val="nil"/>
        </w:rPr>
      </w:pPr>
      <w:r>
        <w:rPr>
          <w:noProof/>
        </w:rPr>
        <w:t>•</w:t>
      </w:r>
      <w:r>
        <w:rPr>
          <w:noProof/>
        </w:rPr>
        <w:tab/>
        <w:t>Vahendi valik</w:t>
      </w:r>
    </w:p>
    <w:p>
      <w:pPr>
        <w:rPr>
          <w:noProof/>
        </w:rPr>
      </w:pPr>
      <w:r>
        <w:rPr>
          <w:noProof/>
        </w:rPr>
        <w:t>Kavandatav vahend: nõukogu rakendusotsus.</w:t>
      </w:r>
    </w:p>
    <w:p>
      <w:pPr>
        <w:rPr>
          <w:noProof/>
        </w:rPr>
      </w:pPr>
      <w:r>
        <w:rPr>
          <w:noProof/>
        </w:rPr>
        <w:t>Direktiivi 2003/96 artikliga 19 on ette nähtud üksnes kõnealust liiki õigusakt.</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rPr>
          <w:noProof/>
        </w:rPr>
      </w:pPr>
      <w:r>
        <w:rPr>
          <w:noProof/>
        </w:rPr>
        <w:t>Meetme võtmiseks ei ole vaja praegu kehtivaid õigusakte hinnata.</w:t>
      </w:r>
    </w:p>
    <w:p>
      <w:pPr>
        <w:pStyle w:val="ManualHeading2"/>
        <w:rPr>
          <w:rFonts w:eastAsia="Arial Unicode MS"/>
          <w:noProof/>
          <w:u w:color="000000"/>
          <w:bdr w:val="nil"/>
        </w:rPr>
      </w:pPr>
      <w:r>
        <w:rPr>
          <w:noProof/>
        </w:rPr>
        <w:t>•</w:t>
      </w:r>
      <w:r>
        <w:rPr>
          <w:noProof/>
        </w:rPr>
        <w:tab/>
        <w:t>Konsulteerimine huvitatud isikutega</w:t>
      </w:r>
    </w:p>
    <w:p>
      <w:pPr>
        <w:rPr>
          <w:noProof/>
        </w:rPr>
      </w:pPr>
      <w:r>
        <w:rPr>
          <w:noProof/>
        </w:rPr>
        <w:t>Käesoleva ettepanekuga vähendatakse maksumäära, mis hõlmab üksnes Prantsusmaad.</w:t>
      </w:r>
    </w:p>
    <w:p>
      <w:pPr>
        <w:pStyle w:val="ManualHeading2"/>
        <w:rPr>
          <w:rFonts w:eastAsia="Arial Unicode MS"/>
          <w:noProof/>
          <w:u w:color="000000"/>
          <w:bdr w:val="nil"/>
        </w:rPr>
      </w:pPr>
      <w:r>
        <w:rPr>
          <w:noProof/>
        </w:rPr>
        <w:t>•</w:t>
      </w:r>
      <w:r>
        <w:rPr>
          <w:noProof/>
        </w:rPr>
        <w:tab/>
        <w:t>Eksperdiarvamuste kogumine ja kasutamine</w:t>
      </w:r>
    </w:p>
    <w:p>
      <w:pPr>
        <w:rPr>
          <w:noProof/>
        </w:rPr>
      </w:pPr>
      <w:r>
        <w:rPr>
          <w:noProof/>
        </w:rPr>
        <w:t>Väliseksperte ei kasutatud.</w:t>
      </w:r>
    </w:p>
    <w:p>
      <w:pPr>
        <w:pStyle w:val="ManualHeading2"/>
        <w:rPr>
          <w:rFonts w:eastAsia="Arial Unicode MS"/>
          <w:noProof/>
          <w:u w:color="000000"/>
          <w:bdr w:val="nil"/>
        </w:rPr>
      </w:pPr>
      <w:r>
        <w:rPr>
          <w:noProof/>
        </w:rPr>
        <w:t>•</w:t>
      </w:r>
      <w:r>
        <w:rPr>
          <w:noProof/>
        </w:rPr>
        <w:tab/>
        <w:t>Mõjuhinnang</w:t>
      </w:r>
    </w:p>
    <w:p>
      <w:pPr>
        <w:rPr>
          <w:noProof/>
        </w:rPr>
      </w:pPr>
      <w:r>
        <w:rPr>
          <w:noProof/>
        </w:rPr>
        <w:t>Mõjuhinnangut ei koostatud.</w:t>
      </w:r>
    </w:p>
    <w:p>
      <w:pPr>
        <w:pStyle w:val="ManualHeading2"/>
        <w:rPr>
          <w:rFonts w:eastAsia="Arial Unicode MS"/>
          <w:noProof/>
          <w:u w:color="000000"/>
          <w:bdr w:val="nil"/>
        </w:rPr>
      </w:pPr>
      <w:r>
        <w:rPr>
          <w:noProof/>
        </w:rPr>
        <w:t>•</w:t>
      </w:r>
      <w:r>
        <w:rPr>
          <w:noProof/>
        </w:rPr>
        <w:tab/>
        <w:t xml:space="preserve">Põhiõigused </w:t>
      </w:r>
    </w:p>
    <w:p>
      <w:pPr>
        <w:rPr>
          <w:noProof/>
        </w:rPr>
      </w:pPr>
      <w:r>
        <w:rPr>
          <w:noProof/>
        </w:rPr>
        <w:t>Meetmel ei ole tähtsust põhiõiguste suhtes.</w:t>
      </w:r>
    </w:p>
    <w:p>
      <w:pPr>
        <w:pStyle w:val="ManualHeading1"/>
        <w:rPr>
          <w:noProof/>
        </w:rPr>
      </w:pPr>
      <w:r>
        <w:rPr>
          <w:noProof/>
        </w:rPr>
        <w:lastRenderedPageBreak/>
        <w:t>4.</w:t>
      </w:r>
      <w:r>
        <w:rPr>
          <w:noProof/>
        </w:rPr>
        <w:tab/>
        <w:t>MÕJU EELARVELE</w:t>
      </w:r>
    </w:p>
    <w:p>
      <w:pPr>
        <w:rPr>
          <w:noProof/>
        </w:rPr>
      </w:pPr>
      <w:r>
        <w:rPr>
          <w:noProof/>
        </w:rPr>
        <w:t>Meetmega ei kaasne liidule rahalist ega halduskoormust, seetõttu ei avalda käesolev ettepanek mõju ELi eelarvele.</w:t>
      </w:r>
    </w:p>
    <w:p>
      <w:pPr>
        <w:pStyle w:val="ManualHeading1"/>
        <w:rPr>
          <w:noProof/>
        </w:rPr>
      </w:pPr>
      <w:r>
        <w:rPr>
          <w:noProof/>
        </w:rPr>
        <w:t>5.</w:t>
      </w:r>
      <w:r>
        <w:rPr>
          <w:noProof/>
        </w:rPr>
        <w:tab/>
        <w:t>MUU TEAVE</w:t>
      </w:r>
    </w:p>
    <w:p>
      <w:pPr>
        <w:rPr>
          <w:noProof/>
        </w:rPr>
      </w:pPr>
      <w:r>
        <w:rPr>
          <w:noProof/>
        </w:rPr>
        <w:t xml:space="preserve">Rakenduskavad ning järelevalve, hindamise ja aruandluse kord </w:t>
      </w:r>
    </w:p>
    <w:p>
      <w:pPr>
        <w:rPr>
          <w:noProof/>
        </w:rPr>
      </w:pPr>
      <w:r>
        <w:rPr>
          <w:noProof/>
        </w:rPr>
        <w:t>Rakenduskava ei ole vaja. Käesolevas ettepanekus käsitletakse ühele liikmesriigile tema taotlusel antud luba maksumäära vähendamiseks. Luba antakse piiratud ajavahemikuks – kuueks aastaks. Kohaldatav maksumäär on kõrgem kui energia maksustamise direktiivis sätestatud madalaim maksustamistase. Kui pärast kuue aasta möödumist esitatakse taotlus meetme uuendamiseks, saab meedet hinnata.</w:t>
      </w:r>
    </w:p>
    <w:p>
      <w:pPr>
        <w:pStyle w:val="ManualHeading2"/>
        <w:rPr>
          <w:rFonts w:eastAsia="Arial Unicode MS"/>
          <w:noProof/>
          <w:u w:color="000000"/>
          <w:bdr w:val="nil"/>
        </w:rPr>
      </w:pPr>
      <w:r>
        <w:rPr>
          <w:noProof/>
        </w:rPr>
        <w:t>•</w:t>
      </w:r>
      <w:r>
        <w:rPr>
          <w:noProof/>
        </w:rPr>
        <w:tab/>
        <w:t>Kavandatud meetmete kokkuvõte</w:t>
      </w:r>
    </w:p>
    <w:p>
      <w:pPr>
        <w:rPr>
          <w:noProof/>
        </w:rPr>
      </w:pPr>
      <w:r>
        <w:rPr>
          <w:noProof/>
        </w:rPr>
        <w:t>Komisjon teeb ettepaneku lubada maksumäära vähendamist kümne euro ulatuses 1 000 liitri kohta kuni 31. detsembrini 2024, lubades seega Prantsusmaal kohaldada vähendatud maksumäära Korsika departemangudes mootorikütusena kasutatava ja ringlusse lubatud pliivaba bensiini suhtes.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2019/0004 (NLE)</w:t>
      </w:r>
    </w:p>
    <w:p>
      <w:pPr>
        <w:pStyle w:val="Statut"/>
        <w:rPr>
          <w:noProof/>
        </w:rPr>
      </w:pPr>
      <w:r>
        <w:rPr>
          <w:noProof/>
        </w:rPr>
        <w:t>Ettepanek:</w:t>
      </w:r>
    </w:p>
    <w:p>
      <w:pPr>
        <w:pStyle w:val="Typedudocument"/>
        <w:rPr>
          <w:noProof/>
        </w:rPr>
      </w:pPr>
      <w:r>
        <w:rPr>
          <w:noProof/>
        </w:rPr>
        <w:t>NÕUKOGU RAKENDUSOTSUS,</w:t>
      </w:r>
    </w:p>
    <w:p>
      <w:pPr>
        <w:pStyle w:val="Titreobjet"/>
        <w:rPr>
          <w:noProof/>
        </w:rPr>
      </w:pPr>
      <w:r>
        <w:rPr>
          <w:noProof/>
        </w:rPr>
        <w:t>millega lubatakse Prantsusmaal vastavalt direktiivi 2003/96/EÜ artiklile 19 kohaldada vähendatud maksumäära Korsika departemangudes mootorikütusena kasutatava ja tarbimiseks ringlusse lubatud pliivaba bensiini suhtes</w:t>
      </w:r>
    </w:p>
    <w:p>
      <w:pPr>
        <w:pStyle w:val="Institutionquiagit"/>
        <w:rPr>
          <w:noProof/>
        </w:rPr>
      </w:pPr>
      <w:r>
        <w:rPr>
          <w:noProof/>
        </w:rPr>
        <w:t>EUROOPA LIIDU NÕUKOGU,</w:t>
      </w:r>
    </w:p>
    <w:p>
      <w:pPr>
        <w:rPr>
          <w:noProof/>
        </w:rPr>
      </w:pPr>
      <w:r>
        <w:rPr>
          <w:noProof/>
        </w:rPr>
        <w:t>võttes arvesse Euroopa Liidu toimimise lepingut,</w:t>
      </w:r>
    </w:p>
    <w:p>
      <w:pPr>
        <w:rPr>
          <w:noProof/>
        </w:rPr>
      </w:pPr>
      <w:r>
        <w:rPr>
          <w:noProof/>
        </w:rPr>
        <w:t>võttes arvesse nõukogu 27. oktoobri 2003. aasta direktiivi 2003/96/EÜ, millega korraldatakse ümber energiatoodete ja elektrienergia maksustamise ühenduse raamistik,</w:t>
      </w:r>
      <w:r>
        <w:rPr>
          <w:rStyle w:val="FootnoteReference"/>
          <w:noProof/>
        </w:rPr>
        <w:footnoteReference w:id="1"/>
      </w:r>
      <w:r>
        <w:rPr>
          <w:noProof/>
        </w:rPr>
        <w:t xml:space="preserve"> eriti selle artikli 19 lõiget 1,</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otsusega 2007/880/EÜ</w:t>
      </w:r>
      <w:r>
        <w:rPr>
          <w:rStyle w:val="FootnoteReference"/>
          <w:noProof/>
        </w:rPr>
        <w:footnoteReference w:id="2"/>
      </w:r>
      <w:r>
        <w:rPr>
          <w:noProof/>
        </w:rPr>
        <w:t xml:space="preserve"> ja nõukogu rakendusotsusega 2013/192/EL</w:t>
      </w:r>
      <w:r>
        <w:rPr>
          <w:rStyle w:val="FootnoteReference"/>
          <w:noProof/>
        </w:rPr>
        <w:footnoteReference w:id="3"/>
      </w:r>
      <w:r>
        <w:rPr>
          <w:noProof/>
        </w:rPr>
        <w:t xml:space="preserve"> lubati Prantsusmaal vastavalt direktiivi 2003/96/EÜ artiklile 19 kohaldada vähendatud maksumäära Korsika departemangudes kütusena kasutatava ja tarbimiseks ringlusse lubatud pliivaba bensiini suhtes.</w:t>
      </w:r>
    </w:p>
    <w:p>
      <w:pPr>
        <w:pStyle w:val="ManualConsidrant"/>
        <w:rPr>
          <w:noProof/>
        </w:rPr>
      </w:pPr>
      <w:r>
        <w:t>(2)</w:t>
      </w:r>
      <w:r>
        <w:tab/>
      </w:r>
      <w:r>
        <w:rPr>
          <w:noProof/>
        </w:rPr>
        <w:t>26. septembri 2018. aasta kirjaga palus Prantsusmaa luba kohaldada mootorikütusena kasutatava pliivaba bensiini suhtes energiamaksu vähendatud määra, et jätkata otsuse 2007/880/EÜ ja rakendusotsuse 2013/192/EL raames rakendatud praktikat. Määra vähendataks 1 euro võrra hektoliitri kohta. Luba taotletakse ajavahemikuks 1. jaanuarist 2019 kuni 31. detsembrini 2024. Korsikal kaasneb tankla pliivaba bensiiniga varustamisega märkimisväärne lisakulu võrreldes mandril varustamisega ning lõpphinnad liitri kohta on üle 0,10 euro kõrgemad kui mandril.</w:t>
      </w:r>
    </w:p>
    <w:p>
      <w:pPr>
        <w:pStyle w:val="ManualConsidrant"/>
        <w:rPr>
          <w:noProof/>
        </w:rPr>
      </w:pPr>
      <w:r>
        <w:t>(3)</w:t>
      </w:r>
      <w:r>
        <w:tab/>
      </w:r>
      <w:r>
        <w:rPr>
          <w:noProof/>
        </w:rPr>
        <w:t>Vähendades Korsika tarbijate pliivaba bensiini maksumäära, ühtlustatakse pliivaba bensiini tarbijate olukorda Korsikal ja Prantsusmaa mandriosas. Kõnealune meede vastab seega regionaal- ja ühtekuuluvuspoliitika eesmärkidele.</w:t>
      </w:r>
    </w:p>
    <w:p>
      <w:pPr>
        <w:pStyle w:val="ManualConsidrant"/>
        <w:rPr>
          <w:noProof/>
        </w:rPr>
      </w:pPr>
      <w:r>
        <w:t>(4)</w:t>
      </w:r>
      <w:r>
        <w:tab/>
      </w:r>
      <w:r>
        <w:rPr>
          <w:noProof/>
        </w:rPr>
        <w:t>Maksumäärade vähendamine ei ületa taset, mis on vajalik, et võtta arvesse Korsika tarbijate kantavaid täiendavaid kulusid seoses transpordi ja jaotamisega.</w:t>
      </w:r>
    </w:p>
    <w:p>
      <w:pPr>
        <w:pStyle w:val="ManualConsidrant"/>
        <w:rPr>
          <w:noProof/>
        </w:rPr>
      </w:pPr>
      <w:r>
        <w:t>(5)</w:t>
      </w:r>
      <w:r>
        <w:tab/>
      </w:r>
      <w:r>
        <w:rPr>
          <w:noProof/>
        </w:rPr>
        <w:t>Maksumäära lõplik tase on kooskõlas direktiiviga 2003/96/EÜ ette nähtud alammääradega, milleks on praegu 359 eurot 1 000 liitri kohta (või 35,90 eurot hektoliitri kohta).</w:t>
      </w:r>
    </w:p>
    <w:p>
      <w:pPr>
        <w:pStyle w:val="ManualConsidrant"/>
        <w:rPr>
          <w:noProof/>
        </w:rPr>
      </w:pPr>
      <w:r>
        <w:lastRenderedPageBreak/>
        <w:t>(6)</w:t>
      </w:r>
      <w:r>
        <w:tab/>
      </w:r>
      <w:r>
        <w:rPr>
          <w:noProof/>
        </w:rPr>
        <w:t>Pidades silmas nende departemangude kaugust ja saarelist asukohta, mille suhtes vähendamist kohaldatakse, ning maksumäära (mis on muu hulgas väga kõrge võrreldes direktiivis 2003/96/EÜ sätestatud alammääraga) vähendamise mõõdukust, ei too taotletud meede kaasa konkreetselt kütuse varustamisega seotud muutusi.</w:t>
      </w:r>
    </w:p>
    <w:p>
      <w:pPr>
        <w:pStyle w:val="ManualConsidrant"/>
        <w:rPr>
          <w:noProof/>
        </w:rPr>
      </w:pPr>
      <w:r>
        <w:t>(7)</w:t>
      </w:r>
      <w:r>
        <w:tab/>
      </w:r>
      <w:r>
        <w:rPr>
          <w:noProof/>
        </w:rPr>
        <w:t>Sellest tulenevalt on meede vastuvõetav, pidades silmas siseturu nõuetekohast toimimist ja vajadust tagada aus konkurents, ega ole vastuolus liidu tervise-, keskkonna-, energia- ja transpordipoliitikaga.</w:t>
      </w:r>
    </w:p>
    <w:p>
      <w:pPr>
        <w:pStyle w:val="ManualConsidrant"/>
        <w:rPr>
          <w:noProof/>
        </w:rPr>
      </w:pPr>
      <w:r>
        <w:t>(8)</w:t>
      </w:r>
      <w:r>
        <w:tab/>
      </w:r>
      <w:r>
        <w:rPr>
          <w:noProof/>
        </w:rPr>
        <w:t>Seetõttu tuleks lubada vastavalt direktiivi 2003/96/EÜ artikli 19 lõikele 2 Prantsusmaal kohaldada vähendatud maksumäära mootorikütusena kasutatava ja Korsikal ringlusse lubatud pliivaba bensiini suhtes kuni 31. detsembrini 2024.</w:t>
      </w:r>
    </w:p>
    <w:p>
      <w:pPr>
        <w:pStyle w:val="ManualConsidrant"/>
        <w:rPr>
          <w:noProof/>
        </w:rPr>
      </w:pPr>
      <w:r>
        <w:t>(9)</w:t>
      </w:r>
      <w:r>
        <w:tab/>
      </w:r>
      <w:r>
        <w:rPr>
          <w:noProof/>
        </w:rPr>
        <w:t>Direktiivi 2003/96/EÜ artikli 19 lõikest 2 tuleneb, et kõik selle artikli alusel antavad load peavad olema ajaliselt rangelt piiritletud.</w:t>
      </w:r>
    </w:p>
    <w:p>
      <w:pPr>
        <w:pStyle w:val="ManualConsidrant"/>
        <w:rPr>
          <w:noProof/>
        </w:rPr>
      </w:pPr>
      <w:r>
        <w:t>(10)</w:t>
      </w:r>
      <w:r>
        <w:tab/>
      </w:r>
      <w:r>
        <w:rPr>
          <w:noProof/>
        </w:rPr>
        <w:t>Selleks et pakkuda asjaomastele piirkondadele piisaval määral kindlust, tuleks luba anda kuueks aastaks. Kuid selleks, et mitte kahjustada kehtiva õigusraamistiku üldist arengut tulevikus, on asjakohane sätestada, et kui nõukogu peaks aluslepingu artikli 113 alusel kehtestama üldise muudetud süsteemi energiatoodete maksustamiseks ning käesolevas otsuses antav luba ei oleks sellega kooskõlas, peaks käesolev otsus kaotama kehtivuse päeval, mil hakatakse kohaldama kõnealuseid muudetud süsteemi käsitlevaid eeskirju.</w:t>
      </w:r>
    </w:p>
    <w:p>
      <w:pPr>
        <w:pStyle w:val="ManualConsidrant"/>
        <w:rPr>
          <w:noProof/>
        </w:rPr>
      </w:pPr>
      <w:r>
        <w:t>(11)</w:t>
      </w:r>
      <w:r>
        <w:tab/>
      </w:r>
      <w:r>
        <w:rPr>
          <w:noProof/>
        </w:rPr>
        <w:t>Tuleks tagada, et Prantsusmaal oleks võimalik sujuvalt kohaldada käesolevas otsuses käsitletavat spetsiaalset vähendamist, kaldumata kõrvale rakendusotsuse 2013/192/EL alusel enne 1. jaanuari 2019 kehtinud korrast. Seega tuleks taotletud luba anda alates 1. jaanuarist 2019.</w:t>
      </w:r>
    </w:p>
    <w:p>
      <w:pPr>
        <w:pStyle w:val="ManualConsidrant"/>
        <w:rPr>
          <w:noProof/>
        </w:rPr>
      </w:pPr>
      <w:r>
        <w:t>(12)</w:t>
      </w:r>
      <w:r>
        <w:tab/>
      </w:r>
      <w:r>
        <w:rPr>
          <w:noProof/>
        </w:rPr>
        <w:t>Käesolev otsus ei piira liidu riigiabi eeskirjade kohaldamist,</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Prantsusmaal lubatakse kohaldada Korsika departemangudes mootorikütusena kasutatava ja ringlusse lubatud pliivaba bensiini suhtes maksumäära vähendamist, mis ei ületa 1 eurot hektoliitri kohta.</w:t>
      </w:r>
    </w:p>
    <w:p>
      <w:pPr>
        <w:rPr>
          <w:noProof/>
        </w:rPr>
      </w:pPr>
      <w:r>
        <w:rPr>
          <w:noProof/>
        </w:rPr>
        <w:t>Ülekompenseerimise vältimiseks ei ületa vähendamine transpordi, ladustamise ja jaotamise lisakulusid Prantsusmaa mandriosaga võrreldes.</w:t>
      </w:r>
    </w:p>
    <w:p>
      <w:pPr>
        <w:rPr>
          <w:noProof/>
        </w:rPr>
      </w:pPr>
      <w:r>
        <w:rPr>
          <w:noProof/>
        </w:rPr>
        <w:t>Vähendatud maksumäär peab olema kooskõlas direktiiviga 2003/96/EÜ ette nähtud kohustustega, eelkõige selle artiklis 7 sätestatud alammääradega.</w:t>
      </w:r>
    </w:p>
    <w:p>
      <w:pPr>
        <w:pStyle w:val="Titrearticle"/>
        <w:keepNext w:val="0"/>
        <w:rPr>
          <w:noProof/>
        </w:rPr>
      </w:pPr>
      <w:r>
        <w:rPr>
          <w:noProof/>
        </w:rPr>
        <w:t>Artikkel 2</w:t>
      </w:r>
    </w:p>
    <w:p>
      <w:pPr>
        <w:rPr>
          <w:noProof/>
        </w:rPr>
      </w:pPr>
      <w:r>
        <w:rPr>
          <w:noProof/>
        </w:rPr>
        <w:t>Käesolevat otsust kohaldatakse alates 1. jaanuarist 2019 ja selle kehtivusaeg lõpeb 31. detsembril 2024.</w:t>
      </w:r>
    </w:p>
    <w:p>
      <w:pPr>
        <w:rPr>
          <w:noProof/>
        </w:rPr>
      </w:pPr>
      <w:r>
        <w:rPr>
          <w:noProof/>
        </w:rPr>
        <w:t xml:space="preserve">Kui nõukogu peaks aluslepingu artikli 113 alusel kehtestama üldise muudetud süsteemi energiatoodete maksustamiseks ning käesoleva otsuse artiklis 1 antud luba ei oleks sellega kooskõlas, kaotab käesolev otsus kehtivuse päeval, mil hakatakse kohaldama kõnealuseid muudetud süsteemi käsitlevaid eeskirju. </w:t>
      </w:r>
    </w:p>
    <w:p>
      <w:pPr>
        <w:pStyle w:val="Titrearticle"/>
        <w:rPr>
          <w:noProof/>
        </w:rPr>
      </w:pPr>
      <w:r>
        <w:rPr>
          <w:noProof/>
        </w:rPr>
        <w:lastRenderedPageBreak/>
        <w:t>Artikkel 3</w:t>
      </w:r>
    </w:p>
    <w:p>
      <w:pPr>
        <w:rPr>
          <w:noProof/>
        </w:rPr>
      </w:pPr>
      <w:r>
        <w:rPr>
          <w:noProof/>
        </w:rPr>
        <w:t>Käesolev otsus on adresseeritud Prantsusmaale.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ELT L 283, 31.10.2003, lk 51.</w:t>
      </w:r>
    </w:p>
  </w:footnote>
  <w:footnote w:id="2">
    <w:p>
      <w:pPr>
        <w:pStyle w:val="FootnoteText"/>
      </w:pPr>
      <w:r>
        <w:rPr>
          <w:rStyle w:val="FootnoteReference"/>
        </w:rPr>
        <w:footnoteRef/>
      </w:r>
      <w:r>
        <w:tab/>
      </w:r>
      <w:r>
        <w:rPr>
          <w:color w:val="444444"/>
          <w:shd w:val="clear" w:color="auto" w:fill="FFFFFF"/>
        </w:rPr>
        <w:t>Nõukogu 20. detsembri 2007. aasta otsus 2007/880/EÜ, millega lubatakse Prantsusmaal vastavalt direktiivi 2003/96/EÜ artiklile 19 kohaldada vähendatud maksumäära Korsika departemangudes kütusena kasutatava ja tarbimiseks ringlusse lubatud pliivaba bensiini suhtes (</w:t>
      </w:r>
      <w:r>
        <w:t>ELT L 346, 29.12.2007, lk 15).</w:t>
      </w:r>
    </w:p>
  </w:footnote>
  <w:footnote w:id="3">
    <w:p>
      <w:pPr>
        <w:pStyle w:val="FootnoteText"/>
      </w:pPr>
      <w:r>
        <w:rPr>
          <w:rStyle w:val="FootnoteReference"/>
        </w:rPr>
        <w:footnoteRef/>
      </w:r>
      <w:r>
        <w:tab/>
        <w:t>N</w:t>
      </w:r>
      <w:r>
        <w:rPr>
          <w:color w:val="444444"/>
          <w:shd w:val="clear" w:color="auto" w:fill="FFFFFF"/>
        </w:rPr>
        <w:t>õukogu 22. aprilli 2013. aasta rakendusotsus 2013/192/EL, millega lubatakse Prantsusmaal vastavalt direktiivi 2003/96/EÜ artiklile 19 kohaldada vähendatud maksumäära Korsika departemangudes kütusena kasutatava ja tarbimiseks ringlusse lubatud pliivaba bensiini suhtes</w:t>
      </w:r>
      <w:r>
        <w:t xml:space="preserve"> (ELT L 113 25.4.2013, lk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ECFD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DA81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EA21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4619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3AD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C883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D8EAFF0"/>
    <w:lvl w:ilvl="0">
      <w:start w:val="1"/>
      <w:numFmt w:val="decimal"/>
      <w:pStyle w:val="ListNumber"/>
      <w:lvlText w:val="%1."/>
      <w:lvlJc w:val="left"/>
      <w:pPr>
        <w:tabs>
          <w:tab w:val="num" w:pos="360"/>
        </w:tabs>
        <w:ind w:left="360" w:hanging="360"/>
      </w:pPr>
    </w:lvl>
  </w:abstractNum>
  <w:abstractNum w:abstractNumId="7">
    <w:nsid w:val="FFFFFF89"/>
    <w:multiLevelType w:val="singleLevel"/>
    <w:tmpl w:val="FAB21D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5 18:04: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1162108-C656-4258-8A99-ADAEBC45B4CB"/>
    <w:docVar w:name="LW_COVERPAGE_TYPE" w:val="1"/>
    <w:docVar w:name="LW_CROSSREFERENCE" w:val="&lt;UNUSED&gt;"/>
    <w:docVar w:name="LW_DocType" w:val="COM"/>
    <w:docVar w:name="LW_EMISSION" w:val="17.1.2019"/>
    <w:docVar w:name="LW_EMISSION_ISODATE" w:val="2019-01-17"/>
    <w:docVar w:name="LW_EMISSION_LOCATION" w:val="BRX"/>
    <w:docVar w:name="LW_EMISSION_PREFIX" w:val="Brüssel,"/>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04"/>
    <w:docVar w:name="LW_REF.II.NEW.CP_YEAR" w:val="2019"/>
    <w:docVar w:name="LW_REF.INST.NEW" w:val="COM"/>
    <w:docVar w:name="LW_REF.INST.NEW_ADOPTED" w:val="final"/>
    <w:docVar w:name="LW_REF.INST.NEW_TEXT" w:val="(2019)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lubatakse Prantsusmaal vastavalt direktiivi 2003/96/EÜ artiklile 19 kohaldada vähendatud maksumäära Korsika departemangudes mootorikütusena kasutatava ja tarbimiseks ringlusse lubatud pliivaba bensiini suhtes"/>
    <w:docVar w:name="LW_TYPE.DOC.CP" w:val="NÕUKOGU RAKENDUS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9</Pages>
  <Words>2020</Words>
  <Characters>14872</Characters>
  <Application>Microsoft Office Word</Application>
  <DocSecurity>0</DocSecurity>
  <Lines>280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2019-01-10T09:26:00Z</dcterms:created>
  <dcterms:modified xsi:type="dcterms:W3CDTF">2019-01-15T17:04:00Z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