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669B4B-2980-408B-8BFA-0C33FA35C0A3" style="width:450.65pt;height:366.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rPr>
          <w:noProof/>
        </w:rPr>
      </w:pPr>
      <w:r>
        <w:rPr>
          <w:noProof/>
        </w:rPr>
        <w:t>Eiropas Savienībā energoproduktu un elektroenerģijas aplikšanu ar nodokļiem reglamentē Padomes Direktīva 2003/96/EK (“turpmāk direktīva”). Minētajā direktīvā ir noteikts, kādus produktus apliek ar nodokli, kādos izmantošanas gadījumos tie ir jāapliek ar nodokli un kādas minimālās likmes tiem jāpiemēro atkarībā no tā, vai šos produktus izmanto kā degvielu, noteiktiem rūpnieciskiem vai komerciāliem nolūkiem vai apkurei.</w:t>
      </w:r>
    </w:p>
    <w:p>
      <w:pPr>
        <w:rPr>
          <w:noProof/>
        </w:rPr>
      </w:pPr>
      <w:r>
        <w:rPr>
          <w:noProof/>
        </w:rPr>
        <w:t>Saskaņā ar direktīvas 19. panta 1. punktu Padome pēc Komisijas priekšlikuma ar vienprātīgu lēmumu var atļaut jebkurai dalībvalstij ieviest papildu atbrīvojumus no akcīzes nodokļa vai tā samazinājumus saskaņā ar īpašiem politiskiem apsvērumiem.</w:t>
      </w:r>
    </w:p>
    <w:p>
      <w:pPr>
        <w:rPr>
          <w:noProof/>
        </w:rPr>
      </w:pPr>
      <w:r>
        <w:rPr>
          <w:noProof/>
        </w:rPr>
        <w:t>Šā priekšlikuma mērķis ir atļaut Francijai arī turpmāk piemērot samazinātu nodokļa likmi bezsvina benzīnam, ko izmanto kā degvielu un kas tiek nodots patēriņam Korsikas departamentos, lai daļēji kompensētu papildu izmaksas, kuras ir saistītas ar ģeogrāfisko nošķirtību un piegādes grūtībām.</w:t>
      </w:r>
    </w:p>
    <w:p>
      <w:pPr>
        <w:pStyle w:val="ManualHeading2"/>
        <w:rPr>
          <w:rFonts w:eastAsia="Arial Unicode MS"/>
          <w:noProof/>
          <w:u w:color="000000"/>
          <w:bdr w:val="nil"/>
        </w:rPr>
      </w:pPr>
      <w:r>
        <w:rPr>
          <w:noProof/>
        </w:rPr>
        <w:t>•</w:t>
      </w:r>
      <w:r>
        <w:rPr>
          <w:noProof/>
        </w:rPr>
        <w:tab/>
        <w:t>Lūgums un tā vispārīgais konteksts</w:t>
      </w:r>
    </w:p>
    <w:p>
      <w:pPr>
        <w:rPr>
          <w:noProof/>
        </w:rPr>
      </w:pPr>
      <w:r>
        <w:rPr>
          <w:noProof/>
        </w:rPr>
        <w:t>Ar Padomes 2007. gada 20. decembra Lēmumu 2007/880/EK Francijai ir atļauts piemērot samazinātu akcīzes nodokļa likmi bezsvina benzīnam, ko izmanto kā degvielu un kas tiek nodots patēriņam Korsikas departamentos, ja samazinājuma apjoms nav lielāks par pārvadāšanas, uzglabāšanas un sadales papildu izmaksu apjomu, salīdzinot ar attiecīgajām izmaksām kontinentālajā Francijā. Ar Padomes 2013. gada 22. aprīļa Īstenošanas lēmumu 2013/192/ES Francijai saskaņā ar Direktīvas 2003/96/EK 19. pantu atļāva turpināt piemērot samazinātu nodokļa likmi bezsvina benzīnam, ko izmanto kā degvielu un kas tiek nodots patēriņam Korsikas departamentos. Šo lēmumu mērķis ir atļaut Francijai daļēji kompensēt papildu izmaksas, kuras ir saistītas ar ģeogrāfisko nošķirtību un piegādes grūtībām. Piemērojot šo Lēmumu, Francija piemēroja samazinājumu  1 EUR apmērā par bezsvina benzīna hektolitru.</w:t>
      </w:r>
    </w:p>
    <w:p>
      <w:pPr>
        <w:rPr>
          <w:noProof/>
        </w:rPr>
      </w:pPr>
      <w:r>
        <w:rPr>
          <w:noProof/>
        </w:rPr>
        <w:t xml:space="preserve">Francijas iestādes 2018. gada 26. septembra vēstulē lūdza atļauju turpināt piemērot samazinājumu  1 EUR apmērā par hektolitru sešus gadus – no 2019. gada 1. janvāra līdz 2024. gada 31. decembrim. Francija 2018. gada 25. oktobra un 2018. gada 7. novembra vēstulēs iesniedza papildu informāciju, pamatojot lūgumu par atkāpi. </w:t>
      </w:r>
    </w:p>
    <w:p>
      <w:pPr>
        <w:rPr>
          <w:noProof/>
        </w:rPr>
      </w:pPr>
      <w:r>
        <w:rPr>
          <w:noProof/>
        </w:rPr>
        <w:t xml:space="preserve">Tāpat kā iepriekšējos lūgumos Francijas iestādes apgalvoja, ka akcīzes nodokļa likmes samazinājums ir nepieciešams, lai daļēji kompensētu augstākas bezsvina benzīna cenas. Bezsvina benzīna (oktānskaitlis 95) mazumtirdzniecības cena Korsikā 2018. gada septembrī bija 1,67 EUR par litru, salīdzinot ar vidējo cenu Francijas teritorijā — 1,63 EUR par litru (pamatojoties uz Francijas galvenajiem piegādātājiem, izņemot mazumtirdzniecību); tas izriet no apstākļa, ka Korsika ir sala. </w:t>
      </w:r>
    </w:p>
    <w:p>
      <w:pPr>
        <w:rPr>
          <w:noProof/>
        </w:rPr>
      </w:pPr>
      <w:r>
        <w:rPr>
          <w:noProof/>
        </w:rPr>
        <w:t>Saskaņā ar Francijas iestāžu apgalvojumiem šīm papildu izmaksām ir vairāki cēloņi.</w:t>
      </w:r>
    </w:p>
    <w:p>
      <w:pPr>
        <w:ind w:left="720" w:hanging="720"/>
        <w:rPr>
          <w:noProof/>
        </w:rPr>
      </w:pPr>
      <w:r>
        <w:rPr>
          <w:noProof/>
        </w:rPr>
        <w:t>(1)</w:t>
      </w:r>
      <w:r>
        <w:rPr>
          <w:noProof/>
        </w:rPr>
        <w:tab/>
        <w:t>Tā kā Korsikā nav pārstrādes rūpnīcu, pārvadāšanas un sadales izmaksas par degvielas piegādi tur ir augstākas papildu izmaksu dēļ saistībā ar jūras kravu pārvadājumiem un autotransportu (lielāks attālums un ilgāks pārvadāšanas laiks). Attālums no tuvākās pārstrādes rūpnīcas Fosirmērā (</w:t>
      </w:r>
      <w:r>
        <w:rPr>
          <w:i/>
          <w:noProof/>
        </w:rPr>
        <w:t>Fos-sur-Mer</w:t>
      </w:r>
      <w:r>
        <w:rPr>
          <w:noProof/>
        </w:rPr>
        <w:t xml:space="preserve">) līdz divām noliktavām uz Korsikas salas Lučiānu un Ažaksjo ir attiecīgi 358 km (182 km no tiem ir ūdensceļš) un 315 km (170 km no tiem ir ūdensceļš). Pārvadājumi uz šīm noliktavām tiek veikti vienīgi ar kuģiem, turpretī visas noliktavas, kas atrodas kontinentālajā Francijā, ir tieši savienotas ar pārstrādes rūpnīcām ar cauruļvadu tīklu, tādējādi būtiski samazinās </w:t>
      </w:r>
      <w:r>
        <w:rPr>
          <w:noProof/>
        </w:rPr>
        <w:lastRenderedPageBreak/>
        <w:t>pārvadāšanas izmaksas. Piemēram, pārvadāšanas izmaksas uz Korsiku ir četras līdz piecas reizes augstākas salīdzinājumā ar transportēšanas izmaksām pa cauruļvadu no Havras uz Parīzes reģionu.</w:t>
      </w:r>
    </w:p>
    <w:p>
      <w:pPr>
        <w:ind w:left="720" w:hanging="720"/>
        <w:rPr>
          <w:noProof/>
        </w:rPr>
      </w:pPr>
      <w:r>
        <w:rPr>
          <w:noProof/>
        </w:rPr>
        <w:t>(2)</w:t>
      </w:r>
      <w:r>
        <w:rPr>
          <w:noProof/>
        </w:rPr>
        <w:tab/>
        <w:t>Abu noliktavu Korsikā nelielās ietilpības dēļ (attiecīgi 16 000 m</w:t>
      </w:r>
      <w:r>
        <w:rPr>
          <w:noProof/>
          <w:vertAlign w:val="superscript"/>
        </w:rPr>
        <w:t>3</w:t>
      </w:r>
      <w:r>
        <w:rPr>
          <w:noProof/>
        </w:rPr>
        <w:t xml:space="preserve"> un 19 000 m</w:t>
      </w:r>
      <w:r>
        <w:rPr>
          <w:noProof/>
          <w:vertAlign w:val="superscript"/>
        </w:rPr>
        <w:t>3</w:t>
      </w:r>
      <w:r>
        <w:rPr>
          <w:noProof/>
        </w:rPr>
        <w:t>) piegādes uz tām jāveic biežāk. Ieguldījumi uzturēšanā un iekārtu atbilstībā un personāla izmaksas nav atbilstošas noliktavu darbības apjomam. Kopējais degvielas apjoms, kas nonāk šajās noliktavās, ir mazāks par 400 000 m</w:t>
      </w:r>
      <w:r>
        <w:rPr>
          <w:noProof/>
          <w:vertAlign w:val="superscript"/>
        </w:rPr>
        <w:t>3</w:t>
      </w:r>
      <w:r>
        <w:rPr>
          <w:noProof/>
        </w:rPr>
        <w:t xml:space="preserve"> gadā, un tas ir divreiz mazāk nekā vidējais apjoms noliktavās kontinentālajā Francijā. Tādējādi uzglabāšanas izmaksas par kubikmetru Korsikā ir augstākas.</w:t>
      </w:r>
    </w:p>
    <w:p>
      <w:pPr>
        <w:ind w:left="720" w:hanging="720"/>
        <w:rPr>
          <w:noProof/>
        </w:rPr>
      </w:pPr>
      <w:r>
        <w:rPr>
          <w:noProof/>
        </w:rPr>
        <w:t>(3)</w:t>
      </w:r>
      <w:r>
        <w:rPr>
          <w:noProof/>
        </w:rPr>
        <w:tab/>
        <w:t>Nelielā iedzīvotāju skaita dēļ izplatītāju nemainīgās izmaksas ir jāsedz no mazākiem pārdošanas apjomiem. Iedzīvotāju skaits, salīdzinot ar kontinentālo Franciju (118/km</w:t>
      </w:r>
      <w:r>
        <w:rPr>
          <w:noProof/>
          <w:vertAlign w:val="superscript"/>
        </w:rPr>
        <w:t>2</w:t>
      </w:r>
      <w:r>
        <w:rPr>
          <w:noProof/>
        </w:rPr>
        <w:t>) Korsikā ir 37,7/km</w:t>
      </w:r>
      <w:r>
        <w:rPr>
          <w:noProof/>
          <w:vertAlign w:val="superscript"/>
        </w:rPr>
        <w:t>2</w:t>
      </w:r>
      <w:r>
        <w:rPr>
          <w:noProof/>
        </w:rPr>
        <w:t>, (</w:t>
      </w:r>
      <w:r>
        <w:rPr>
          <w:i/>
          <w:noProof/>
        </w:rPr>
        <w:t>Insee</w:t>
      </w:r>
      <w:r>
        <w:rPr>
          <w:noProof/>
        </w:rPr>
        <w:t xml:space="preserve"> 2018), apvidus ir ļoti kalnains (90 % kalni) un degvielas apjomi, ko pārdod katra atsevišķa degvielas uzpildes stacija, ir ļoti mazi. Tādēļ sadales reģioni ir izolēti un atrodas tālu viens no otra. Iedzīvotāju skaits uz vienu uzpildes staciju ir 2485, salīdzinot ar vidēji 5768 iedzīvotājiem uz uzpildes staciju Francijas teritorijā, un vienas uzpildes stacijas pārdotās degvielas apjoms Korsikā ir 2278 m</w:t>
      </w:r>
      <w:r>
        <w:rPr>
          <w:noProof/>
          <w:vertAlign w:val="superscript"/>
        </w:rPr>
        <w:t>3</w:t>
      </w:r>
      <w:r>
        <w:rPr>
          <w:noProof/>
        </w:rPr>
        <w:t>, salīdzinot ar 4149 m</w:t>
      </w:r>
      <w:r>
        <w:rPr>
          <w:noProof/>
          <w:vertAlign w:val="superscript"/>
        </w:rPr>
        <w:t>3</w:t>
      </w:r>
      <w:r>
        <w:rPr>
          <w:noProof/>
        </w:rPr>
        <w:t xml:space="preserve"> kontinentālajā Francijā.</w:t>
      </w:r>
    </w:p>
    <w:p>
      <w:pPr>
        <w:rPr>
          <w:noProof/>
        </w:rPr>
      </w:pPr>
      <w:r>
        <w:rPr>
          <w:noProof/>
        </w:rPr>
        <w:t>Kā parādīts tabulā turpmāk, benzīna cenu starptautiskā indeksācija Korsikā un kontinentālajā Francijā ir vienāda – 46,62 EUR par 100 litriem. Pārvadāšanas bruto izmaksu atšķirība kontinentālajā Francijā un Korsikā ir ļoti liela, attiecīgi 13,87 EUR par 100 litriem un 35,05 EUR par 100 litriem. Kaut arī nodokļu likmes (energoresursu nodoklis un PVN) ir zemākas, bezsvina benzīna galīgā cena Korsikā ir augstāka nekā kontinentālajā Francijā.</w:t>
      </w:r>
    </w:p>
    <w:p>
      <w:pPr>
        <w:rPr>
          <w:bCs/>
          <w:noProof/>
        </w:rPr>
      </w:pPr>
      <w:r>
        <w:rPr>
          <w:noProof/>
        </w:rPr>
        <w:t>Tabulā turpmāk norādīta benzīna un dīzeļdegvielas cenu struktūra 2018. gada oktobrī.</w:t>
      </w:r>
    </w:p>
    <w:p>
      <w:pPr>
        <w:spacing w:after="240"/>
        <w:rPr>
          <w:i/>
          <w:iCs/>
          <w:noProof/>
        </w:rPr>
      </w:pPr>
      <w:r>
        <w:rPr>
          <w:b/>
          <w:i/>
          <w:noProof/>
          <w:u w:val="single"/>
        </w:rPr>
        <w:t>Degvielas cena (EUR par hl)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456"/>
        <w:gridCol w:w="1426"/>
        <w:gridCol w:w="1696"/>
      </w:tblGrid>
      <w:tr>
        <w:trPr>
          <w:cantSplit/>
          <w:tblHeader/>
          <w:jc w:val="center"/>
        </w:trPr>
        <w:tc>
          <w:tcPr>
            <w:tcW w:w="3424" w:type="dxa"/>
            <w:shd w:val="clear" w:color="auto" w:fill="auto"/>
          </w:tcPr>
          <w:p>
            <w:pPr>
              <w:rPr>
                <w:noProof/>
              </w:rPr>
            </w:pPr>
            <w:r>
              <w:rPr>
                <w:noProof/>
              </w:rPr>
              <w:t xml:space="preserve">Vidējā benzīna cena, EUR par 100 litriem </w:t>
            </w:r>
          </w:p>
        </w:tc>
        <w:tc>
          <w:tcPr>
            <w:tcW w:w="1379" w:type="dxa"/>
            <w:shd w:val="clear" w:color="auto" w:fill="auto"/>
          </w:tcPr>
          <w:p>
            <w:pPr>
              <w:rPr>
                <w:noProof/>
              </w:rPr>
            </w:pPr>
            <w:r>
              <w:rPr>
                <w:noProof/>
              </w:rPr>
              <w:t>Kontinentālā Francija</w:t>
            </w:r>
          </w:p>
          <w:p>
            <w:pPr>
              <w:rPr>
                <w:noProof/>
              </w:rPr>
            </w:pPr>
          </w:p>
        </w:tc>
        <w:tc>
          <w:tcPr>
            <w:tcW w:w="1426" w:type="dxa"/>
            <w:shd w:val="clear" w:color="auto" w:fill="auto"/>
          </w:tcPr>
          <w:p>
            <w:pPr>
              <w:rPr>
                <w:noProof/>
              </w:rPr>
            </w:pPr>
            <w:r>
              <w:rPr>
                <w:noProof/>
              </w:rPr>
              <w:t>Korsika</w:t>
            </w:r>
          </w:p>
          <w:p>
            <w:pPr>
              <w:rPr>
                <w:noProof/>
              </w:rPr>
            </w:pPr>
          </w:p>
        </w:tc>
        <w:tc>
          <w:tcPr>
            <w:tcW w:w="1409" w:type="dxa"/>
            <w:shd w:val="clear" w:color="auto" w:fill="auto"/>
          </w:tcPr>
          <w:p>
            <w:pPr>
              <w:rPr>
                <w:noProof/>
              </w:rPr>
            </w:pPr>
            <w:r>
              <w:rPr>
                <w:noProof/>
              </w:rPr>
              <w:t>Dienvidkorsika</w:t>
            </w:r>
          </w:p>
          <w:p>
            <w:pPr>
              <w:rPr>
                <w:noProof/>
              </w:rPr>
            </w:pPr>
          </w:p>
        </w:tc>
      </w:tr>
      <w:tr>
        <w:trPr>
          <w:cantSplit/>
          <w:tblHeader/>
          <w:jc w:val="center"/>
        </w:trPr>
        <w:tc>
          <w:tcPr>
            <w:tcW w:w="3424" w:type="dxa"/>
            <w:shd w:val="clear" w:color="auto" w:fill="auto"/>
          </w:tcPr>
          <w:p>
            <w:pPr>
              <w:rPr>
                <w:noProof/>
              </w:rPr>
            </w:pPr>
            <w:r>
              <w:rPr>
                <w:noProof/>
              </w:rPr>
              <w:t>Cena, ieskaitot nodokļus</w:t>
            </w:r>
          </w:p>
        </w:tc>
        <w:tc>
          <w:tcPr>
            <w:tcW w:w="1379" w:type="dxa"/>
            <w:shd w:val="clear" w:color="auto" w:fill="auto"/>
          </w:tcPr>
          <w:p>
            <w:pPr>
              <w:rPr>
                <w:noProof/>
              </w:rPr>
            </w:pPr>
            <w:r>
              <w:rPr>
                <w:noProof/>
              </w:rPr>
              <w:t>155,55</w:t>
            </w:r>
          </w:p>
        </w:tc>
        <w:tc>
          <w:tcPr>
            <w:tcW w:w="1426" w:type="dxa"/>
            <w:shd w:val="clear" w:color="auto" w:fill="auto"/>
          </w:tcPr>
          <w:p>
            <w:pPr>
              <w:rPr>
                <w:noProof/>
              </w:rPr>
            </w:pPr>
            <w:r>
              <w:rPr>
                <w:noProof/>
              </w:rPr>
              <w:t>168,33</w:t>
            </w:r>
          </w:p>
        </w:tc>
        <w:tc>
          <w:tcPr>
            <w:tcW w:w="1409" w:type="dxa"/>
            <w:shd w:val="clear" w:color="auto" w:fill="auto"/>
          </w:tcPr>
          <w:p>
            <w:pPr>
              <w:rPr>
                <w:noProof/>
              </w:rPr>
            </w:pPr>
            <w:r>
              <w:rPr>
                <w:noProof/>
              </w:rPr>
              <w:t>167,78</w:t>
            </w:r>
          </w:p>
        </w:tc>
      </w:tr>
      <w:tr>
        <w:trPr>
          <w:cantSplit/>
          <w:tblHeader/>
          <w:jc w:val="center"/>
        </w:trPr>
        <w:tc>
          <w:tcPr>
            <w:tcW w:w="3424" w:type="dxa"/>
            <w:shd w:val="clear" w:color="auto" w:fill="auto"/>
          </w:tcPr>
          <w:p>
            <w:pPr>
              <w:rPr>
                <w:noProof/>
              </w:rPr>
            </w:pPr>
            <w:r>
              <w:rPr>
                <w:noProof/>
              </w:rPr>
              <w:t>PVN</w:t>
            </w:r>
          </w:p>
        </w:tc>
        <w:tc>
          <w:tcPr>
            <w:tcW w:w="1379" w:type="dxa"/>
            <w:shd w:val="clear" w:color="auto" w:fill="auto"/>
          </w:tcPr>
          <w:p>
            <w:pPr>
              <w:rPr>
                <w:noProof/>
              </w:rPr>
            </w:pPr>
            <w:r>
              <w:rPr>
                <w:noProof/>
              </w:rPr>
              <w:t>25,93</w:t>
            </w:r>
          </w:p>
        </w:tc>
        <w:tc>
          <w:tcPr>
            <w:tcW w:w="1426" w:type="dxa"/>
            <w:shd w:val="clear" w:color="auto" w:fill="auto"/>
          </w:tcPr>
          <w:p>
            <w:pPr>
              <w:rPr>
                <w:noProof/>
              </w:rPr>
            </w:pPr>
            <w:r>
              <w:rPr>
                <w:noProof/>
              </w:rPr>
              <w:t>19,37</w:t>
            </w:r>
          </w:p>
        </w:tc>
        <w:tc>
          <w:tcPr>
            <w:tcW w:w="1409" w:type="dxa"/>
            <w:shd w:val="clear" w:color="auto" w:fill="auto"/>
          </w:tcPr>
          <w:p>
            <w:pPr>
              <w:rPr>
                <w:noProof/>
              </w:rPr>
            </w:pPr>
            <w:r>
              <w:rPr>
                <w:noProof/>
              </w:rPr>
              <w:t>19,30</w:t>
            </w:r>
          </w:p>
        </w:tc>
      </w:tr>
      <w:tr>
        <w:trPr>
          <w:cantSplit/>
          <w:tblHeader/>
          <w:jc w:val="center"/>
        </w:trPr>
        <w:tc>
          <w:tcPr>
            <w:tcW w:w="3424" w:type="dxa"/>
            <w:shd w:val="clear" w:color="auto" w:fill="auto"/>
          </w:tcPr>
          <w:p>
            <w:pPr>
              <w:rPr>
                <w:noProof/>
              </w:rPr>
            </w:pPr>
            <w:r>
              <w:rPr>
                <w:noProof/>
              </w:rPr>
              <w:t xml:space="preserve">Energoresursu nodoklis </w:t>
            </w:r>
          </w:p>
        </w:tc>
        <w:tc>
          <w:tcPr>
            <w:tcW w:w="1379" w:type="dxa"/>
            <w:shd w:val="clear" w:color="auto" w:fill="auto"/>
          </w:tcPr>
          <w:p>
            <w:pPr>
              <w:rPr>
                <w:noProof/>
              </w:rPr>
            </w:pPr>
            <w:r>
              <w:rPr>
                <w:noProof/>
              </w:rPr>
              <w:t>69,14</w:t>
            </w:r>
          </w:p>
        </w:tc>
        <w:tc>
          <w:tcPr>
            <w:tcW w:w="1426" w:type="dxa"/>
            <w:shd w:val="clear" w:color="auto" w:fill="auto"/>
          </w:tcPr>
          <w:p>
            <w:pPr>
              <w:rPr>
                <w:noProof/>
              </w:rPr>
            </w:pPr>
            <w:r>
              <w:rPr>
                <w:noProof/>
              </w:rPr>
              <w:t>67,29</w:t>
            </w:r>
          </w:p>
        </w:tc>
        <w:tc>
          <w:tcPr>
            <w:tcW w:w="1409" w:type="dxa"/>
            <w:shd w:val="clear" w:color="auto" w:fill="auto"/>
          </w:tcPr>
          <w:p>
            <w:pPr>
              <w:rPr>
                <w:noProof/>
              </w:rPr>
            </w:pPr>
            <w:r>
              <w:rPr>
                <w:noProof/>
              </w:rPr>
              <w:t>67,29</w:t>
            </w:r>
          </w:p>
        </w:tc>
      </w:tr>
      <w:tr>
        <w:trPr>
          <w:cantSplit/>
          <w:tblHeader/>
          <w:jc w:val="center"/>
        </w:trPr>
        <w:tc>
          <w:tcPr>
            <w:tcW w:w="3424" w:type="dxa"/>
            <w:shd w:val="clear" w:color="auto" w:fill="auto"/>
          </w:tcPr>
          <w:p>
            <w:pPr>
              <w:rPr>
                <w:noProof/>
              </w:rPr>
            </w:pPr>
            <w:r>
              <w:rPr>
                <w:noProof/>
              </w:rPr>
              <w:t>Pārvadāšanas un sadales bruto starpība</w:t>
            </w:r>
          </w:p>
        </w:tc>
        <w:tc>
          <w:tcPr>
            <w:tcW w:w="1379" w:type="dxa"/>
            <w:shd w:val="clear" w:color="auto" w:fill="auto"/>
          </w:tcPr>
          <w:p>
            <w:pPr>
              <w:rPr>
                <w:noProof/>
              </w:rPr>
            </w:pPr>
            <w:r>
              <w:rPr>
                <w:noProof/>
              </w:rPr>
              <w:t>13,87</w:t>
            </w:r>
          </w:p>
        </w:tc>
        <w:tc>
          <w:tcPr>
            <w:tcW w:w="1426" w:type="dxa"/>
            <w:shd w:val="clear" w:color="auto" w:fill="auto"/>
          </w:tcPr>
          <w:p>
            <w:pPr>
              <w:rPr>
                <w:noProof/>
              </w:rPr>
            </w:pPr>
            <w:r>
              <w:rPr>
                <w:noProof/>
              </w:rPr>
              <w:t>35,05</w:t>
            </w:r>
          </w:p>
        </w:tc>
        <w:tc>
          <w:tcPr>
            <w:tcW w:w="1409" w:type="dxa"/>
            <w:shd w:val="clear" w:color="auto" w:fill="auto"/>
          </w:tcPr>
          <w:p>
            <w:pPr>
              <w:rPr>
                <w:noProof/>
              </w:rPr>
            </w:pPr>
            <w:r>
              <w:rPr>
                <w:noProof/>
              </w:rPr>
              <w:t>34,57</w:t>
            </w:r>
          </w:p>
        </w:tc>
      </w:tr>
      <w:tr>
        <w:trPr>
          <w:cantSplit/>
          <w:tblHeader/>
          <w:jc w:val="center"/>
        </w:trPr>
        <w:tc>
          <w:tcPr>
            <w:tcW w:w="3424" w:type="dxa"/>
            <w:shd w:val="clear" w:color="auto" w:fill="auto"/>
          </w:tcPr>
          <w:p>
            <w:pPr>
              <w:rPr>
                <w:noProof/>
              </w:rPr>
            </w:pPr>
            <w:r>
              <w:rPr>
                <w:noProof/>
              </w:rPr>
              <w:t>Starptautiskā indeksācija</w:t>
            </w:r>
          </w:p>
        </w:tc>
        <w:tc>
          <w:tcPr>
            <w:tcW w:w="1379" w:type="dxa"/>
            <w:shd w:val="clear" w:color="auto" w:fill="auto"/>
          </w:tcPr>
          <w:p>
            <w:pPr>
              <w:rPr>
                <w:noProof/>
              </w:rPr>
            </w:pPr>
            <w:r>
              <w:rPr>
                <w:noProof/>
              </w:rPr>
              <w:t>46,62</w:t>
            </w:r>
          </w:p>
        </w:tc>
        <w:tc>
          <w:tcPr>
            <w:tcW w:w="1426" w:type="dxa"/>
            <w:shd w:val="clear" w:color="auto" w:fill="auto"/>
          </w:tcPr>
          <w:p>
            <w:pPr>
              <w:rPr>
                <w:noProof/>
              </w:rPr>
            </w:pPr>
            <w:r>
              <w:rPr>
                <w:noProof/>
              </w:rPr>
              <w:t>46,62</w:t>
            </w:r>
          </w:p>
        </w:tc>
        <w:tc>
          <w:tcPr>
            <w:tcW w:w="1409" w:type="dxa"/>
            <w:shd w:val="clear" w:color="auto" w:fill="auto"/>
          </w:tcPr>
          <w:p>
            <w:pPr>
              <w:rPr>
                <w:noProof/>
              </w:rPr>
            </w:pPr>
            <w:r>
              <w:rPr>
                <w:noProof/>
              </w:rPr>
              <w:t>46,62</w:t>
            </w:r>
          </w:p>
        </w:tc>
      </w:tr>
    </w:tbl>
    <w:p>
      <w:pPr>
        <w:rPr>
          <w:noProof/>
        </w:rPr>
      </w:pPr>
      <w:r>
        <w:rPr>
          <w:noProof/>
        </w:rPr>
        <w:t xml:space="preserve">Avots: </w:t>
      </w:r>
      <w:r>
        <w:rPr>
          <w:i/>
          <w:noProof/>
        </w:rPr>
        <w:t>www.prix- carburants.gouv.fr</w:t>
      </w:r>
    </w:p>
    <w:p>
      <w:pPr>
        <w:rPr>
          <w:b/>
          <w:noProof/>
        </w:rPr>
      </w:pPr>
      <w:r>
        <w:rPr>
          <w:noProof/>
        </w:rPr>
        <w:t xml:space="preserve">Francija arī norādīja, ka šis pasākums ir saskaņā ar īpašu valdības politiku Korsikas attīstības atbalstam tās izolētības dēļ. </w:t>
      </w:r>
    </w:p>
    <w:p>
      <w:pPr>
        <w:pStyle w:val="ManualHeading2"/>
        <w:rPr>
          <w:rFonts w:eastAsia="Arial Unicode MS"/>
          <w:noProof/>
          <w:u w:color="000000"/>
          <w:bdr w:val="nil"/>
        </w:rPr>
      </w:pPr>
      <w:r>
        <w:rPr>
          <w:noProof/>
        </w:rPr>
        <w:t>•</w:t>
      </w:r>
      <w:r>
        <w:rPr>
          <w:noProof/>
        </w:rPr>
        <w:tab/>
        <w:t>Priekšlikuma jomā spēkā esošie noteikumi</w:t>
      </w:r>
    </w:p>
    <w:p>
      <w:pPr>
        <w:rPr>
          <w:noProof/>
        </w:rPr>
      </w:pPr>
      <w:r>
        <w:rPr>
          <w:noProof/>
        </w:rPr>
        <w:t xml:space="preserve">Padomes 2003. gada 27. oktobra Direktīva 2003/96/EK, kas pārkārto Kopienas noteikumus par nodokļu uzlikšanu energoproduktiem un elektroenerģijai. </w:t>
      </w:r>
    </w:p>
    <w:p>
      <w:pPr>
        <w:pStyle w:val="ManualHeading2"/>
        <w:rPr>
          <w:rFonts w:eastAsia="Arial Unicode MS"/>
          <w:noProof/>
          <w:u w:color="000000"/>
          <w:bdr w:val="nil"/>
        </w:rPr>
      </w:pPr>
      <w:r>
        <w:rPr>
          <w:noProof/>
        </w:rPr>
        <w:t>•</w:t>
      </w:r>
      <w:r>
        <w:rPr>
          <w:noProof/>
        </w:rPr>
        <w:tab/>
        <w:t>Pasākuma novērtējums saskaņā ar Direktīvas 2003/96/EK 19. pantu</w:t>
      </w:r>
    </w:p>
    <w:p>
      <w:pPr>
        <w:keepNext/>
        <w:rPr>
          <w:i/>
          <w:noProof/>
        </w:rPr>
      </w:pPr>
      <w:r>
        <w:rPr>
          <w:i/>
          <w:noProof/>
        </w:rPr>
        <w:t>Īpaši politikas apsvērumi</w:t>
      </w:r>
    </w:p>
    <w:p>
      <w:pPr>
        <w:rPr>
          <w:noProof/>
        </w:rPr>
      </w:pPr>
      <w:r>
        <w:rPr>
          <w:noProof/>
        </w:rPr>
        <w:t xml:space="preserve">Direktīvas 19. panta 1. punkta pirmā daļa skan šādi: </w:t>
      </w:r>
    </w:p>
    <w:p>
      <w:pPr>
        <w:rPr>
          <w:noProof/>
        </w:rPr>
      </w:pPr>
      <w:r>
        <w:rPr>
          <w:noProof/>
        </w:rPr>
        <w:t>“Papildus iepriekšējos pantos, jo īpaši 5., 15. un 17. pantā noteiktajiem noteikumiem, Padome pēc Komisijas priekšlikuma ar vienprātīgu lēmumu var atļaut jebkurai dalībvalstij ieviest turpmākus atbrīvojumus vai samazinājumus īpašu politikas apsvērumu interesēs.”</w:t>
      </w:r>
    </w:p>
    <w:p>
      <w:pPr>
        <w:rPr>
          <w:noProof/>
        </w:rPr>
      </w:pPr>
      <w:r>
        <w:rPr>
          <w:noProof/>
        </w:rPr>
        <w:t xml:space="preserve">Nodokļu diferenciācija, kas daļēji kompensē Korsikas patērētājiem papildus radušās izmaksas, nodrošina līdzīgākus apstākļus bezsvina benzīna patērētājiem Korsikā un kontinentālajā Francijā. Tādēļ ierosinātais pasākums atbilst noteiktiem reģionālās un kohēzijas politikas mērķiem. </w:t>
      </w:r>
    </w:p>
    <w:p>
      <w:pPr>
        <w:rPr>
          <w:noProof/>
        </w:rPr>
      </w:pPr>
      <w:r>
        <w:rPr>
          <w:noProof/>
        </w:rPr>
        <w:t xml:space="preserve">Nodokļa samazināšana neradīs to papildu izmaksu pārmērīgu kompensāciju, kas Korsikas patērētājiem radušās saistībā ar degvielas pārvadāšanu un sadali. Bezsvina benzīna cenas samazinājums par 10 EUR par 1000 l ir daudz mazāks par starpību starp attiecīgajām galīgajām cenām. </w:t>
      </w:r>
    </w:p>
    <w:p>
      <w:pPr>
        <w:keepNext/>
        <w:rPr>
          <w:noProof/>
        </w:rPr>
      </w:pPr>
      <w:r>
        <w:rPr>
          <w:noProof/>
        </w:rPr>
        <w:t xml:space="preserve">Turklāt samazinātā nodokļa likme, ko pašlaik piemēro attiecībā uz bezsvina benzīna patēriņu Korsikā (672,9 EUR /1000 l), joprojām būs daudz augstāka nekā Direktīvā 2003/96/EK noteiktais minimālais ES līmenis (359 EUR /1000 l). </w:t>
      </w:r>
    </w:p>
    <w:p>
      <w:pPr>
        <w:keepNext/>
        <w:rPr>
          <w:i/>
          <w:noProof/>
        </w:rPr>
      </w:pPr>
      <w:r>
        <w:rPr>
          <w:i/>
          <w:noProof/>
        </w:rPr>
        <w:t>Atbilstība pārējiem ES politikas virzieniem un mērķiem</w:t>
      </w:r>
    </w:p>
    <w:p>
      <w:pPr>
        <w:rPr>
          <w:noProof/>
        </w:rPr>
      </w:pPr>
      <w:r>
        <w:rPr>
          <w:noProof/>
        </w:rPr>
        <w:t xml:space="preserve">Komisija izskata lūgumu, ņemot vērā iekšējā tirgus pareizu darbību, nepieciešamību nodrošināt godīgu konkurenci un ES veselības, vides, enerģētikas un transporta politiku īstenošanu. </w:t>
      </w:r>
    </w:p>
    <w:p>
      <w:pPr>
        <w:rPr>
          <w:noProof/>
        </w:rPr>
      </w:pPr>
      <w:r>
        <w:rPr>
          <w:noProof/>
        </w:rPr>
        <w:t>Šis pasākums ir pieņemams, raugoties no tāda viedokļa, ka tas neradīs traucējumus iekšējā tirgus pareizā darbībā un ļaus nodrošināt godīgu konkurenci. Tā vienīgais mērķis ir daļēji kompensēt papildu izmaksas, kuras rodas tādēļ, ka Korsika ir sala. Ņemot vērā to, ka pasākumu piemēros nomaļos departamentos, kuri atrodas uz salas, un ka likmes samazinājums ir neliels (tā joprojām ir ļoti augsta, salīdzinot ar ES minimālo līmeni), paredzams, ka šis pasākums neradīs degvielas patēriņa izmaiņas, piesaistot patērētājus no citiem reģioniem.</w:t>
      </w:r>
    </w:p>
    <w:p>
      <w:pPr>
        <w:rPr>
          <w:noProof/>
        </w:rPr>
      </w:pPr>
      <w:r>
        <w:rPr>
          <w:noProof/>
        </w:rPr>
        <w:t>Tā kā paredzams, ka nodokļa atvieglojuma ietekme uz transportu nebūs nozīmīga, un iespējamajai marginālajai ietekmei var paredzēt kompensāciju politiku, pasākums nav pretrunā Savienības veselības, vides, enerģētikas un transporta politikai.</w:t>
      </w:r>
    </w:p>
    <w:p>
      <w:pPr>
        <w:rPr>
          <w:i/>
          <w:noProof/>
        </w:rPr>
      </w:pPr>
      <w:r>
        <w:rPr>
          <w:i/>
          <w:noProof/>
        </w:rPr>
        <w:t>Pasākuma piemērošanas laiks un ES enerģijas nodokļu sistēma</w:t>
      </w:r>
    </w:p>
    <w:p>
      <w:pPr>
        <w:rPr>
          <w:noProof/>
        </w:rPr>
      </w:pPr>
      <w:r>
        <w:rPr>
          <w:noProof/>
        </w:rPr>
        <w:t>Direktīvas 2003/96/EK 19. panta 2. punktā ir noteikts maksimālais šādu pasākumu ilgums – seši gadi – ar iespēju to pagarināt. Ņemot vērā, ka pašreizējam regulējumam nav negatīvas ietekmes uz ES iekšējo tirdzniecību un degvielai piemērojamo nodokļu vispārējo līmeni Francijā un lai nodrošinātu tiesisko noteiktību reģionā, Komisija šajā posmā ierosina piešķirt atļauju uz sešiem gadiem, t.i., no 2019. gada 1. janvāra līdz 2024. gada 31. decembrim.</w:t>
      </w:r>
    </w:p>
    <w:p>
      <w:pPr>
        <w:rPr>
          <w:noProof/>
        </w:rPr>
      </w:pPr>
      <w:r>
        <w:rPr>
          <w:noProof/>
        </w:rPr>
        <w:t>Taču, lai nekavētu pašreizējā regulējuma turpmāku vispārēju izstrādi, ir jāparedz, ka gadījumā, ja Padome atbilstīgi Līguma 113. pantam ievieš grozītu vispārēju energoproduktu nodokļu sistēmu, kurai šī atļauja neatbilst, šis lēmums zaudē spēku dienā, kad sāk piemērot minētos grozītos noteikumus.</w:t>
      </w:r>
    </w:p>
    <w:p>
      <w:pPr>
        <w:rPr>
          <w:noProof/>
        </w:rPr>
      </w:pPr>
      <w:r>
        <w:rPr>
          <w:noProof/>
        </w:rPr>
        <w:t>Ja Padome pieņems jauno sistēmu un Komisija uzskatīs, ka šajā dokumentā ierosinātā atļauja joprojām ir pamatota, tā konstruktīvi un laikus izskatīs Francijas lūgumu piešķirt līdzīgu atļauju, kas pielāgota jaunajai sistēmai, lai nodrošinātu šā priekšlikuma kontinuitāti.</w:t>
      </w:r>
    </w:p>
    <w:p>
      <w:pPr>
        <w:pStyle w:val="ManualHeading2"/>
        <w:rPr>
          <w:rFonts w:eastAsia="Arial Unicode MS"/>
          <w:noProof/>
          <w:u w:color="000000"/>
          <w:bdr w:val="nil"/>
        </w:rPr>
      </w:pPr>
      <w:r>
        <w:rPr>
          <w:noProof/>
        </w:rPr>
        <w:t>•</w:t>
      </w:r>
      <w:r>
        <w:rPr>
          <w:noProof/>
        </w:rPr>
        <w:tab/>
        <w:t>Noteikumi par valsts atbalstu</w:t>
      </w:r>
    </w:p>
    <w:p>
      <w:pPr>
        <w:rPr>
          <w:noProof/>
        </w:rPr>
      </w:pPr>
      <w:r>
        <w:rPr>
          <w:noProof/>
        </w:rPr>
        <w:t>Pasākums var būt valsts atbalsts saskaņā ar LESD 107. panta 1. punktu. Tā kā samazinātās likmes ir augstākas par ES minimālajām likmēm, uz pasākumu attiektos Regulas Nr. 651/2014/EK (Vispārējā grupu atbrīvojuma regula) 44. pants, un tādēļ pasākums būtu uzskatāms par saderīgu ar iekšējo tirgu. Pēc Vispārējās grupu atbrīvojuma regulas spēkā esības termiņa beigām 2020. gada 31. decembrī atbalsts joprojām turpina būt atbrīvots sešu mēnešu pielāgošanās perioda laikā (sk. Vispārējās grupu atbrīvojuma regulas 58. panta 4. punktu). Lēmums neskar valsts atbalsta noteikumus, kas ir piemērojami laikposmā, uz ko attiecas atkāpe.</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Padomes Direktīvas 2003/96/EK 19. pants.</w:t>
      </w:r>
    </w:p>
    <w:p>
      <w:pPr>
        <w:pStyle w:val="ManualHeading2"/>
        <w:rPr>
          <w:rFonts w:eastAsia="Arial Unicode MS"/>
          <w:noProof/>
          <w:u w:color="000000"/>
          <w:bdr w:val="nil"/>
        </w:rPr>
      </w:pPr>
      <w:r>
        <w:rPr>
          <w:noProof/>
        </w:rPr>
        <w:t>•</w:t>
      </w:r>
      <w:r>
        <w:rPr>
          <w:noProof/>
        </w:rPr>
        <w:tab/>
        <w:t>Subsidiaritātes princips</w:t>
      </w:r>
    </w:p>
    <w:p>
      <w:pPr>
        <w:rPr>
          <w:noProof/>
        </w:rPr>
      </w:pPr>
      <w:r>
        <w:rPr>
          <w:noProof/>
        </w:rPr>
        <w:t>Netiešo nodokļu uzlikšana, kas minēta LESD 113. pantā, pati par sevi nav ekskluzīvā ES kompetencē Līguma 3. panta nozīmē.</w:t>
      </w:r>
    </w:p>
    <w:p>
      <w:pPr>
        <w:rPr>
          <w:noProof/>
        </w:rPr>
      </w:pPr>
      <w:r>
        <w:rPr>
          <w:noProof/>
        </w:rPr>
        <w:t>Tomēr saskaņā ar Direktīvas 2003/96/EK 19. pantu Padomei tika piešķirta ekskluzīva kompetence ar sekundāru tiesību aktu atļaut dalībvalstij ieviest turpmākus atbrīvojumus vai samazinājumus minētā noteikuma nozīmē. Dalībvalstis tāpēc nevar aizstāt Padomi. Tādējādi subsidiaritātes princips uz šo īstenošanas lēmumu neattiecas. Nekādā ziņā šis akts nav leģislatīvā akta projekts, tāpēc tas nebūtu saskaņā ar Līgumiem pievienoto 2. protokolu jāiesniedz valstu parlamentiem, lai pārbaudītu atbilstību subsidiaritātes principam.</w:t>
      </w:r>
    </w:p>
    <w:p>
      <w:pPr>
        <w:pStyle w:val="ManualHeading2"/>
        <w:rPr>
          <w:rFonts w:eastAsia="Arial Unicode MS"/>
          <w:noProof/>
          <w:u w:color="000000"/>
          <w:bdr w:val="nil"/>
        </w:rPr>
      </w:pPr>
      <w:r>
        <w:rPr>
          <w:noProof/>
        </w:rPr>
        <w:t>•</w:t>
      </w:r>
      <w:r>
        <w:rPr>
          <w:noProof/>
        </w:rPr>
        <w:tab/>
        <w:t>Proporcionalitātes princips</w:t>
      </w:r>
    </w:p>
    <w:p>
      <w:pPr>
        <w:rPr>
          <w:noProof/>
        </w:rPr>
      </w:pPr>
      <w:r>
        <w:rPr>
          <w:noProof/>
        </w:rPr>
        <w:t>Šajā priekšlikumā ir ievērots proporcionalitātes princips. Nodokļu samazinājums nepārsniedz konkrētā mērķa sasniegšanai vajadzīgo.</w:t>
      </w:r>
    </w:p>
    <w:p>
      <w:pPr>
        <w:pStyle w:val="ManualHeading2"/>
        <w:rPr>
          <w:rFonts w:eastAsia="Arial Unicode MS"/>
          <w:noProof/>
          <w:u w:color="000000"/>
          <w:bdr w:val="nil"/>
        </w:rPr>
      </w:pPr>
      <w:r>
        <w:rPr>
          <w:noProof/>
        </w:rPr>
        <w:t>•</w:t>
      </w:r>
      <w:r>
        <w:rPr>
          <w:noProof/>
        </w:rPr>
        <w:tab/>
        <w:t>Juridiskā instrumentu izvēle</w:t>
      </w:r>
    </w:p>
    <w:p>
      <w:pPr>
        <w:rPr>
          <w:noProof/>
        </w:rPr>
      </w:pPr>
      <w:r>
        <w:rPr>
          <w:noProof/>
        </w:rPr>
        <w:t>Ierosinātais juridiskais instruments: Padomes īstenošanas lēmums.</w:t>
      </w:r>
    </w:p>
    <w:p>
      <w:pPr>
        <w:rPr>
          <w:noProof/>
        </w:rPr>
      </w:pPr>
      <w:r>
        <w:rPr>
          <w:noProof/>
        </w:rPr>
        <w:t>Direktīvas 2003/96 19. pants paredz tikai šāda veida pasākumu.</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rPr>
          <w:noProof/>
        </w:rPr>
      </w:pPr>
      <w:r>
        <w:rPr>
          <w:noProof/>
        </w:rPr>
        <w:t>Pasākumam nav nepieciešama spēkā esošo tiesību aktu izvērtēšana.</w:t>
      </w:r>
    </w:p>
    <w:p>
      <w:pPr>
        <w:pStyle w:val="ManualHeading2"/>
        <w:rPr>
          <w:rFonts w:eastAsia="Arial Unicode MS"/>
          <w:noProof/>
          <w:u w:color="000000"/>
          <w:bdr w:val="nil"/>
        </w:rPr>
      </w:pPr>
      <w:r>
        <w:rPr>
          <w:noProof/>
        </w:rPr>
        <w:t>•</w:t>
      </w:r>
      <w:r>
        <w:rPr>
          <w:noProof/>
        </w:rPr>
        <w:tab/>
        <w:t>Apspriešanās ar ieinteresētajām personām</w:t>
      </w:r>
    </w:p>
    <w:p>
      <w:pPr>
        <w:rPr>
          <w:noProof/>
        </w:rPr>
      </w:pPr>
      <w:r>
        <w:rPr>
          <w:noProof/>
        </w:rPr>
        <w:t>Priekšlikumā tiek ierosināts piešķirt nodokļu samazinājumu, kas attiecas tikai uz Franciju.</w:t>
      </w:r>
    </w:p>
    <w:p>
      <w:pPr>
        <w:pStyle w:val="ManualHeading2"/>
        <w:rPr>
          <w:rFonts w:eastAsia="Arial Unicode MS"/>
          <w:noProof/>
          <w:u w:color="000000"/>
          <w:bdr w:val="nil"/>
        </w:rPr>
      </w:pPr>
      <w:r>
        <w:rPr>
          <w:noProof/>
        </w:rPr>
        <w:t>•</w:t>
      </w:r>
      <w:r>
        <w:rPr>
          <w:noProof/>
        </w:rPr>
        <w:tab/>
        <w:t>Ekspertu atzinuma pieprasīšana un izmantošana</w:t>
      </w:r>
    </w:p>
    <w:p>
      <w:pPr>
        <w:rPr>
          <w:noProof/>
        </w:rPr>
      </w:pPr>
      <w:r>
        <w:rPr>
          <w:noProof/>
        </w:rPr>
        <w:t>Neatkarīgu ekspertu atzinums netika izmantots.</w:t>
      </w:r>
    </w:p>
    <w:p>
      <w:pPr>
        <w:pStyle w:val="ManualHeading2"/>
        <w:rPr>
          <w:rFonts w:eastAsia="Arial Unicode MS"/>
          <w:noProof/>
          <w:u w:color="000000"/>
          <w:bdr w:val="nil"/>
        </w:rPr>
      </w:pPr>
      <w:r>
        <w:rPr>
          <w:noProof/>
        </w:rPr>
        <w:t>•</w:t>
      </w:r>
      <w:r>
        <w:rPr>
          <w:noProof/>
        </w:rPr>
        <w:tab/>
        <w:t>Ietekmes novērtējums</w:t>
      </w:r>
    </w:p>
    <w:p>
      <w:pPr>
        <w:rPr>
          <w:noProof/>
        </w:rPr>
      </w:pPr>
      <w:r>
        <w:rPr>
          <w:noProof/>
        </w:rPr>
        <w:t>Ietekmes novērtējums netika veikts.</w:t>
      </w:r>
    </w:p>
    <w:p>
      <w:pPr>
        <w:pStyle w:val="ManualHeading2"/>
        <w:rPr>
          <w:rFonts w:eastAsia="Arial Unicode MS"/>
          <w:noProof/>
          <w:u w:color="000000"/>
          <w:bdr w:val="nil"/>
        </w:rPr>
      </w:pPr>
      <w:r>
        <w:rPr>
          <w:noProof/>
        </w:rPr>
        <w:t>•</w:t>
      </w:r>
      <w:r>
        <w:rPr>
          <w:noProof/>
        </w:rPr>
        <w:tab/>
        <w:t xml:space="preserve">Pamattiesības </w:t>
      </w:r>
    </w:p>
    <w:p>
      <w:pPr>
        <w:rPr>
          <w:noProof/>
        </w:rPr>
      </w:pPr>
      <w:r>
        <w:rPr>
          <w:noProof/>
        </w:rPr>
        <w:t>Pasākums neietekmē pamattiesības.</w:t>
      </w:r>
    </w:p>
    <w:p>
      <w:pPr>
        <w:pStyle w:val="ManualHeading1"/>
        <w:rPr>
          <w:noProof/>
        </w:rPr>
      </w:pPr>
      <w:r>
        <w:rPr>
          <w:noProof/>
        </w:rPr>
        <w:t>4.</w:t>
      </w:r>
      <w:r>
        <w:rPr>
          <w:noProof/>
        </w:rPr>
        <w:tab/>
        <w:t>IETEKME UZ BUDŽETU</w:t>
      </w:r>
    </w:p>
    <w:p>
      <w:pPr>
        <w:rPr>
          <w:noProof/>
        </w:rPr>
      </w:pPr>
      <w:r>
        <w:rPr>
          <w:noProof/>
        </w:rPr>
        <w:t>Minētais pasākums Savienībai nerada finansiālu un administratīvu slogu, tādēļ priekšlikums neietekmē Savienības budžetu.</w:t>
      </w:r>
    </w:p>
    <w:p>
      <w:pPr>
        <w:pStyle w:val="ManualHeading1"/>
        <w:rPr>
          <w:noProof/>
        </w:rPr>
      </w:pPr>
      <w:r>
        <w:rPr>
          <w:noProof/>
        </w:rPr>
        <w:t>5.</w:t>
      </w:r>
      <w:r>
        <w:rPr>
          <w:noProof/>
        </w:rPr>
        <w:tab/>
        <w:t>CITI ELEMENTI</w:t>
      </w:r>
    </w:p>
    <w:p>
      <w:pPr>
        <w:rPr>
          <w:noProof/>
        </w:rPr>
      </w:pPr>
      <w:r>
        <w:rPr>
          <w:noProof/>
        </w:rPr>
        <w:t xml:space="preserve">Īstenošanas plāni un uzraudzīšanas, izvērtēšanas un ziņošanas kārtība </w:t>
      </w:r>
    </w:p>
    <w:p>
      <w:pPr>
        <w:rPr>
          <w:noProof/>
        </w:rPr>
      </w:pPr>
      <w:r>
        <w:rPr>
          <w:noProof/>
        </w:rPr>
        <w:t>Nav nepieciešams izstrādāt īstenošanas plānu. Šis priekšlikums attiecas uz atļaujas piešķiršanu nodokļu samazināšanai atsevišķai dalībvalstij pēc tās lūguma. Tā ir paredzēta uz ierobežotu laikposmu – uz sešiem gadiem. Plānotā nodokļa likme būs augstāka par minimālo nodokļu līmeni, kas noteikts Enerģijas nodokļu direktīvā. Pasākumu var izvērtēt, saņemot atjaunošanas pieprasījumu pēc tam, kad ir beidzies sešu gadu termiņš.</w:t>
      </w:r>
    </w:p>
    <w:p>
      <w:pPr>
        <w:pStyle w:val="ManualHeading2"/>
        <w:rPr>
          <w:rFonts w:eastAsia="Arial Unicode MS"/>
          <w:noProof/>
          <w:u w:color="000000"/>
          <w:bdr w:val="nil"/>
        </w:rPr>
      </w:pPr>
      <w:r>
        <w:rPr>
          <w:noProof/>
        </w:rPr>
        <w:t>•</w:t>
      </w:r>
      <w:r>
        <w:rPr>
          <w:noProof/>
        </w:rPr>
        <w:tab/>
        <w:t>Ierosinātā pasākuma kopsavilkums</w:t>
      </w:r>
    </w:p>
    <w:p>
      <w:pPr>
        <w:rPr>
          <w:noProof/>
        </w:rPr>
      </w:pPr>
      <w:r>
        <w:rPr>
          <w:noProof/>
        </w:rPr>
        <w:t>Komisija ierosina atļaut Francijai līdz 2024. gada 31. decembrim samazināt nodokli par 10 EUR par 1000 l, un Francija attiecīgi varēs piemērot samazināto nodokļa likmi bezsvina benzīnam, ko izmanto kā degvielu un kas tiek nodots patēriņā Korsikas departamentos.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2019/0004 (NLE)</w:t>
      </w:r>
    </w:p>
    <w:p>
      <w:pPr>
        <w:pStyle w:val="Statut"/>
        <w:rPr>
          <w:noProof/>
        </w:rPr>
      </w:pPr>
      <w:r>
        <w:rPr>
          <w:noProof/>
        </w:rPr>
        <w:t>Priekšlikums</w:t>
      </w:r>
    </w:p>
    <w:p>
      <w:pPr>
        <w:pStyle w:val="Typedudocument"/>
        <w:rPr>
          <w:noProof/>
        </w:rPr>
      </w:pPr>
      <w:r>
        <w:rPr>
          <w:noProof/>
        </w:rPr>
        <w:t>PADOMES ĪSTENOŠANAS LĒMUMS,</w:t>
      </w:r>
    </w:p>
    <w:p>
      <w:pPr>
        <w:pStyle w:val="Titreobjet"/>
        <w:rPr>
          <w:noProof/>
        </w:rPr>
      </w:pPr>
      <w:r>
        <w:rPr>
          <w:noProof/>
        </w:rPr>
        <w:t>ar kuru Francijai saskaņā ar Direktīvas 2003/96/EK 19. pantu atļauj piemērot samazinātu nodokļa likmi bezsvina benzīnam, ko izmanto kā degvielu un kas tiek nodots patēriņam Korsikas departamentos</w:t>
      </w:r>
    </w:p>
    <w:p>
      <w:pPr>
        <w:pStyle w:val="Institutionquiagit"/>
        <w:rPr>
          <w:noProof/>
        </w:rPr>
      </w:pPr>
      <w:r>
        <w:rPr>
          <w:noProof/>
        </w:rPr>
        <w:t>EIROPAS SAVIENĪBAS PADOME,</w:t>
      </w:r>
    </w:p>
    <w:p>
      <w:pPr>
        <w:rPr>
          <w:noProof/>
        </w:rPr>
      </w:pPr>
      <w:r>
        <w:rPr>
          <w:noProof/>
        </w:rPr>
        <w:t>ņemot vērā Līgumu par Eiropas Savienības darbību,</w:t>
      </w:r>
    </w:p>
    <w:p>
      <w:pPr>
        <w:rPr>
          <w:noProof/>
        </w:rPr>
      </w:pPr>
      <w:r>
        <w:rPr>
          <w:noProof/>
        </w:rPr>
        <w:t>ņemot vērā Padomes 2003. gada 27. oktobra Direktīvu 2003/96/EK, kas pārkārto Kopienas noteikumus par nodokļu uzlikšanu energoproduktiem un elektroenerģijai</w:t>
      </w:r>
      <w:r>
        <w:rPr>
          <w:rStyle w:val="FootnoteReference"/>
          <w:noProof/>
        </w:rPr>
        <w:footnoteReference w:id="1"/>
      </w:r>
      <w:r>
        <w:rPr>
          <w:noProof/>
        </w:rPr>
        <w:t>, un jo īpaši tās 19. panta 1.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Ar Padomes Lēmumu 2007/880/EK</w:t>
      </w:r>
      <w:r>
        <w:rPr>
          <w:rStyle w:val="FootnoteReference"/>
          <w:noProof/>
        </w:rPr>
        <w:footnoteReference w:id="2"/>
      </w:r>
      <w:r>
        <w:rPr>
          <w:noProof/>
        </w:rPr>
        <w:t xml:space="preserve"> un Padomes Īstenošanas lēmumu 2013/192/ES</w:t>
      </w:r>
      <w:r>
        <w:rPr>
          <w:rStyle w:val="FootnoteReference"/>
          <w:noProof/>
        </w:rPr>
        <w:t xml:space="preserve"> </w:t>
      </w:r>
      <w:r>
        <w:rPr>
          <w:rStyle w:val="FootnoteReference"/>
          <w:noProof/>
        </w:rPr>
        <w:footnoteReference w:id="3"/>
      </w:r>
      <w:r>
        <w:rPr>
          <w:noProof/>
        </w:rPr>
        <w:t xml:space="preserve"> Francijai saskaņā ar Direktīvas 2003/96/EK 19. pantu tika atļauts piemērot samazinātu nodokļa likmi bezsvina benzīnam, ko izmanto kā degvielu un kas tiek nodots patēriņam Korsikas departamentos.</w:t>
      </w:r>
    </w:p>
    <w:p>
      <w:pPr>
        <w:pStyle w:val="ManualConsidrant"/>
        <w:rPr>
          <w:noProof/>
        </w:rPr>
      </w:pPr>
      <w:r>
        <w:t>(2)</w:t>
      </w:r>
      <w:r>
        <w:tab/>
      </w:r>
      <w:r>
        <w:rPr>
          <w:noProof/>
        </w:rPr>
        <w:t>Francija 2018. gada 26. septembra vēstulē ir pieprasījusi atļauju piemērot samazinātu energoresursu nodokļa likmi bezsvina benzīnam, ko izmanto kā degvielu, un turpināt līdzšinējo praksi, kura izveidojusies saskaņā ar Lēmumu 2007/880/EK un Īstenošanas lēmumu 2013/192/ES. Samazinājuma apjoms ir 1 EUR par hektolitru. Atļauja tiek pieprasīta laikposmam no 2019. gada 1. janvāra līdz 2024. gada 31. decembrim. Korsikā patērētāju apgāde ar bezsvina degvielu ir ievērojami dārgāka nekā kontinentālajā Francijā, un degvielas galīgās cenas attiecīgi ir vairāk nekā 0,10 EUR par litru augstākas nekā kontinentā.</w:t>
      </w:r>
    </w:p>
    <w:p>
      <w:pPr>
        <w:pStyle w:val="ManualConsidrant"/>
        <w:rPr>
          <w:noProof/>
        </w:rPr>
      </w:pPr>
      <w:r>
        <w:t>(3)</w:t>
      </w:r>
      <w:r>
        <w:tab/>
      </w:r>
      <w:r>
        <w:rPr>
          <w:noProof/>
        </w:rPr>
        <w:t>Samazinot nodokli, ko piemēro bezsvina benzīnam un ko maksā Korsikas patērētāji, attiecīgajiem patērētājiem tiks radīti apstākļi, kuri ir līdzīgāki tiem apstākļiem, kādi ir patērētājiem kontinentālajā Francijā. Tādēļ šim pasākumam ir reģionālās un kohēzijas politikas mērķi.</w:t>
      </w:r>
    </w:p>
    <w:p>
      <w:pPr>
        <w:pStyle w:val="ManualConsidrant"/>
        <w:rPr>
          <w:noProof/>
        </w:rPr>
      </w:pPr>
      <w:r>
        <w:t>(4)</w:t>
      </w:r>
      <w:r>
        <w:tab/>
      </w:r>
      <w:r>
        <w:rPr>
          <w:noProof/>
        </w:rPr>
        <w:t>Ir paredzēts vienīgi tāds nodokļa samazinājums, kāds ir vajadzīgs, lai kompensētu papildu izmaksas, kas Korsikas patērētājiem rodas saistībā ar degvielas pārvadāšanu un sadali.</w:t>
      </w:r>
    </w:p>
    <w:p>
      <w:pPr>
        <w:pStyle w:val="ManualConsidrant"/>
        <w:rPr>
          <w:noProof/>
        </w:rPr>
      </w:pPr>
      <w:r>
        <w:t>(5)</w:t>
      </w:r>
      <w:r>
        <w:tab/>
      </w:r>
      <w:r>
        <w:rPr>
          <w:noProof/>
        </w:rPr>
        <w:t>Nodokļa galīgais līmenis atbilst Direktīvā 2003/96/EK noteiktajam un pašlaik spēkā esošajam minimālajam līmenim 359 EUR par 1000 litriem (jeb 35,90 EUR par hektolitru).</w:t>
      </w:r>
    </w:p>
    <w:p>
      <w:pPr>
        <w:pStyle w:val="ManualConsidrant"/>
        <w:rPr>
          <w:noProof/>
        </w:rPr>
      </w:pPr>
      <w:r>
        <w:t>(6)</w:t>
      </w:r>
      <w:r>
        <w:tab/>
      </w:r>
      <w:r>
        <w:rPr>
          <w:noProof/>
        </w:rPr>
        <w:t>Ņemot vērā to, ka pasākumu piemēros nomaļos departamentos, kuri atrodas uz salas, un ka likmes samazinājums ir neliels (tā joprojām ir daudz augstāka par minimālo līmeni, kas paredzēts Direktīvā 2003/96/EK), šā pasākuma pieņemšana nenozīmē, ka uz Korsikas degvielas uzpildes stacijām pēc degvielas dosies vairāk patērētāju.</w:t>
      </w:r>
    </w:p>
    <w:p>
      <w:pPr>
        <w:pStyle w:val="ManualConsidrant"/>
        <w:rPr>
          <w:noProof/>
        </w:rPr>
      </w:pPr>
      <w:r>
        <w:t>(7)</w:t>
      </w:r>
      <w:r>
        <w:tab/>
      </w:r>
      <w:r>
        <w:rPr>
          <w:noProof/>
        </w:rPr>
        <w:t>Tāpēc pasākums nav pretrunā iekšējā tirgus pareizai darbībai un nepieciešamībai nodrošināt godīgu konkurenci, un tas ir saderīgs ar Savienības politiku veselības, vides, enerģētikas un transporta jomā.</w:t>
      </w:r>
    </w:p>
    <w:p>
      <w:pPr>
        <w:pStyle w:val="ManualConsidrant"/>
        <w:rPr>
          <w:noProof/>
        </w:rPr>
      </w:pPr>
      <w:r>
        <w:t>(8)</w:t>
      </w:r>
      <w:r>
        <w:tab/>
      </w:r>
      <w:r>
        <w:rPr>
          <w:noProof/>
        </w:rPr>
        <w:t>Tādēļ saskaņā ar Direktīvas 2003/96/EK 19. panta 2. punktu Francijai būtu jāatļauj līdz 2024. gada 31. decembrim piemērot samazinātu nodokļa likmi bezsvina benzīnam, ko izmanto kā degvielu un kas tiek nodots patēriņam Korsikā.</w:t>
      </w:r>
    </w:p>
    <w:p>
      <w:pPr>
        <w:pStyle w:val="ManualConsidrant"/>
        <w:rPr>
          <w:noProof/>
        </w:rPr>
      </w:pPr>
      <w:r>
        <w:t>(9)</w:t>
      </w:r>
      <w:r>
        <w:tab/>
      </w:r>
      <w:r>
        <w:rPr>
          <w:noProof/>
        </w:rPr>
        <w:t>No Direktīvas 2003/96/EK 19. panta 2. punkta izriet, ka katrai saskaņā ar minēto pantu piešķirtajai atļaujai ir jābūt stingri ierobežotai laikā.</w:t>
      </w:r>
    </w:p>
    <w:p>
      <w:pPr>
        <w:pStyle w:val="ManualConsidrant"/>
        <w:rPr>
          <w:noProof/>
        </w:rPr>
      </w:pPr>
      <w:r>
        <w:t>(10)</w:t>
      </w:r>
      <w:r>
        <w:tab/>
      </w:r>
      <w:r>
        <w:rPr>
          <w:noProof/>
        </w:rPr>
        <w:t>Lai nodrošinātu pietiekamu noteiktību attiecīgajiem reģioniem, atļauja būtu jāpiešķir uz sešiem gadiem. Taču, lai nekavētu pašreizējā regulējuma turpmāku vispārēju attīstību, ir jāparedz, ka gadījumā, ja Padome atbilstīgi Līguma 113. pantam ievieš grozītu vispārēju energoproduktu nodokļu sistēmu, kurai šī atļauja neatbilst, šis lēmums zaudē spēku dienā, kad sāk piemērot noteikumus par minēto grozīto sistēmu.</w:t>
      </w:r>
    </w:p>
    <w:p>
      <w:pPr>
        <w:pStyle w:val="ManualConsidrant"/>
        <w:rPr>
          <w:noProof/>
        </w:rPr>
      </w:pPr>
      <w:r>
        <w:t>(11)</w:t>
      </w:r>
      <w:r>
        <w:tab/>
      </w:r>
      <w:r>
        <w:rPr>
          <w:noProof/>
        </w:rPr>
        <w:t>Būtu jānodrošina, ka šajā lēmumā paredzēto konkrēto samazinājumu Francija var piemērot tādā veidā, lai nerastos juridiskais vakuums attiecībā pret regulējumu, kas bija spēkā līdz 2019. gada 1. janvārim saskaņā ar Īstenošanas lēmumu 2013/192/ES. Tādēļ lūgtā atļauja būtu jāpiešķir no 2019. gada 1. janvāra.</w:t>
      </w:r>
    </w:p>
    <w:p>
      <w:pPr>
        <w:pStyle w:val="ManualConsidrant"/>
        <w:rPr>
          <w:noProof/>
        </w:rPr>
      </w:pPr>
      <w:r>
        <w:t>(12)</w:t>
      </w:r>
      <w:r>
        <w:tab/>
      </w:r>
      <w:r>
        <w:rPr>
          <w:noProof/>
        </w:rPr>
        <w:t>Šis lēmums neskar Savienības noteikumu par valsts atbalstu piemērošanu,</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Francijai tiek atļauts piemērot nodokļu likmes samazinājumu, kas nepārsniedz 1 EUR par hektolitru, bezsvina benzīnam, kuru izmanto kā degvielu un kurš tiek nodots patēriņam Korsikas departamentos.</w:t>
      </w:r>
    </w:p>
    <w:p>
      <w:pPr>
        <w:rPr>
          <w:noProof/>
        </w:rPr>
      </w:pPr>
      <w:r>
        <w:rPr>
          <w:noProof/>
        </w:rPr>
        <w:t>Lai nepieļautu pārmērīgu kompensāciju, samazinājuma apjoms nav lielāks par pārvadāšanas, uzglabāšanas un sadales papildu izmaksām, salīdzinot ar attiecīgajām izmaksām kontinentālajā Francijā.</w:t>
      </w:r>
    </w:p>
    <w:p>
      <w:pPr>
        <w:rPr>
          <w:noProof/>
        </w:rPr>
      </w:pPr>
      <w:r>
        <w:rPr>
          <w:noProof/>
        </w:rPr>
        <w:t>Attiecībā uz samazināto likmi ievēro Direktīvā 2003/96/EK noteiktās saistības, jo īpaši tās 7. pantā paredzētās minimālās likmes.</w:t>
      </w:r>
    </w:p>
    <w:p>
      <w:pPr>
        <w:pStyle w:val="Titrearticle"/>
        <w:keepNext w:val="0"/>
        <w:rPr>
          <w:noProof/>
        </w:rPr>
      </w:pPr>
      <w:r>
        <w:rPr>
          <w:noProof/>
        </w:rPr>
        <w:t>2. pants</w:t>
      </w:r>
    </w:p>
    <w:p>
      <w:pPr>
        <w:rPr>
          <w:noProof/>
        </w:rPr>
      </w:pPr>
      <w:r>
        <w:rPr>
          <w:noProof/>
        </w:rPr>
        <w:t>Šo lēmumu piemēro no 2019. gada 1. janvāra, un tā darbība beidzas 2024. gada 31. decembrī.</w:t>
      </w:r>
    </w:p>
    <w:p>
      <w:pPr>
        <w:rPr>
          <w:noProof/>
        </w:rPr>
      </w:pPr>
      <w:r>
        <w:rPr>
          <w:noProof/>
        </w:rPr>
        <w:t xml:space="preserve">Tomēr, ja Padome atbilstīgi Līguma 113. pantam ievieš grozītu vispārēju energoproduktu nodokļu sistēmu, kurai nevar pielāgot ar šā lēmuma 1. pantu piešķirto atļauju, šis lēmums zaudē spēku dienā, kad sāk piemērot minētās grozītās sistēmas noteikumus. </w:t>
      </w:r>
    </w:p>
    <w:p>
      <w:pPr>
        <w:pStyle w:val="Titrearticle"/>
        <w:rPr>
          <w:noProof/>
        </w:rPr>
      </w:pPr>
      <w:r>
        <w:rPr>
          <w:noProof/>
        </w:rPr>
        <w:t>3. pants</w:t>
      </w:r>
    </w:p>
    <w:p>
      <w:pPr>
        <w:rPr>
          <w:noProof/>
        </w:rPr>
      </w:pPr>
      <w:r>
        <w:rPr>
          <w:noProof/>
        </w:rPr>
        <w:t>Šis lēmums ir adresēts Francijai.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OV L 283, 31.10.2003., 51. lpp.</w:t>
      </w:r>
    </w:p>
  </w:footnote>
  <w:footnote w:id="2">
    <w:p>
      <w:pPr>
        <w:pStyle w:val="FootnoteText"/>
      </w:pPr>
      <w:r>
        <w:rPr>
          <w:rStyle w:val="FootnoteReference"/>
        </w:rPr>
        <w:footnoteRef/>
      </w:r>
      <w:r>
        <w:tab/>
      </w:r>
      <w:r>
        <w:rPr>
          <w:color w:val="444444"/>
          <w:shd w:val="clear" w:color="auto" w:fill="FFFFFF"/>
        </w:rPr>
        <w:t>Padomes Lēmums 2007/880/EK (2007. gada 20. decembris), ar kuru Francijai saskaņā ar Direktīvas 2003/96/EK 19. pantu atļauj piemērot samazinātu nodokļa likmi bezsvina benzīnam, ko izmanto kā degvielu un kas tiek nodots patēriņam Korsikas departamentos (</w:t>
      </w:r>
      <w:r>
        <w:t>OV L 346, 29.12.2007., 15.lpp.).</w:t>
      </w:r>
    </w:p>
  </w:footnote>
  <w:footnote w:id="3">
    <w:p>
      <w:pPr>
        <w:pStyle w:val="FootnoteText"/>
      </w:pPr>
      <w:r>
        <w:rPr>
          <w:rStyle w:val="FootnoteReference"/>
        </w:rPr>
        <w:footnoteRef/>
      </w:r>
      <w:r>
        <w:tab/>
      </w:r>
      <w:r>
        <w:rPr>
          <w:color w:val="444444"/>
          <w:shd w:val="clear" w:color="auto" w:fill="FFFFFF"/>
        </w:rPr>
        <w:t>Padomes Īstenošanas lēmums 2013/192/ES (2013. gada 22. aprīlis), ar kuru Francijas Republikai saskaņā ar Direktīvas 2003/96/EK 19. pantu atļauj piemērot samazinātu nodokļa likmi bezsvina benzīnam, ko izmanto kā degvielu un kas tiek nodots patēriņam Korsikas departamentos.</w:t>
      </w:r>
      <w:r>
        <w:t xml:space="preserve"> (OV L 113 25.4.2013., 13.lpp.).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ECFD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DA81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EA21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4619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3AD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C883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D8EAFF0"/>
    <w:lvl w:ilvl="0">
      <w:start w:val="1"/>
      <w:numFmt w:val="decimal"/>
      <w:pStyle w:val="ListNumber"/>
      <w:lvlText w:val="%1."/>
      <w:lvlJc w:val="left"/>
      <w:pPr>
        <w:tabs>
          <w:tab w:val="num" w:pos="360"/>
        </w:tabs>
        <w:ind w:left="360" w:hanging="360"/>
      </w:pPr>
    </w:lvl>
  </w:abstractNum>
  <w:abstractNum w:abstractNumId="7">
    <w:nsid w:val="FFFFFF89"/>
    <w:multiLevelType w:val="singleLevel"/>
    <w:tmpl w:val="FAB21D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5 18:05: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669B4B-2980-408B-8BFA-0C33FA35C0A3"/>
    <w:docVar w:name="LW_COVERPAGE_TYPE" w:val="1"/>
    <w:docVar w:name="LW_CROSSREFERENCE" w:val="&lt;UNUSED&gt;"/>
    <w:docVar w:name="LW_DocType" w:val="COM"/>
    <w:docVar w:name="LW_EMISSION" w:val="17.1.2019"/>
    <w:docVar w:name="LW_EMISSION_ISODATE" w:val="2019-01-17"/>
    <w:docVar w:name="LW_EMISSION_LOCATION" w:val="BRX"/>
    <w:docVar w:name="LW_EMISSION_PREFIX" w:val="Briselē, "/>
    <w:docVar w:name="LW_EMISSION_SUFFIX" w:val="."/>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04"/>
    <w:docVar w:name="LW_REF.II.NEW.CP_YEAR" w:val="2019"/>
    <w:docVar w:name="LW_REF.INST.NEW" w:val="COM"/>
    <w:docVar w:name="LW_REF.INST.NEW_ADOPTED" w:val="final"/>
    <w:docVar w:name="LW_REF.INST.NEW_TEXT" w:val="(2019)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uru Francijai saska\u326?\u257? ar Direkt\u299?vas 2003/96/EK 19. pantu at\u316?auj piem\u275?rot samazin\u257?tu nodok\u316?a likmi bezsvina benz\u299?nam, ko izmanto k\u257? degvielu un kas tiek nodots pat\u275?ri\u326?am Korsikas departamentos"/>
    <w:docVar w:name="LW_TYPE.DOC.CP" w:val="PADOMES \u298?STENO\u352?ANA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7</TotalTime>
  <Pages>9</Pages>
  <Words>2309</Words>
  <Characters>15084</Characters>
  <Application>Microsoft Office Word</Application>
  <DocSecurity>0</DocSecurity>
  <Lines>284</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2019-01-11T08:15:00Z</dcterms:created>
  <dcterms:modified xsi:type="dcterms:W3CDTF">2019-01-15T17:05:00Z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