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0EB1CA7-4123-4780-86FA-83808BF4E6A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spacing w:before="0" w:after="0"/>
        <w:rPr>
          <w:noProof/>
        </w:rPr>
      </w:pPr>
      <w:r>
        <w:rPr>
          <w:noProof/>
        </w:rPr>
        <w:t>De Overeenkomst voor samenwerking op wetenschappelijk en technologisch gebied tussen de Europese Gemeenschap en de regering van de Russische Federatie</w:t>
      </w:r>
      <w:r>
        <w:rPr>
          <w:rStyle w:val="FootnoteReference"/>
          <w:noProof/>
        </w:rPr>
        <w:footnoteReference w:id="1"/>
      </w:r>
      <w:r>
        <w:rPr>
          <w:noProof/>
        </w:rPr>
        <w:t xml:space="preserve"> (hierna "de Overeenkomst" genoemd) is op 16 november 2000 in Brussel ondertekend en op 10 mei 2001 in werking getreden. Overeenkomstig artikel 12 is zij sindsdien in 2004</w:t>
      </w:r>
      <w:r>
        <w:rPr>
          <w:rStyle w:val="FootnoteReference"/>
          <w:noProof/>
        </w:rPr>
        <w:footnoteReference w:id="2"/>
      </w:r>
      <w:r>
        <w:rPr>
          <w:noProof/>
        </w:rPr>
        <w:t>, 2009</w:t>
      </w:r>
      <w:r>
        <w:rPr>
          <w:rStyle w:val="FootnoteReference"/>
          <w:noProof/>
        </w:rPr>
        <w:footnoteReference w:id="3"/>
      </w:r>
      <w:r>
        <w:rPr>
          <w:noProof/>
        </w:rPr>
        <w:t xml:space="preserve"> en 2014</w:t>
      </w:r>
      <w:r>
        <w:rPr>
          <w:rStyle w:val="FootnoteReference"/>
          <w:noProof/>
        </w:rPr>
        <w:footnoteReference w:id="4"/>
      </w:r>
      <w:r>
        <w:rPr>
          <w:noProof/>
        </w:rPr>
        <w:t xml:space="preserve"> telkens voor een nieuwe periode van 5 jaar verlengd.</w:t>
      </w:r>
    </w:p>
    <w:p>
      <w:pPr>
        <w:spacing w:before="0" w:after="0"/>
        <w:ind w:left="-46"/>
        <w:rPr>
          <w:noProof/>
        </w:rPr>
      </w:pPr>
    </w:p>
    <w:p>
      <w:pPr>
        <w:spacing w:before="0" w:after="0"/>
        <w:ind w:left="-46"/>
        <w:rPr>
          <w:noProof/>
        </w:rPr>
      </w:pPr>
      <w:r>
        <w:rPr>
          <w:noProof/>
        </w:rPr>
        <w:t xml:space="preserve">De huidige Overeenkomst loopt af op 20 februari 2019. </w:t>
      </w:r>
    </w:p>
    <w:p>
      <w:pPr>
        <w:spacing w:before="0" w:after="0"/>
        <w:ind w:left="-46"/>
        <w:rPr>
          <w:noProof/>
        </w:rPr>
      </w:pPr>
    </w:p>
    <w:p>
      <w:pPr>
        <w:spacing w:before="0" w:after="0"/>
        <w:ind w:left="-46"/>
        <w:rPr>
          <w:noProof/>
        </w:rPr>
      </w:pPr>
      <w:r>
        <w:rPr>
          <w:noProof/>
        </w:rPr>
        <w:t>De EU heeft er belang bij deze Overeenkomst te verlengen teneinde de samenwerking met de Russische Federatie op wetenschappelijke en technologische gebieden die voor beide partijen prioritair zijn en beiden voordelen opleveren, verder te vergemakkelijken.</w:t>
      </w:r>
    </w:p>
    <w:p>
      <w:pPr>
        <w:spacing w:before="0" w:after="0"/>
        <w:ind w:left="-46"/>
        <w:rPr>
          <w:noProof/>
        </w:rPr>
      </w:pPr>
    </w:p>
    <w:p>
      <w:pPr>
        <w:spacing w:before="0" w:after="0"/>
        <w:ind w:left="-46"/>
        <w:rPr>
          <w:noProof/>
        </w:rPr>
      </w:pPr>
      <w:r>
        <w:rPr>
          <w:noProof/>
        </w:rPr>
        <w:t>Rusland is de belangrijkste actor inzake wetenschap, technologie en innovatie (WTI) in de nabijheid van de EU die niet met Horizon 2020 is geassocieerd.</w:t>
      </w:r>
      <w:r>
        <w:rPr>
          <w:noProof/>
          <w:color w:val="010202"/>
        </w:rPr>
        <w:t xml:space="preserve"> </w:t>
      </w:r>
      <w:r>
        <w:rPr>
          <w:noProof/>
        </w:rPr>
        <w:t>De WTI-samenwerking tussen de EU en Rusland is traditioneel zeer intens, met name op het gebied van onderzoeksinfrastructuren, vervoer en milieu. Hoewel Rusland in het zevende kaderprogramma van alle niet-geassocieerde derde landen de meest actieve deelnemer was, is het niveau van samenwerking in Horizon 2020 veel lager dan het zou kunnen zijn. Dit is grotendeels te wijten aan de wijziging van de financieringsregels van Horizon 2020, waardoor rechtspersonen uit Rusland (en Brazilië, India, China en Mexico) niet langer automatisch in aanmerking komen voor financiering door de EU, maar ook aan de politieke omstandigheden.</w:t>
      </w:r>
    </w:p>
    <w:p>
      <w:pPr>
        <w:spacing w:before="0" w:after="0"/>
        <w:ind w:left="-46"/>
        <w:rPr>
          <w:noProof/>
        </w:rPr>
      </w:pPr>
    </w:p>
    <w:p>
      <w:pPr>
        <w:spacing w:before="0" w:after="0"/>
        <w:ind w:left="-46"/>
        <w:rPr>
          <w:noProof/>
          <w:color w:val="010202"/>
          <w:szCs w:val="24"/>
        </w:rPr>
      </w:pPr>
      <w:r>
        <w:rPr>
          <w:noProof/>
          <w:color w:val="010202"/>
        </w:rPr>
        <w:t>Van alle niet-geassocieerde landen neemt Rusland momenteel wat het aantal deelnemers aan samenwerkingsprojecten van Horizon 2020 betreft, de 6e plaats in. Bovendien beoogt het werkprogramma van Horizon 2020 voor 2018-2020 de samenwerking met Rusland op gebieden van wederzijds belang en wederzijds voordeel te versterken. Afgezien van de algemene openheid van Horizon 2020 voor entiteiten uit de hele wereld, waaronder Rusland, zijn er twee belangrijke vlaggenschipinitiatieven voor bilaterale samenwerking met Rusland, inzake onderzoeksinfrastructuren en gezondheid, en een vlaggenschipinitiatief voor multilaterale samenwerking op het gebied van de luchtvaart dat ook op Rusland ziet.</w:t>
      </w:r>
    </w:p>
    <w:p>
      <w:pPr>
        <w:spacing w:before="0" w:after="0"/>
        <w:ind w:left="-46"/>
        <w:rPr>
          <w:noProof/>
        </w:rPr>
      </w:pPr>
    </w:p>
    <w:p>
      <w:pPr>
        <w:spacing w:before="0" w:after="0"/>
        <w:ind w:left="-46"/>
        <w:rPr>
          <w:noProof/>
        </w:rPr>
      </w:pPr>
      <w:r>
        <w:rPr>
          <w:noProof/>
        </w:rPr>
        <w:t xml:space="preserve">De verlenging van de Overeenkomst past binnen de aanpak van de EU die is gebaseerd op de vijf leidende beginselen voor het beheer van de huidige betrekkingen met Rusland, waarover de Raad Buitenlandse Zaken van de EU het op 14 maart 2016 eens is geworden en die op 16 april 2018 door de Raad Buitenlandse Zaken van de EU zijn bevestigd. Wetenschapsdiplomatie kan een krachtig instrument zijn in onze betrekkingen met Rusland, aangezien zij een positieve agenda voor samenwerking oplevert en een bron is van "soft power" die een bijzonder belangrijke rol kan spelen als katalysator voor het openen van communicatiekanalen en het wekken van vertrouwen tussen onze samenlevingen. De Overeenkomst vormt een kader om de intermenselijke contacten en WTI-samenwerking op gebieden die voor de EU van strategisch belang zijn in de komende jaren te verbeteren, en </w:t>
      </w:r>
      <w:r>
        <w:rPr>
          <w:noProof/>
        </w:rPr>
        <w:lastRenderedPageBreak/>
        <w:t xml:space="preserve">aldus de trend van afnemende wetenschappelijke samenwerking tussen Europese en Russische deelnemers om te buigen. Om deze redenen is het nuttig de Overeenkomst voor de volgende periode van vijf jaar te verlengen. </w:t>
      </w:r>
    </w:p>
    <w:p>
      <w:pPr>
        <w:spacing w:before="0" w:after="0"/>
        <w:ind w:left="-46"/>
        <w:rPr>
          <w:noProof/>
        </w:rPr>
      </w:pPr>
    </w:p>
    <w:p>
      <w:pPr>
        <w:pBdr>
          <w:top w:val="nil"/>
          <w:left w:val="nil"/>
          <w:bottom w:val="nil"/>
          <w:right w:val="nil"/>
          <w:between w:val="nil"/>
          <w:bar w:val="nil"/>
        </w:pBdr>
        <w:spacing w:before="0" w:after="240"/>
        <w:rPr>
          <w:noProof/>
        </w:rPr>
      </w:pPr>
      <w:r>
        <w:rPr>
          <w:noProof/>
        </w:rPr>
        <w:t>Tijdens de op 28 september 2018 te Moskou gehouden vergadering van het gezamenlijk comité EU-Rusland voor samenwerking op het gebied van wetenschap en technologie dat bij de Overeenkomst is ingesteld, hebben beide partijen hun voornemen kenbaar gemaakt om de Overeenkomst voor een nieuwe periode van vijf jaar ongewijzigd te verlengen, waarmee zij de vooruitgang erkennen die is geboekt bij de verbetering van de samenwerking tussen de EU en Rusland op het gebied van onderzoek en innovatie.</w:t>
      </w:r>
    </w:p>
    <w:p>
      <w:pPr>
        <w:spacing w:before="0" w:after="0"/>
        <w:rPr>
          <w:noProof/>
          <w:color w:val="010202"/>
          <w:szCs w:val="24"/>
        </w:rPr>
      </w:pPr>
      <w:r>
        <w:rPr>
          <w:noProof/>
        </w:rPr>
        <w:t>De inhoud van de verlengde Overeenkomst zal identiek zijn aan die van de huidige Overeenkomst, zoals besproken en overeengekomen met de Russische tegenpartij. Zij zal voor de EU geen nieuwe rechten en verplichtingen creëren, maar zal de tussen de partijen reeds bestaande rechtsregels inzake wetenschappelijke en technologische samenwerking verlengen.</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Dit initiatief is volledig in overeenstemming met de strategie voor internationale samenwerking van de EU op het gebied van onderzoek en innovatie</w:t>
      </w:r>
      <w:r>
        <w:rPr>
          <w:rStyle w:val="FootnoteReference"/>
          <w:noProof/>
        </w:rPr>
        <w:footnoteReference w:id="5"/>
      </w:r>
      <w:r>
        <w:rPr>
          <w:noProof/>
        </w:rPr>
        <w:t>, waarbij Rusland een strategische partner van de EU op het gebied van onderzoek en innovatie is. In de strategie van de EU wordt het belang van overeenkomsten op het gebied van wetenschap en technologie duidelijk onderstreept als instrument voor het vaststellen en uitvoeren van de meerjarige routekaarten voor samenwerking met derde landen. De Overeenkomst is ook een middel voor de uitvoering van de strategie voor internationale samenwerking van de EU op het gebied van onderzoek en innovatie, waarin de onderzoeks- en innovatiesector van de EU tot meer internationalisering en openheid wordt opgeroepen.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szCs w:val="24"/>
        </w:rPr>
      </w:pPr>
      <w:r>
        <w:rPr>
          <w:noProof/>
        </w:rPr>
        <w:t>In de algemene EU-strategie voor het buitenlands en veiligheidsbeleid wordt bevestigd dat samenwerking op het gebied van onderzoek een belangrijk aspect van het buitenlands beleid van de EU is en wordt samenwerking op het gebied van onderzoek beschouwd als een essentieel onderdeel van sterkere sociaaleconomische banden.</w:t>
      </w:r>
    </w:p>
    <w:p>
      <w:pPr>
        <w:pBdr>
          <w:top w:val="nil"/>
          <w:left w:val="nil"/>
          <w:bottom w:val="nil"/>
          <w:right w:val="nil"/>
          <w:between w:val="nil"/>
          <w:bar w:val="nil"/>
        </w:pBdr>
        <w:spacing w:before="0" w:after="240"/>
        <w:rPr>
          <w:noProof/>
        </w:rPr>
      </w:pPr>
      <w:r>
        <w:rPr>
          <w:noProof/>
        </w:rPr>
        <w:t>Het initiatief strookt met de leidende beginselen voor de huidige betrekkingen tussen de EU en Rusland, waarover de Raad Buitenlandse Zaken van de EU het op 14 maart 2016 eens is geworden en die op 16 april 2018 door de Raad Buitenlandse Zaken van de EU zijn bevestigd.</w:t>
      </w:r>
    </w:p>
    <w:p>
      <w:pPr>
        <w:pBdr>
          <w:top w:val="nil"/>
          <w:left w:val="nil"/>
          <w:bottom w:val="nil"/>
          <w:right w:val="nil"/>
          <w:between w:val="nil"/>
          <w:bar w:val="nil"/>
        </w:pBdr>
        <w:spacing w:before="0" w:after="240"/>
        <w:rPr>
          <w:noProof/>
        </w:rPr>
      </w:pPr>
      <w:r>
        <w:rPr>
          <w:noProof/>
        </w:rPr>
        <w:t>De Commissie zal erop toezien dat de uitvoering van deze verlengde Overeenkomst niet indruist tegen de beperkende maatregelen van de EU.</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De bevoegdheid van de EU om internationaal op te treden inzake onderzoek en technologische ontwikkeling is gebaseerd op artikel 186 VWEU. De procedurele rechtsgrondslag van dit voorstel is artikel 218, lid 6, tweede alinea, punt a), onder v), VWEU.</w:t>
      </w:r>
    </w:p>
    <w:p>
      <w:pPr>
        <w:pStyle w:val="ManualHeading2"/>
        <w:rPr>
          <w:rFonts w:eastAsia="Arial Unicode MS"/>
          <w:noProof/>
          <w:u w:color="000000"/>
          <w:bdr w:val="nil"/>
        </w:rPr>
      </w:pPr>
      <w:r>
        <w:rPr>
          <w:noProof/>
        </w:rPr>
        <w:lastRenderedPageBreak/>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szCs w:val="24"/>
        </w:rPr>
      </w:pPr>
      <w:r>
        <w:rPr>
          <w:noProof/>
        </w:rPr>
        <w:t>De EU en haar lidstaten hebben parallelle bevoegdheden op het gebied van onderzoek en technologische ontwikkeling, overeenkomstig artikel 4, lid 3, VWEU. Optreden van de EU kan derhalve niet worden vervangen door optreden van de lidstaten.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noProof/>
          <w:szCs w:val="24"/>
        </w:rPr>
      </w:pPr>
      <w:r>
        <w:rPr>
          <w:noProof/>
        </w:rPr>
        <w:t xml:space="preserve">Dit initiatief maakt geen deel uit van de Refit-agenda. </w:t>
      </w:r>
    </w:p>
    <w:p>
      <w:pPr>
        <w:pStyle w:val="ManualHeading1"/>
        <w:rPr>
          <w:noProof/>
          <w:szCs w:val="24"/>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Er zijn alleen personele en administratieve middelen nodig; deze zijn opgenomen in het financieel memorandum.</w:t>
      </w:r>
    </w:p>
    <w:p>
      <w:pPr>
        <w:pBdr>
          <w:top w:val="nil"/>
          <w:left w:val="nil"/>
          <w:bottom w:val="nil"/>
          <w:right w:val="nil"/>
          <w:between w:val="nil"/>
          <w:bar w:val="nil"/>
        </w:pBdr>
        <w:spacing w:before="0" w:after="240"/>
        <w:rPr>
          <w:noProof/>
          <w:szCs w:val="24"/>
        </w:rPr>
      </w:pPr>
      <w:r>
        <w:rPr>
          <w:noProof/>
        </w:rPr>
        <w:t xml:space="preserve">In het licht van bovenstaande overwegingen verzoekt de Commissie de Raad: </w:t>
      </w:r>
    </w:p>
    <w:p>
      <w:pPr>
        <w:pBdr>
          <w:top w:val="nil"/>
          <w:left w:val="nil"/>
          <w:bottom w:val="nil"/>
          <w:right w:val="nil"/>
          <w:between w:val="nil"/>
          <w:bar w:val="nil"/>
        </w:pBdr>
        <w:spacing w:before="0" w:after="240"/>
        <w:rPr>
          <w:rFonts w:eastAsia="Arial Unicode MS"/>
          <w:noProof/>
          <w:color w:val="008000"/>
          <w:szCs w:val="24"/>
        </w:rPr>
      </w:pPr>
      <w:r>
        <w:rPr>
          <w:noProof/>
        </w:rPr>
        <w:t>- namens de Unie, en met instemming van het Europees Parlement, de verlenging van de "Overeenkomst voor samenwerking op wetenschappelijk en technologisch gebied tussen de Europese Gemeenschap en de regering van de Russische Federatie" voor een nieuwe periode van vijf jaar (van 20 februari 2019 tot en met 19 februari 2024) goed te keuren;</w:t>
      </w:r>
    </w:p>
    <w:p>
      <w:pPr>
        <w:rPr>
          <w:noProof/>
          <w:szCs w:val="24"/>
        </w:rPr>
      </w:pPr>
      <w:r>
        <w:rPr>
          <w:noProof/>
        </w:rPr>
        <w:t>- de voorzitter van de Raad te machtigen, de persoon (personen) aan te wijzen die bevoegd is (zijn) om de regering van de Russische Federatie ervan in kennis te stellen dat de Unie de interne procedures, nodig voor de inwerkingtreding van deze verlengde Overeenkomst, heeft voltooid.</w:t>
      </w: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2019/0005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 xml:space="preserve">tot verlenging van de Overeenkomst voor samenwerking op wetenschappelijk en technologisch gebied tussen de Europese Gemeenschap en de regering van de Russische Federatie </w:t>
      </w:r>
    </w:p>
    <w:p>
      <w:pPr>
        <w:pStyle w:val="Institutionquiagit"/>
        <w:rPr>
          <w:noProof/>
        </w:rPr>
      </w:pPr>
      <w:r>
        <w:rPr>
          <w:noProof/>
        </w:rPr>
        <w:t>DE RAAD VAN DE EUROPESE UNIE,</w:t>
      </w:r>
    </w:p>
    <w:p>
      <w:pPr>
        <w:rPr>
          <w:noProof/>
          <w:sz w:val="23"/>
          <w:szCs w:val="23"/>
        </w:rPr>
      </w:pPr>
      <w:r>
        <w:rPr>
          <w:noProof/>
        </w:rPr>
        <w:t>Gezien het Verdrag betreffende de werking van de Europese Unie, en met name artikel 186, in samenhang met artikel 218, lid 6, onder a),</w:t>
      </w:r>
    </w:p>
    <w:p>
      <w:pPr>
        <w:rPr>
          <w:noProof/>
        </w:rPr>
      </w:pPr>
      <w:r>
        <w:rPr>
          <w:noProof/>
        </w:rPr>
        <w:t>Gezien het voorstel van de Europese Commissie,</w:t>
      </w:r>
    </w:p>
    <w:p>
      <w:pPr>
        <w:rPr>
          <w:noProof/>
        </w:rPr>
      </w:pPr>
      <w:r>
        <w:rPr>
          <w:noProof/>
        </w:rPr>
        <w:t>Gezien de goedkeuring door het Europees Parlement,</w:t>
      </w:r>
    </w:p>
    <w:p>
      <w:pPr>
        <w:rPr>
          <w:noProof/>
        </w:rPr>
      </w:pPr>
      <w:r>
        <w:rPr>
          <w:noProof/>
        </w:rPr>
        <w:t>Overwegende hetgeen volgt:</w:t>
      </w:r>
    </w:p>
    <w:p>
      <w:pPr>
        <w:pStyle w:val="ManualConsidrant"/>
        <w:rPr>
          <w:noProof/>
        </w:rPr>
      </w:pPr>
      <w:r>
        <w:rPr>
          <w:noProof/>
        </w:rPr>
        <w:t>(1)</w:t>
      </w:r>
      <w:r>
        <w:rPr>
          <w:noProof/>
        </w:rPr>
        <w:tab/>
        <w:t>Bij Besluit 2000/742/EG</w:t>
      </w:r>
      <w:r>
        <w:rPr>
          <w:rStyle w:val="FootnoteReference"/>
          <w:noProof/>
        </w:rPr>
        <w:footnoteReference w:id="6"/>
      </w:r>
      <w:r>
        <w:rPr>
          <w:noProof/>
        </w:rPr>
        <w:t xml:space="preserve"> heeft de Raad zijn goedkeuring gehecht aan de sluiting van de Overeenkomst voor samenwerking op wetenschappelijk en technologisch gebied tussen de Europese Gemeenschap en de regering van de Russische Federatie ("de Overeenkomst"). De Overeenkomst is op 16 november 2000 in Brussel ondertekend en op 10 mei 2001 in werking getreden.</w:t>
      </w:r>
    </w:p>
    <w:p>
      <w:pPr>
        <w:pStyle w:val="ManualConsidrant"/>
        <w:rPr>
          <w:noProof/>
        </w:rPr>
      </w:pPr>
      <w:r>
        <w:rPr>
          <w:noProof/>
        </w:rPr>
        <w:t>(2)</w:t>
      </w:r>
      <w:r>
        <w:rPr>
          <w:noProof/>
        </w:rPr>
        <w:tab/>
        <w:t xml:space="preserve">Overeenkomstig artikel 12, punt b), van de Overeenkomst kan de Overeenkomst – die aanvankelijk was gesloten tot en met 31 december 2002 – met instemming van beide partijen telkens met vijf jaar worden verlengd. </w:t>
      </w:r>
    </w:p>
    <w:p>
      <w:pPr>
        <w:pStyle w:val="ManualConsidrant"/>
        <w:rPr>
          <w:noProof/>
        </w:rPr>
      </w:pPr>
      <w:r>
        <w:rPr>
          <w:noProof/>
        </w:rPr>
        <w:t>(3)</w:t>
      </w:r>
      <w:r>
        <w:rPr>
          <w:noProof/>
        </w:rPr>
        <w:tab/>
        <w:t>Bij de Besluiten 2003/798/EG</w:t>
      </w:r>
      <w:r>
        <w:rPr>
          <w:rStyle w:val="FootnoteReference"/>
          <w:noProof/>
        </w:rPr>
        <w:footnoteReference w:id="7"/>
      </w:r>
      <w:r>
        <w:rPr>
          <w:noProof/>
        </w:rPr>
        <w:t>, 2009/313/EG</w:t>
      </w:r>
      <w:r>
        <w:rPr>
          <w:rStyle w:val="FootnoteReference"/>
          <w:noProof/>
        </w:rPr>
        <w:footnoteReference w:id="8"/>
      </w:r>
      <w:r>
        <w:rPr>
          <w:noProof/>
        </w:rPr>
        <w:t xml:space="preserve"> en 2014/50/EU</w:t>
      </w:r>
      <w:r>
        <w:rPr>
          <w:rStyle w:val="FootnoteReference"/>
          <w:noProof/>
        </w:rPr>
        <w:footnoteReference w:id="9"/>
      </w:r>
      <w:r>
        <w:rPr>
          <w:noProof/>
        </w:rPr>
        <w:t xml:space="preserve"> heeft de Raad de verlenging van de Overeenkomst telkens voor een nieuwe periode van vijf jaar goedgekeurd. De huidige Overeenkomst loopt af op 20 februari 2019. </w:t>
      </w:r>
    </w:p>
    <w:p>
      <w:pPr>
        <w:pStyle w:val="ManualConsidrant"/>
        <w:rPr>
          <w:rFonts w:eastAsia="Times New Roman"/>
          <w:noProof/>
          <w:color w:val="000000"/>
        </w:rPr>
      </w:pPr>
      <w:r>
        <w:rPr>
          <w:noProof/>
        </w:rPr>
        <w:t>(4)</w:t>
      </w:r>
      <w:r>
        <w:rPr>
          <w:noProof/>
        </w:rPr>
        <w:tab/>
        <w:t>Beide partijen hebben hun voornemen bevestigd om de Overeenkomst zonder enige wijziging voor een nieuwe periode van vijf jaar te verlengen.</w:t>
      </w:r>
      <w:r>
        <w:rPr>
          <w:noProof/>
          <w:color w:val="000000"/>
        </w:rPr>
        <w:t xml:space="preserve"> </w:t>
      </w:r>
    </w:p>
    <w:p>
      <w:pPr>
        <w:pStyle w:val="ManualConsidrant"/>
        <w:rPr>
          <w:rFonts w:eastAsia="Times New Roman"/>
          <w:noProof/>
          <w:color w:val="000000"/>
        </w:rPr>
      </w:pPr>
      <w:r>
        <w:rPr>
          <w:noProof/>
        </w:rPr>
        <w:t>(5)</w:t>
      </w:r>
      <w:r>
        <w:rPr>
          <w:noProof/>
        </w:rPr>
        <w:tab/>
      </w:r>
      <w:r>
        <w:rPr>
          <w:noProof/>
          <w:color w:val="000000"/>
        </w:rPr>
        <w:t>Activiteiten in het kader van de Overeenkomst moeten de voorwaarden en procedures in de beperkende maatregelen uit hoofde van artikel 215 VWEU</w:t>
      </w:r>
      <w:r>
        <w:rPr>
          <w:rStyle w:val="FootnoteReference"/>
          <w:noProof/>
        </w:rPr>
        <w:footnoteReference w:id="10"/>
      </w:r>
      <w:r>
        <w:rPr>
          <w:noProof/>
          <w:color w:val="000000"/>
        </w:rPr>
        <w:t xml:space="preserve"> strikt volgen.</w:t>
      </w:r>
    </w:p>
    <w:p>
      <w:pPr>
        <w:pStyle w:val="ManualConsidrant"/>
        <w:rPr>
          <w:noProof/>
        </w:rPr>
      </w:pPr>
      <w:r>
        <w:rPr>
          <w:noProof/>
        </w:rPr>
        <w:lastRenderedPageBreak/>
        <w:t>(6)</w:t>
      </w:r>
      <w:r>
        <w:rPr>
          <w:noProof/>
        </w:rPr>
        <w:tab/>
        <w:t xml:space="preserve">De verlenging van de overeenkomst moet namens de Europese Unie worden goedgekeurd, </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color w:val="0000FF"/>
        </w:rPr>
      </w:pPr>
      <w:r>
        <w:rPr>
          <w:noProof/>
          <w:sz w:val="23"/>
        </w:rPr>
        <w:t>De verlenging van de Overeenkomst voor samenwerking op wetenschappelijk en technologisch gebied tussen de Europese Gemeenschap en de regering van de Russische Federatie, voor een nieuwe periode van vijf jaar, wordt namens de Unie goedgekeurd.</w:t>
      </w:r>
    </w:p>
    <w:p>
      <w:pPr>
        <w:pStyle w:val="Titrearticle"/>
        <w:keepNext w:val="0"/>
        <w:rPr>
          <w:noProof/>
        </w:rPr>
      </w:pPr>
      <w:r>
        <w:rPr>
          <w:noProof/>
        </w:rPr>
        <w:t>Artikel 2</w:t>
      </w:r>
    </w:p>
    <w:p>
      <w:pPr>
        <w:rPr>
          <w:noProof/>
          <w:szCs w:val="24"/>
        </w:rPr>
      </w:pPr>
      <w:r>
        <w:rPr>
          <w:noProof/>
        </w:rPr>
        <w:t>De voorzitter van de Raad wijst de persoon (personen) aan die bevoegd is (zijn) om de regering van de Russische Federatie namens de Unie ervan in kennis te stellen dat de Unie haar interne procedures, nodig voor de verlenging van de Overeenkomst overeenkomstig artikel 12, punt b), van de Overeenkomst, heeft voltooid.</w:t>
      </w:r>
      <w:r>
        <w:rPr>
          <w:noProof/>
          <w:sz w:val="23"/>
        </w:rPr>
        <w:t xml:space="preserve">  </w:t>
      </w:r>
    </w:p>
    <w:p>
      <w:pPr>
        <w:pStyle w:val="Titrearticle"/>
        <w:keepNext w:val="0"/>
        <w:rPr>
          <w:noProof/>
        </w:rPr>
      </w:pPr>
      <w:r>
        <w:rPr>
          <w:noProof/>
        </w:rPr>
        <w:t>Artikel 3</w:t>
      </w:r>
    </w:p>
    <w:p>
      <w:pPr>
        <w:rPr>
          <w:noProof/>
        </w:rPr>
      </w:pPr>
      <w:r>
        <w:rPr>
          <w:noProof/>
          <w:sz w:val="23"/>
        </w:rPr>
        <w:t>Dit besluit treedt in werking op de datum van de vaststelling ervan.</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lastRenderedPageBreak/>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besluit van de Raad tot verlenging van de Overeenkomst voor samenwerking op wetenschappelijk en technologisch gebied tussen de Europese Gemeenschap en de regering van de Russische Federatie</w:t>
      </w:r>
    </w:p>
    <w:p>
      <w:pPr>
        <w:pStyle w:val="ManualHeading2"/>
        <w:rPr>
          <w:noProof/>
          <w:szCs w:val="24"/>
        </w:rPr>
      </w:pPr>
      <w:r>
        <w:rPr>
          <w:noProof/>
        </w:rPr>
        <w:t>1.2.</w:t>
      </w:r>
      <w:r>
        <w:rPr>
          <w:noProof/>
        </w:rPr>
        <w:tab/>
        <w:t>Betrokken beleidsterrein(en) in de ABM/ABB-structuur</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rPr>
        <w:t>Beleidsstrategie en -coördinatie van met name de directoraten-generaal</w:t>
      </w:r>
      <w:r>
        <w:rPr>
          <w:rStyle w:val="FootnoteReference"/>
          <w:noProof/>
          <w:sz w:val="23"/>
        </w:rPr>
        <w:footnoteReference w:id="12"/>
      </w:r>
      <w:r>
        <w:rPr>
          <w:noProof/>
          <w:sz w:val="23"/>
        </w:rPr>
        <w:t xml:space="preserve"> RTD, AGRI, CLIMA, JRC, EAC, ENER, GROW, CNECT, MARE en MOVE.</w:t>
      </w:r>
    </w:p>
    <w:p>
      <w:pPr>
        <w:pStyle w:val="ManualHeading2"/>
        <w:rPr>
          <w:bCs/>
          <w:noProof/>
        </w:rPr>
      </w:pPr>
      <w:r>
        <w:rPr>
          <w:noProof/>
        </w:rPr>
        <w:t>1.3.</w:t>
      </w:r>
      <w:r>
        <w:rPr>
          <w:noProof/>
        </w:rPr>
        <w:tab/>
        <w:t>Aard van het voorstel/initiatief</w:t>
      </w:r>
    </w:p>
    <w:p>
      <w:pPr>
        <w:pStyle w:val="Text1"/>
        <w:rPr>
          <w:noProof/>
        </w:rPr>
      </w:pPr>
      <w:r>
        <w:rPr>
          <w:noProof/>
          <w:sz w:val="22"/>
        </w:rPr>
        <w:sym w:font="Wingdings" w:char="F0A8"/>
      </w:r>
      <w:r>
        <w:rPr>
          <w:noProof/>
          <w:sz w:val="22"/>
        </w:rPr>
        <w:t xml:space="preserve"> </w:t>
      </w:r>
      <w:r>
        <w:rPr>
          <w:noProof/>
        </w:rPr>
        <w:t xml:space="preserve">Het voorstel/initiatief betreft </w:t>
      </w:r>
      <w:r>
        <w:rPr>
          <w:b/>
          <w:noProof/>
        </w:rPr>
        <w:t>een nieuwe actie</w:t>
      </w:r>
      <w:r>
        <w:rPr>
          <w:noProof/>
        </w:rPr>
        <w:t xml:space="preserve"> </w:t>
      </w:r>
    </w:p>
    <w:p>
      <w:pPr>
        <w:pStyle w:val="Text1"/>
        <w:rPr>
          <w:b/>
          <w:noProof/>
        </w:rPr>
      </w:pPr>
      <w:r>
        <w:rPr>
          <w:noProof/>
          <w:sz w:val="22"/>
        </w:rPr>
        <w:sym w:font="Wingdings" w:char="F0A8"/>
      </w:r>
      <w:r>
        <w:rPr>
          <w:noProof/>
          <w:sz w:val="22"/>
        </w:rPr>
        <w:t xml:space="preserve"> </w:t>
      </w:r>
      <w:r>
        <w:rPr>
          <w:noProof/>
        </w:rPr>
        <w:t xml:space="preserve">Het voorstel/initiatief betreft </w:t>
      </w:r>
      <w:r>
        <w:rPr>
          <w:b/>
          <w:noProof/>
        </w:rPr>
        <w:t xml:space="preserve">een nieuwe actie na een proefproject/een voorbereidende actie  </w:t>
      </w:r>
    </w:p>
    <w:p>
      <w:pPr>
        <w:pStyle w:val="Text1"/>
        <w:rPr>
          <w:noProof/>
        </w:rPr>
      </w:pPr>
      <w:r>
        <w:rPr>
          <w:noProof/>
          <w:sz w:val="22"/>
        </w:rPr>
        <w:sym w:font="Wingdings" w:char="F0FE"/>
      </w:r>
      <w:r>
        <w:rPr>
          <w:i/>
          <w:noProof/>
          <w:sz w:val="22"/>
        </w:rPr>
        <w:t xml:space="preserve"> </w:t>
      </w:r>
      <w:r>
        <w:rPr>
          <w:noProof/>
        </w:rPr>
        <w:t xml:space="preserve">Het voorstel/initiatief betreft </w:t>
      </w:r>
      <w:r>
        <w:rPr>
          <w:b/>
          <w:noProof/>
        </w:rPr>
        <w:t>de verlenging van een bestaande actie</w:t>
      </w:r>
      <w:r>
        <w:rPr>
          <w:noProof/>
        </w:rPr>
        <w:t xml:space="preserve"> </w:t>
      </w:r>
    </w:p>
    <w:p>
      <w:pPr>
        <w:pStyle w:val="Text1"/>
        <w:rPr>
          <w:noProof/>
        </w:rPr>
      </w:pPr>
      <w:r>
        <w:rPr>
          <w:noProof/>
          <w:sz w:val="22"/>
        </w:rPr>
        <w:sym w:font="Wingdings" w:char="F0A8"/>
      </w:r>
      <w:r>
        <w:rPr>
          <w:noProof/>
        </w:rPr>
        <w:t xml:space="preserve">Het voorstel/initiatief betreft </w:t>
      </w:r>
      <w:r>
        <w:rPr>
          <w:b/>
          <w:noProof/>
        </w:rPr>
        <w:t>een actie die wordt omgebogen naar een nieuwe actie</w:t>
      </w:r>
    </w:p>
    <w:p>
      <w:pPr>
        <w:pStyle w:val="ManualHeading2"/>
        <w:rPr>
          <w:bCs/>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sz w:val="23"/>
        </w:rPr>
        <w:t>Dit besluit stelt beide partijen in staat hun samenwerking op wetenschappelijke en technologische gebieden van gemeenschappelijk belang te verbeteren en te intensiveren.</w:t>
      </w:r>
    </w:p>
    <w:p>
      <w:pPr>
        <w:pStyle w:val="ManualHeading3"/>
        <w:rPr>
          <w:bCs/>
          <w:noProof/>
          <w:szCs w:val="24"/>
        </w:rPr>
      </w:pPr>
      <w:r>
        <w:rPr>
          <w:noProof/>
        </w:rPr>
        <w:t>1.4.2.</w:t>
      </w:r>
      <w:r>
        <w:rPr>
          <w:noProof/>
        </w:rPr>
        <w:tab/>
        <w:t xml:space="preserve">Specifieke doelstelling(en) en betrokken ABM/ABB-activiteit(en)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Specifieke doelstelling nr. 4.1</w:t>
      </w:r>
    </w:p>
    <w:p>
      <w:pPr>
        <w:pStyle w:val="Text1"/>
        <w:pBdr>
          <w:top w:val="single" w:sz="4" w:space="1" w:color="auto"/>
          <w:left w:val="single" w:sz="4" w:space="4" w:color="auto"/>
          <w:bottom w:val="single" w:sz="4" w:space="1" w:color="auto"/>
          <w:right w:val="single" w:sz="4" w:space="3" w:color="auto"/>
        </w:pBdr>
        <w:rPr>
          <w:noProof/>
          <w:szCs w:val="24"/>
        </w:rPr>
      </w:pPr>
      <w:r>
        <w:rPr>
          <w:noProof/>
        </w:rPr>
        <w:t>Dit besluit zal beide partijen in staat stellen om de samenwerking te intensiveren en een meer strategisch partnerschap te ontwikkelen door de omvang en de reikwijdte van de bestaande samenwerking uit te breiden, mondiale uitdagingen aan te pakken door wederzijdse toegang tot programma's en financiering te bevorderen.</w:t>
      </w:r>
      <w:r>
        <w:rPr>
          <w:noProof/>
          <w:sz w:val="23"/>
        </w:rPr>
        <w:t xml:space="preserve">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r>
      <w:r>
        <w:rPr>
          <w:noProof/>
        </w:rPr>
        <w:lastRenderedPageBreak/>
        <w:t>1.4.3.</w:t>
      </w:r>
      <w:r>
        <w:rPr>
          <w:noProof/>
        </w:rPr>
        <w:tab/>
        <w:t>Verwacht(e) resulta(a)t(en) en gevolg(en)</w:t>
      </w:r>
    </w:p>
    <w:p>
      <w:pPr>
        <w:pStyle w:val="Text1"/>
        <w:rPr>
          <w:i/>
          <w:noProof/>
          <w:sz w:val="20"/>
        </w:rPr>
      </w:pPr>
      <w:r>
        <w:rPr>
          <w:i/>
          <w:noProof/>
          <w:sz w:val="20"/>
        </w:rPr>
        <w:t>Vermeld de gevolgen die het voorstel/initiatief zou moeten hebben voor de begunstigden/doelgroepen.</w:t>
      </w:r>
    </w:p>
    <w:p>
      <w:pPr>
        <w:pStyle w:val="Text1"/>
        <w:pBdr>
          <w:top w:val="single" w:sz="4" w:space="1" w:color="auto"/>
          <w:left w:val="single" w:sz="4" w:space="4" w:color="auto"/>
          <w:bottom w:val="single" w:sz="4" w:space="1" w:color="auto"/>
          <w:right w:val="single" w:sz="4" w:space="4" w:color="auto"/>
        </w:pBdr>
        <w:rPr>
          <w:noProof/>
          <w:szCs w:val="24"/>
        </w:rPr>
      </w:pPr>
      <w:r>
        <w:rPr>
          <w:noProof/>
        </w:rPr>
        <w:t>Dit besluit zal zowel de Unie als Rusland in staat stellen wederzijds voordeel te halen uit de wetenschappelijke en technische vooruitgang die tot stand komt door bestaande samenwerkingsactiviteiten. Het zal de uitwisseling van specifieke kennis en de overdracht van knowhow mogelijk maken ten voordele van de wetenschappelijke gemeenschap, het bedrijfsleven en de burgers van beide partijen.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szCs w:val="24"/>
        </w:rPr>
      </w:pPr>
      <w:r>
        <w:rPr>
          <w:noProof/>
        </w:rPr>
        <w:t>De Commissie houdt regelmatig toezicht op alle in het kader van de overeenkomst uitgevoerde acties, met inbegrip van samenwerkingsactiviteiten. Deze evaluatie omvat onder andere de volgende punten:</w:t>
      </w:r>
    </w:p>
    <w:p>
      <w:pPr>
        <w:pStyle w:val="Text1"/>
        <w:pBdr>
          <w:top w:val="single" w:sz="4" w:space="1" w:color="auto"/>
          <w:left w:val="single" w:sz="4" w:space="4" w:color="auto"/>
          <w:bottom w:val="single" w:sz="4" w:space="1" w:color="auto"/>
          <w:right w:val="single" w:sz="4" w:space="4" w:color="auto"/>
        </w:pBdr>
        <w:rPr>
          <w:noProof/>
          <w:szCs w:val="24"/>
        </w:rPr>
      </w:pPr>
      <w:r>
        <w:rPr>
          <w:noProof/>
        </w:rPr>
        <w:t>a) samenwerkingsindicatoren — analyse van het aantal en het type deelnames van Russische entiteiten aan door de EU gefinancierde programma's (bv. aantal voorstellen, aantal ondertekende subsidieovereenkomsten, de belangrijkste samenwerkingsverbanden, de belangrijkste thema's, gegenereerde output) en vice versa (voor zover de gegevens beschikbaar zijn);</w:t>
      </w:r>
    </w:p>
    <w:p>
      <w:pPr>
        <w:pStyle w:val="Text1"/>
        <w:pBdr>
          <w:top w:val="single" w:sz="4" w:space="1" w:color="auto"/>
          <w:left w:val="single" w:sz="4" w:space="4" w:color="auto"/>
          <w:bottom w:val="single" w:sz="4" w:space="1" w:color="auto"/>
          <w:right w:val="single" w:sz="4" w:space="4" w:color="auto"/>
        </w:pBdr>
        <w:rPr>
          <w:noProof/>
          <w:szCs w:val="24"/>
        </w:rPr>
      </w:pPr>
      <w:r>
        <w:rPr>
          <w:noProof/>
        </w:rPr>
        <w:t>b) prestatie-indicatoren — succespercentage van Russische entiteiten die deelnemen aan de EU-kaderprogramma's voor onderzoek in vergelijking met andere derde landen en lidstaten/geassocieerde landen; analyse van de kwaliteit van de deelname (bijv. aantal best gerangschikte universiteiten die aan het programma deelnemen, aantal octrooien en publicaties die het resultaat zijn van samenwerkingsprojecten);</w:t>
      </w:r>
    </w:p>
    <w:p>
      <w:pPr>
        <w:pStyle w:val="Text1"/>
        <w:pBdr>
          <w:top w:val="single" w:sz="4" w:space="1" w:color="auto"/>
          <w:left w:val="single" w:sz="4" w:space="4" w:color="auto"/>
          <w:bottom w:val="single" w:sz="4" w:space="1" w:color="auto"/>
          <w:right w:val="single" w:sz="4" w:space="4" w:color="auto"/>
        </w:pBdr>
        <w:rPr>
          <w:noProof/>
          <w:szCs w:val="24"/>
        </w:rPr>
      </w:pPr>
      <w:r>
        <w:rPr>
          <w:noProof/>
        </w:rPr>
        <w:t>c) verzameling van gegevens over samenwerkingsactiviteiten en over relaties die de respectieve financieringsprogramma's voor onderzoek overstijgen, alsmede de beoordeling van het effect van deze activiteiten, zoals deelname aan multilaterale initiatieven en werkgroepen.</w:t>
      </w:r>
    </w:p>
    <w:p>
      <w:pPr>
        <w:pStyle w:val="ManualHeading2"/>
        <w:rPr>
          <w:bCs/>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szCs w:val="24"/>
        </w:rPr>
      </w:pPr>
      <w:r>
        <w:rPr>
          <w:noProof/>
        </w:rPr>
        <w:t>Dit besluit zal de twee partijen in staat stellen hun samenwerking op wetenschappelijke en technologische gebieden tot voordeel van beide partijen te blijven verbeteren en intensiveren.</w:t>
      </w:r>
    </w:p>
    <w:p>
      <w:pPr>
        <w:pStyle w:val="ManualHeading3"/>
        <w:rPr>
          <w:bCs/>
          <w:noProof/>
          <w:szCs w:val="24"/>
        </w:rPr>
      </w:pPr>
      <w:r>
        <w:rPr>
          <w:noProof/>
        </w:rPr>
        <w:t>1.5.2.</w:t>
      </w:r>
      <w:r>
        <w:rPr>
          <w:noProof/>
        </w:rPr>
        <w:tab/>
        <w:t>Toegevoegde waarde van de deelname van de EU</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De samenwerking op het gebied van onderzoek en innovatie tussen de EU en de Russische Federatie is de afgelopen jaren steeds intensiever geworden. De deelname van de EU maakt activiteiten met een grotere omvang en reikwijdte mogelijk ten voordele van alle lidstaten. Door de verlenging van deze Overeenkomst zal de EU gemakkelijker toegang krijgen tot in de Russische Federatie gegenereerde wetenschappelijke kennis en zal zij kunnen deelnemen aan meer samenwerkingsactiviteiten die zullen leiden tot bijkomende uitwisseling van kennis en technologieën. </w:t>
      </w:r>
    </w:p>
    <w:p>
      <w:pPr>
        <w:pStyle w:val="ManualHeading3"/>
        <w:rPr>
          <w:bCs/>
          <w:noProof/>
          <w:szCs w:val="24"/>
        </w:rPr>
      </w:pPr>
      <w:r>
        <w:rPr>
          <w:noProof/>
        </w:rPr>
        <w:lastRenderedPageBreak/>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szCs w:val="24"/>
        </w:rPr>
      </w:pPr>
      <w:r>
        <w:rPr>
          <w:noProof/>
        </w:rPr>
        <w:t>Op basis van de ervaringen tot nu toe op het gebied van wetenschappelijke en technologische samenwerking wordt het van wederzijds belang geacht deze samenwerking met de Russische Federatie als strategische partner van de EU in onderzoek en innovatie voort te zetten.</w:t>
      </w:r>
    </w:p>
    <w:p>
      <w:pPr>
        <w:pStyle w:val="ManualHeading3"/>
        <w:rPr>
          <w:bCs/>
          <w:noProof/>
          <w:szCs w:val="24"/>
        </w:rPr>
      </w:pPr>
      <w:r>
        <w:rPr>
          <w:noProof/>
        </w:rPr>
        <w:t>1.5.4.</w:t>
      </w:r>
      <w:r>
        <w:rPr>
          <w:noProof/>
        </w:rPr>
        <w:tab/>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De verlenging van de overeenkomst met de Russische Federatie wordt geacht volledig in overeenstemming te zijn met het algemene beleidskader voor internationale samenwerking op het gebied van onderzoek en innovatie (COM(2012) 497). </w:t>
      </w:r>
    </w:p>
    <w:p>
      <w:pPr>
        <w:pStyle w:val="ManualHeading2"/>
        <w:rPr>
          <w:bCs/>
          <w:noProof/>
          <w:szCs w:val="24"/>
        </w:rPr>
      </w:pPr>
      <w:r>
        <w:rPr>
          <w:noProof/>
        </w:rPr>
        <w:br w:type="page"/>
      </w:r>
      <w:r>
        <w:rPr>
          <w:noProof/>
        </w:rPr>
        <w:lastRenderedPageBreak/>
        <w:t>1.6.</w:t>
      </w:r>
      <w:r>
        <w:rPr>
          <w:noProof/>
        </w:rPr>
        <w:tab/>
        <w:t xml:space="preserve">Duur en financiële gevolgen </w:t>
      </w:r>
    </w:p>
    <w:p>
      <w:pPr>
        <w:pStyle w:val="Text1"/>
        <w:rPr>
          <w:noProof/>
        </w:rPr>
      </w:pPr>
      <w:r>
        <w:rPr>
          <w:noProof/>
        </w:rPr>
        <w:sym w:font="Wingdings" w:char="F0FE"/>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FE"/>
      </w:r>
      <w:r>
        <w:rPr>
          <w:noProof/>
        </w:rPr>
        <w:tab/>
        <w:t>Voorstel/initiatief is van kracht vanaf 20.2.2019 tot en met 19.2.2024</w:t>
      </w:r>
    </w:p>
    <w:p>
      <w:pPr>
        <w:pStyle w:val="ListDash2"/>
        <w:rPr>
          <w:noProof/>
        </w:rPr>
      </w:pPr>
      <w:r>
        <w:rPr>
          <w:noProof/>
        </w:rPr>
        <w:sym w:font="Wingdings" w:char="F0FE"/>
      </w:r>
      <w:r>
        <w:rPr>
          <w:noProof/>
        </w:rPr>
        <w:tab/>
        <w:t>Financiële gevolgen vanaf 20.2.2019 tot en met 19.2.2024</w:t>
      </w:r>
    </w:p>
    <w:p>
      <w:pPr>
        <w:pStyle w:val="Text1"/>
        <w:rPr>
          <w:noProof/>
        </w:rPr>
      </w:pPr>
      <w:r>
        <w:rPr>
          <w:noProof/>
        </w:rPr>
        <w:sym w:font="Wingdings" w:char="F0A8"/>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rPr>
          <w:noProof/>
        </w:rPr>
        <w:t>1.7.</w:t>
      </w:r>
      <w:r>
        <w:rPr>
          <w:noProof/>
        </w:rPr>
        <w:tab/>
        <w:t>Beheersvorm(en)</w:t>
      </w:r>
      <w:r>
        <w:rPr>
          <w:rStyle w:val="FootnoteReference"/>
          <w:noProof/>
        </w:rPr>
        <w:footnoteReference w:id="13"/>
      </w:r>
      <w:r>
        <w:rPr>
          <w:rStyle w:val="FootnoteReference"/>
          <w:noProof/>
        </w:rPr>
        <w:t xml:space="preserve"> </w:t>
      </w:r>
    </w:p>
    <w:p>
      <w:pPr>
        <w:pStyle w:val="Text1"/>
        <w:rPr>
          <w:noProof/>
        </w:rPr>
      </w:pPr>
      <w:r>
        <w:rPr>
          <w:noProof/>
        </w:rPr>
        <w:sym w:font="Wingdings" w:char="F0FE"/>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deelname van Russische entiteiten aan het kaderprogramma voor onderzoek en innovatie en andere samenwerkingsactiviteiten uit hoofde van de Overeenkomst zullen regelmatig worden opgevolgd in het kader van de vergaderingen van het in artikel 6, onder a), van de Overeenkomst bedoelde gezamenlijk comité.</w:t>
      </w:r>
    </w:p>
    <w:p>
      <w:pPr>
        <w:pStyle w:val="ManualHeading2"/>
        <w:rPr>
          <w:bCs/>
          <w:noProof/>
          <w:szCs w:val="24"/>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rPr>
          <w:noProof/>
          <w:szCs w:val="24"/>
        </w:rPr>
      </w:pPr>
      <w:r>
        <w:rPr>
          <w:noProof/>
        </w:rPr>
        <w:t>Regelmatig vinden er vergaderingen plaats en zijn er bilaterale contacten, zodat systematische uitwisseling van informatie en controle mogelijk is. Er zijn in het controlesysteem geen risico's geconstateerd.</w:t>
      </w:r>
    </w:p>
    <w:p>
      <w:pPr>
        <w:pStyle w:val="ManualHeading3"/>
        <w:rPr>
          <w:bCs/>
          <w:noProof/>
          <w:szCs w:val="24"/>
        </w:rPr>
      </w:pPr>
      <w:r>
        <w:rPr>
          <w:noProof/>
        </w:rPr>
        <w:t>2.2.2.</w:t>
      </w:r>
      <w:r>
        <w:rPr>
          <w:noProof/>
        </w:rPr>
        <w:tab/>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of geplande preventie- en beschermingsmaatregelen.</w:t>
      </w:r>
    </w:p>
    <w:p>
      <w:pPr>
        <w:pStyle w:val="Text1"/>
        <w:pBdr>
          <w:top w:val="single" w:sz="4" w:space="1" w:color="auto"/>
          <w:left w:val="single" w:sz="4" w:space="4" w:color="auto"/>
          <w:bottom w:val="single" w:sz="4" w:space="1" w:color="auto"/>
          <w:right w:val="single" w:sz="4" w:space="4" w:color="auto"/>
        </w:pBdr>
        <w:rPr>
          <w:noProof/>
          <w:szCs w:val="24"/>
        </w:rPr>
      </w:pPr>
      <w:r>
        <w:rPr>
          <w:noProof/>
        </w:rPr>
        <w:t>Wanneer voor de uitvoering van het kaderprogramma externe contractanten moeten worden gebruikt of financiële bijdragen aan derden moeten worden verstrekt, zal de Commissie waar nodig financiële controles uitvoeren, met name wanneer zij redenen heeft om te twijfelen aan de realistische aard van de uitgevoerde of in de activiteitenrapporten beschreven werkzaamheden.</w:t>
      </w:r>
    </w:p>
    <w:p>
      <w:pPr>
        <w:pStyle w:val="Text1"/>
        <w:pBdr>
          <w:top w:val="single" w:sz="4" w:space="1" w:color="auto"/>
          <w:left w:val="single" w:sz="4" w:space="4" w:color="auto"/>
          <w:bottom w:val="single" w:sz="4" w:space="1" w:color="auto"/>
          <w:right w:val="single" w:sz="4" w:space="4" w:color="auto"/>
        </w:pBdr>
        <w:rPr>
          <w:noProof/>
          <w:szCs w:val="24"/>
        </w:rPr>
      </w:pPr>
      <w:r>
        <w:rPr>
          <w:noProof/>
        </w:rPr>
        <w:t>De financiële controles van de Unie worden uitgevoerd door eigen personeel of door boekhouddeskundigen die erkend zijn volgens de wetgeving van de gecontroleerde partij. De Unie kiest deze laatsten vrij, maar vermijdt het risico van belangenconflicten die haar door de gecontroleerde partij kunnen worden meegedeeld. Bovendien ziet de Commissie er bij het uitvoeren van de onderzoeksactiviteiten op toe dat de financiële belangen van de Unie worden beschermd door effectieve controles en, als onregelmatigheden worden ontdekt, door afschrikkende en evenredige maatregelen en sancties.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Om deze doelstelling te verwezenlijken, zullen in alle bij de uitvoering van het kaderprogramma gebruikte contracten regels in verband met controles, maatregelen en sancties worden opgenomen, onder verwijzing naar de Verordeningen nrs. 2988/95, 2185/96 en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Met name moet in de contracten in de volgende punten worden voorzien:</w:t>
      </w:r>
    </w:p>
    <w:p>
      <w:pPr>
        <w:pStyle w:val="Text1"/>
        <w:pBdr>
          <w:top w:val="single" w:sz="4" w:space="1" w:color="auto"/>
          <w:left w:val="single" w:sz="4" w:space="4" w:color="auto"/>
          <w:bottom w:val="single" w:sz="4" w:space="1" w:color="auto"/>
          <w:right w:val="single" w:sz="4" w:space="4" w:color="auto"/>
        </w:pBdr>
        <w:rPr>
          <w:noProof/>
          <w:szCs w:val="24"/>
        </w:rPr>
      </w:pPr>
      <w:r>
        <w:rPr>
          <w:noProof/>
        </w:rPr>
        <w:lastRenderedPageBreak/>
        <w:t xml:space="preserve">- de opname van specifieke contractclausules om de financiële belangen van de EU veilig te stellen bij het uitvoeren van verificaties en controles in verband met de uitgevoerde werkzaamheden; </w:t>
      </w:r>
    </w:p>
    <w:p>
      <w:pPr>
        <w:pStyle w:val="Text1"/>
        <w:pBdr>
          <w:top w:val="single" w:sz="4" w:space="1" w:color="auto"/>
          <w:left w:val="single" w:sz="4" w:space="4" w:color="auto"/>
          <w:bottom w:val="single" w:sz="4" w:space="1" w:color="auto"/>
          <w:right w:val="single" w:sz="4" w:space="4" w:color="auto"/>
        </w:pBdr>
        <w:rPr>
          <w:noProof/>
          <w:szCs w:val="24"/>
        </w:rPr>
      </w:pPr>
      <w:r>
        <w:rPr>
          <w:noProof/>
        </w:rPr>
        <w:t>- de uitvoering van administratieve controles op het gebied van fraudebestrijding, in overeenstemming met Verordeningen nrs. 2185/96, 1073/1999 en 1074/1999;</w:t>
      </w:r>
    </w:p>
    <w:p>
      <w:pPr>
        <w:pStyle w:val="Text1"/>
        <w:pBdr>
          <w:top w:val="single" w:sz="4" w:space="1" w:color="auto"/>
          <w:left w:val="single" w:sz="4" w:space="4" w:color="auto"/>
          <w:bottom w:val="single" w:sz="4" w:space="1" w:color="auto"/>
          <w:right w:val="single" w:sz="4" w:space="4" w:color="auto"/>
        </w:pBdr>
        <w:rPr>
          <w:noProof/>
          <w:szCs w:val="24"/>
        </w:rPr>
      </w:pPr>
      <w:r>
        <w:rPr>
          <w:noProof/>
          <w:sz w:val="23"/>
        </w:rPr>
        <w:t>-</w:t>
      </w:r>
      <w:r>
        <w:rPr>
          <w:noProof/>
        </w:rPr>
        <w:t xml:space="preserve"> de toepassing van administratieve sancties voor alle opzettelijk of door nalatigheid veroorzaakte onregelmatigheden bij de uitvoering van de contracten, in overeenstemming met Kaderverordening nr. 2988/95, inclusief een mechanisme voor opname op een zwarte lijst;</w:t>
      </w:r>
    </w:p>
    <w:p>
      <w:pPr>
        <w:pStyle w:val="Text1"/>
        <w:pBdr>
          <w:top w:val="single" w:sz="4" w:space="1" w:color="auto"/>
          <w:left w:val="single" w:sz="4" w:space="4" w:color="auto"/>
          <w:bottom w:val="single" w:sz="4" w:space="1" w:color="auto"/>
          <w:right w:val="single" w:sz="4" w:space="4" w:color="auto"/>
        </w:pBdr>
        <w:rPr>
          <w:noProof/>
          <w:szCs w:val="24"/>
        </w:rPr>
      </w:pPr>
      <w:r>
        <w:rPr>
          <w:noProof/>
        </w:rPr>
        <w:t>- het feit dat mogelijke invorderingsopdrachten in geval van onregelmatigheden en fraude executoriale titel vormen overeenkomstig artikel 299 van het Verdrag betreffende de werking van de Europese Unie.</w:t>
      </w:r>
    </w:p>
    <w:p>
      <w:pPr>
        <w:pStyle w:val="Text1"/>
        <w:pBdr>
          <w:top w:val="single" w:sz="4" w:space="1" w:color="auto"/>
          <w:left w:val="single" w:sz="4" w:space="4" w:color="auto"/>
          <w:bottom w:val="single" w:sz="4" w:space="1" w:color="auto"/>
          <w:right w:val="single" w:sz="4" w:space="4" w:color="auto"/>
        </w:pBdr>
        <w:rPr>
          <w:noProof/>
          <w:szCs w:val="24"/>
        </w:rPr>
      </w:pPr>
      <w:r>
        <w:rPr>
          <w:noProof/>
        </w:rPr>
        <w:t>Bovendien wordt, bij wijze van routinemaatregel, een controleprogramma met betrekking tot wetenschappelijke en budgettaire aspecten van de samenwerking uitgevoerd door het verantwoordelijke personeel van het directoraat-generaal Onderzoek en Innovatie (DG RTD). Een interne audit wordt door de eenheid Interne audit van DG RTD uitgevoerd, en de Europese Rekenkamer zal inspecties ter plekke uitvoeren.</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3.</w:t>
      </w:r>
      <w:r>
        <w:rPr>
          <w:noProof/>
        </w:rPr>
        <w:tab/>
        <w:t xml:space="preserve">GERAAMDE FINANCIËLE GEVOLGEN VAN HET VOORSTEL/INITIATIEF </w:t>
      </w:r>
    </w:p>
    <w:p>
      <w:pPr>
        <w:pStyle w:val="ManualHeading2"/>
        <w:rPr>
          <w:noProof/>
        </w:rPr>
      </w:pPr>
      <w:r>
        <w:rPr>
          <w:noProof/>
        </w:rPr>
        <w:t>3.1.</w:t>
      </w:r>
      <w:r>
        <w:rPr>
          <w:noProof/>
        </w:rPr>
        <w:tab/>
        <w:t xml:space="preserve">Rubriek(en) van het meerjarige financiële kader en betrokken begrotingsonderde(e)l(en) voor uitgaven </w:t>
      </w:r>
    </w:p>
    <w:p>
      <w:pPr>
        <w:pStyle w:val="ListBullet1"/>
        <w:rPr>
          <w:noProof/>
        </w:rPr>
      </w:pPr>
      <w:r>
        <w:rPr>
          <w:noProof/>
        </w:rPr>
        <w:t>Bestaande begrotingsonderdelen</w:t>
      </w:r>
      <w:r>
        <w:rPr>
          <w:rStyle w:val="FootnoteReference"/>
          <w:noProof/>
        </w:rPr>
        <w:footnoteReference w:id="14"/>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Rubriek 1a – Concurrentievermogen voor groei en banen</w:t>
            </w:r>
          </w:p>
        </w:tc>
        <w:tc>
          <w:tcPr>
            <w:tcW w:w="1080" w:type="dxa"/>
            <w:vAlign w:val="center"/>
          </w:tcPr>
          <w:p>
            <w:pPr>
              <w:jc w:val="center"/>
              <w:rPr>
                <w:noProof/>
                <w:sz w:val="22"/>
              </w:rPr>
            </w:pPr>
            <w:r>
              <w:rPr>
                <w:noProof/>
                <w:sz w:val="18"/>
              </w:rPr>
              <w:t>GK/NGK</w:t>
            </w:r>
            <w:r>
              <w:rPr>
                <w:rStyle w:val="FootnoteReference"/>
                <w:noProof/>
                <w:sz w:val="18"/>
              </w:rPr>
              <w:footnoteReference w:id="15"/>
            </w:r>
          </w:p>
        </w:tc>
        <w:tc>
          <w:tcPr>
            <w:tcW w:w="956" w:type="dxa"/>
            <w:vAlign w:val="center"/>
          </w:tcPr>
          <w:p>
            <w:pPr>
              <w:jc w:val="center"/>
              <w:rPr>
                <w:noProof/>
                <w:sz w:val="22"/>
              </w:rPr>
            </w:pPr>
            <w:r>
              <w:rPr>
                <w:noProof/>
                <w:sz w:val="18"/>
              </w:rPr>
              <w:t>van EVA-landen</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NGK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NGK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ListBullet1"/>
        <w:rPr>
          <w:noProof/>
        </w:rPr>
      </w:pPr>
      <w:r>
        <w:rPr>
          <w:noProof/>
        </w:rPr>
        <w:t xml:space="preserve">Te creëren nieuwe begrotingsonderdelen </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sz w:val="22"/>
              </w:rPr>
              <w:br/>
            </w:r>
            <w:r>
              <w:rPr>
                <w:noProof/>
                <w:sz w:val="20"/>
              </w:rPr>
              <w:t>[Rubriek………………………………………]</w:t>
            </w:r>
          </w:p>
        </w:tc>
        <w:tc>
          <w:tcPr>
            <w:tcW w:w="1080" w:type="dxa"/>
            <w:vAlign w:val="center"/>
          </w:tcPr>
          <w:p>
            <w:pPr>
              <w:jc w:val="center"/>
              <w:rPr>
                <w:noProof/>
                <w:sz w:val="22"/>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lastRenderedPageBreak/>
        <w:t>3.2.</w:t>
      </w:r>
      <w:r>
        <w:rPr>
          <w:noProof/>
        </w:rPr>
        <w:tab/>
        <w:t xml:space="preserve">Geraamde gevolgen voor de uitgaven </w:t>
      </w:r>
    </w:p>
    <w:p>
      <w:pPr>
        <w:pStyle w:val="ManualHeading3"/>
        <w:rPr>
          <w:noProof/>
          <w:u w:val="single"/>
        </w:rPr>
      </w:pPr>
      <w:r>
        <w:rPr>
          <w:noProof/>
        </w:rPr>
        <w:t>3.2.1.</w:t>
      </w:r>
      <w:r>
        <w:rPr>
          <w:noProof/>
        </w:rPr>
        <w:tab/>
        <w:t xml:space="preserve">Samenvatting van de geraamde gevolgen voor de uitgaven </w:t>
      </w:r>
    </w:p>
    <w:p>
      <w:pPr>
        <w:jc w:val="center"/>
        <w:rPr>
          <w:noProof/>
          <w:sz w:val="20"/>
        </w:rPr>
      </w:pPr>
      <w:r>
        <w:rPr>
          <w:noProof/>
          <w:sz w:val="20"/>
        </w:rPr>
        <w:t>in miljoenen euro's (tot op drie decimalen)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Rubriek van het meerjarige financiële</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"Concurrentievermogen voor groei en banen"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794" w:type="dxa"/>
          </w:tcPr>
          <w:p>
            <w:pPr>
              <w:jc w:val="center"/>
              <w:rPr>
                <w:b/>
                <w:noProof/>
                <w:sz w:val="20"/>
              </w:rPr>
            </w:pPr>
            <w:r>
              <w:rPr>
                <w:noProof/>
                <w:sz w:val="20"/>
              </w:rPr>
              <w:t>Jaar</w:t>
            </w:r>
            <w:r>
              <w:rPr>
                <w:noProof/>
                <w:sz w:val="22"/>
              </w:rPr>
              <w:br/>
            </w:r>
            <w:r>
              <w:rPr>
                <w:b/>
                <w:noProof/>
                <w:sz w:val="20"/>
              </w:rPr>
              <w:t>2023</w:t>
            </w:r>
          </w:p>
        </w:tc>
        <w:tc>
          <w:tcPr>
            <w:tcW w:w="960" w:type="dxa"/>
          </w:tcPr>
          <w:p>
            <w:pPr>
              <w:jc w:val="center"/>
              <w:rPr>
                <w:b/>
                <w:noProof/>
                <w:sz w:val="20"/>
              </w:rPr>
            </w:pPr>
            <w:r>
              <w:rPr>
                <w:noProof/>
                <w:sz w:val="20"/>
              </w:rPr>
              <w:t>Jaar</w:t>
            </w:r>
            <w:r>
              <w:rPr>
                <w:noProof/>
                <w:sz w:val="22"/>
              </w:rPr>
              <w:br/>
            </w:r>
            <w:r>
              <w:rPr>
                <w:b/>
                <w:noProof/>
                <w:sz w:val="20"/>
              </w:rPr>
              <w:t>2024</w:t>
            </w:r>
          </w:p>
        </w:tc>
        <w:tc>
          <w:tcPr>
            <w:tcW w:w="1200"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Nummer begrotingsonderdeel </w:t>
            </w:r>
            <w:r>
              <w:rPr>
                <w:b/>
                <w:noProof/>
                <w:sz w:val="18"/>
              </w:rPr>
              <w:t>08.01.05.01</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9"/>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Nummer begrotingsonderdeel </w:t>
            </w:r>
            <w:r>
              <w:rPr>
                <w:b/>
                <w:noProof/>
                <w:sz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0,010</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0,002</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voor DG RTD</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277"/>
        </w:trPr>
        <w:tc>
          <w:tcPr>
            <w:tcW w:w="3960" w:type="dxa"/>
            <w:vMerge w:val="restart"/>
            <w:vAlign w:val="center"/>
          </w:tcPr>
          <w:p>
            <w:pPr>
              <w:spacing w:before="20" w:after="20"/>
              <w:rPr>
                <w:noProof/>
                <w:sz w:val="22"/>
              </w:rPr>
            </w:pPr>
            <w:r>
              <w:rPr>
                <w:noProof/>
              </w:rPr>
              <w:lastRenderedPageBreak/>
              <w:br w:type="page"/>
            </w:r>
            <w:r>
              <w:rPr>
                <w:noProof/>
                <w:sz w:val="21"/>
              </w:rPr>
              <w:sym w:font="Wingdings" w:char="F09F"/>
            </w:r>
            <w:r>
              <w:rPr>
                <w:noProof/>
                <w:sz w:val="21"/>
              </w:rPr>
              <w:t xml:space="preserve"> 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0,010</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794" w:type="dxa"/>
            <w:vAlign w:val="center"/>
          </w:tcPr>
          <w:p>
            <w:pPr>
              <w:pStyle w:val="Default"/>
              <w:jc w:val="right"/>
              <w:rPr>
                <w:b/>
                <w:noProof/>
                <w:sz w:val="20"/>
                <w:szCs w:val="20"/>
              </w:rPr>
            </w:pPr>
            <w:r>
              <w:rPr>
                <w:b/>
                <w:noProof/>
                <w:sz w:val="20"/>
              </w:rPr>
              <w:t>0,012</w:t>
            </w:r>
          </w:p>
        </w:tc>
        <w:tc>
          <w:tcPr>
            <w:tcW w:w="942" w:type="dxa"/>
            <w:vAlign w:val="center"/>
          </w:tcPr>
          <w:p>
            <w:pPr>
              <w:pStyle w:val="Default"/>
              <w:jc w:val="right"/>
              <w:rPr>
                <w:b/>
                <w:noProof/>
                <w:sz w:val="20"/>
                <w:szCs w:val="20"/>
              </w:rPr>
            </w:pPr>
            <w:r>
              <w:rPr>
                <w:b/>
                <w:noProof/>
                <w:sz w:val="20"/>
              </w:rPr>
              <w:t>0,002</w:t>
            </w:r>
          </w:p>
        </w:tc>
        <w:tc>
          <w:tcPr>
            <w:tcW w:w="1218" w:type="dxa"/>
            <w:vAlign w:val="center"/>
          </w:tcPr>
          <w:p>
            <w:pPr>
              <w:pStyle w:val="Default"/>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&lt;1a&gt;</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TOTAAL beleidskredieten</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lastRenderedPageBreak/>
              <w:br w:type="page"/>
            </w:r>
            <w:r>
              <w:rPr>
                <w:b/>
                <w:noProof/>
                <w:sz w:val="22"/>
              </w:rPr>
              <w:t>Rubriek van het meerjarige financiële</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miljoenen euro's (tot op drie decimalen)</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2019</w:t>
            </w: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gridSpan w:val="2"/>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674" w:type="dxa"/>
          </w:tcPr>
          <w:p>
            <w:pPr>
              <w:jc w:val="center"/>
              <w:rPr>
                <w:b/>
                <w:noProof/>
                <w:sz w:val="20"/>
              </w:rPr>
            </w:pPr>
            <w:r>
              <w:rPr>
                <w:noProof/>
                <w:sz w:val="20"/>
              </w:rPr>
              <w:t xml:space="preserve">Jaar </w:t>
            </w:r>
            <w:r>
              <w:rPr>
                <w:b/>
                <w:noProof/>
                <w:sz w:val="20"/>
              </w:rPr>
              <w:t>2023</w:t>
            </w:r>
          </w:p>
        </w:tc>
        <w:tc>
          <w:tcPr>
            <w:tcW w:w="840" w:type="dxa"/>
          </w:tcPr>
          <w:p>
            <w:pPr>
              <w:jc w:val="center"/>
              <w:rPr>
                <w:b/>
                <w:noProof/>
                <w:sz w:val="20"/>
              </w:rPr>
            </w:pPr>
            <w:r>
              <w:rPr>
                <w:noProof/>
                <w:sz w:val="20"/>
              </w:rPr>
              <w:t xml:space="preserve">Jaar </w:t>
            </w:r>
            <w:r>
              <w:rPr>
                <w:b/>
                <w:noProof/>
                <w:sz w:val="20"/>
              </w:rPr>
              <w:t>2024</w:t>
            </w:r>
          </w:p>
        </w:tc>
        <w:tc>
          <w:tcPr>
            <w:tcW w:w="3240" w:type="dxa"/>
            <w:vAlign w:val="center"/>
          </w:tcPr>
          <w:p>
            <w:pPr>
              <w:jc w:val="center"/>
              <w:rPr>
                <w:b/>
                <w:noProof/>
                <w:sz w:val="20"/>
              </w:rPr>
            </w:pPr>
            <w:r>
              <w:rPr>
                <w:b/>
                <w:noProof/>
                <w:sz w:val="20"/>
              </w:rPr>
              <w:t>TOTAAL</w:t>
            </w:r>
          </w:p>
        </w:tc>
      </w:tr>
      <w:tr>
        <w:trPr>
          <w:gridAfter w:val="5"/>
          <w:wAfter w:w="5783" w:type="dxa"/>
        </w:trPr>
        <w:tc>
          <w:tcPr>
            <w:tcW w:w="3960" w:type="dxa"/>
            <w:vAlign w:val="center"/>
          </w:tcPr>
          <w:p>
            <w:pPr>
              <w:spacing w:before="60" w:after="60"/>
              <w:jc w:val="center"/>
              <w:rPr>
                <w:noProof/>
                <w:sz w:val="22"/>
              </w:rPr>
            </w:pPr>
            <w:r>
              <w:rPr>
                <w:noProof/>
                <w:sz w:val="22"/>
              </w:rPr>
              <w:t>DG: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TOTAAL DG RTD</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in miljoenen euro's (tot op drie decimalen)</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Jaar</w:t>
            </w:r>
            <w:r>
              <w:rPr>
                <w:noProof/>
                <w:sz w:val="22"/>
              </w:rPr>
              <w:br/>
            </w:r>
            <w:r>
              <w:rPr>
                <w:b/>
                <w:noProof/>
                <w:sz w:val="20"/>
              </w:rPr>
              <w:t>2019</w:t>
            </w:r>
            <w:r>
              <w:rPr>
                <w:rStyle w:val="FootnoteReference"/>
                <w:b/>
                <w:noProof/>
                <w:sz w:val="20"/>
              </w:rPr>
              <w:footnoteReference w:id="20"/>
            </w:r>
          </w:p>
        </w:tc>
        <w:tc>
          <w:tcPr>
            <w:tcW w:w="909"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99" w:type="dxa"/>
          </w:tcPr>
          <w:p>
            <w:pPr>
              <w:jc w:val="center"/>
              <w:rPr>
                <w:b/>
                <w:noProof/>
                <w:sz w:val="20"/>
              </w:rPr>
            </w:pPr>
            <w:r>
              <w:rPr>
                <w:noProof/>
                <w:sz w:val="20"/>
              </w:rPr>
              <w:t>Jaar</w:t>
            </w:r>
            <w:r>
              <w:rPr>
                <w:noProof/>
                <w:sz w:val="22"/>
              </w:rPr>
              <w:br/>
            </w:r>
            <w:r>
              <w:rPr>
                <w:b/>
                <w:noProof/>
                <w:sz w:val="20"/>
              </w:rPr>
              <w:t>2023</w:t>
            </w:r>
          </w:p>
        </w:tc>
        <w:tc>
          <w:tcPr>
            <w:tcW w:w="850" w:type="dxa"/>
          </w:tcPr>
          <w:p>
            <w:pPr>
              <w:jc w:val="center"/>
              <w:rPr>
                <w:b/>
                <w:noProof/>
                <w:sz w:val="20"/>
              </w:rPr>
            </w:pPr>
            <w:r>
              <w:rPr>
                <w:noProof/>
                <w:sz w:val="20"/>
              </w:rPr>
              <w:t>Jaar</w:t>
            </w:r>
            <w:r>
              <w:rPr>
                <w:noProof/>
                <w:sz w:val="22"/>
              </w:rPr>
              <w:br/>
            </w:r>
            <w:r>
              <w:rPr>
                <w:b/>
                <w:noProof/>
                <w:sz w:val="20"/>
              </w:rPr>
              <w:t>2024</w:t>
            </w:r>
          </w:p>
        </w:tc>
        <w:tc>
          <w:tcPr>
            <w:tcW w:w="3005"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lastRenderedPageBreak/>
        <w:t>3.2.2.</w:t>
      </w:r>
      <w:r>
        <w:rPr>
          <w:noProof/>
        </w:rPr>
        <w:tab/>
        <w:t xml:space="preserve">Geraamde gevolgen voor de beleidskredieten </w:t>
      </w:r>
    </w:p>
    <w:p>
      <w:pPr>
        <w:pStyle w:val="ListDash1"/>
        <w:rPr>
          <w:noProof/>
        </w:rPr>
      </w:pPr>
      <w:r>
        <w:rPr>
          <w:noProof/>
        </w:rPr>
        <w:sym w:font="Wingdings" w:char="F0FE"/>
      </w:r>
      <w:r>
        <w:rPr>
          <w:noProof/>
        </w:rPr>
        <w:tab/>
        <w:t xml:space="preserve">Voor het voorstel/initiatief zijn geen beleidskredieten nodig </w:t>
      </w:r>
    </w:p>
    <w:p>
      <w:pPr>
        <w:rPr>
          <w:noProof/>
        </w:rPr>
      </w:pPr>
    </w:p>
    <w:p>
      <w:pPr>
        <w:jc w:val="center"/>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Jaar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Jaar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Jaar</w:t>
            </w:r>
            <w:r>
              <w:rPr>
                <w:noProof/>
                <w:sz w:val="22"/>
              </w:rPr>
              <w:br/>
            </w:r>
            <w:r>
              <w:rPr>
                <w:b/>
                <w:noProof/>
                <w:sz w:val="18"/>
              </w:rPr>
              <w:t>N+3</w:t>
            </w:r>
          </w:p>
        </w:tc>
        <w:tc>
          <w:tcPr>
            <w:tcW w:w="3600" w:type="dxa"/>
            <w:gridSpan w:val="6"/>
            <w:vAlign w:val="center"/>
          </w:tcPr>
          <w:p>
            <w:pPr>
              <w:jc w:val="center"/>
              <w:rPr>
                <w:noProof/>
                <w:sz w:val="18"/>
                <w:szCs w:val="18"/>
              </w:rPr>
            </w:pPr>
            <w:r>
              <w:rPr>
                <w:noProof/>
                <w:sz w:val="18"/>
              </w:rPr>
              <w:t>zoveel jaren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21"/>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2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lastRenderedPageBreak/>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E"/>
      </w:r>
      <w:r>
        <w:rPr>
          <w:noProof/>
        </w:rPr>
        <w:tab/>
        <w:t>Voor het voorstel/initiatief zijn administratieve kredieten nodig, zoals hieronder nader wordt beschreven:</w:t>
      </w:r>
    </w:p>
    <w:p>
      <w:pPr>
        <w:pStyle w:val="Text1"/>
        <w:rPr>
          <w:noProof/>
        </w:rPr>
      </w:pPr>
    </w:p>
    <w:p>
      <w:pPr>
        <w:jc w:val="center"/>
        <w:rPr>
          <w:noProof/>
          <w:sz w:val="20"/>
        </w:rPr>
      </w:pPr>
      <w:r>
        <w:rPr>
          <w:noProof/>
          <w:sz w:val="20"/>
        </w:rPr>
        <w:t>in miljoenen euro's (tot op drie decimalen)</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2019</w:t>
            </w:r>
            <w:r>
              <w:rPr>
                <w:rStyle w:val="FootnoteReference"/>
                <w:b/>
                <w:noProof/>
                <w:sz w:val="16"/>
              </w:rPr>
              <w:footnoteReference w:id="23"/>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2022</w:t>
            </w:r>
          </w:p>
        </w:tc>
        <w:tc>
          <w:tcPr>
            <w:tcW w:w="1080" w:type="dxa"/>
          </w:tcPr>
          <w:p>
            <w:pPr>
              <w:spacing w:before="60" w:after="60" w:line="200" w:lineRule="exact"/>
              <w:jc w:val="center"/>
              <w:rPr>
                <w:b/>
                <w:noProof/>
                <w:sz w:val="16"/>
              </w:rPr>
            </w:pPr>
            <w:r>
              <w:rPr>
                <w:noProof/>
                <w:sz w:val="16"/>
              </w:rPr>
              <w:t>Jaar</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Jaar</w:t>
            </w:r>
            <w:r>
              <w:rPr>
                <w:noProof/>
                <w:sz w:val="22"/>
              </w:rPr>
              <w:br/>
            </w:r>
            <w:r>
              <w:rPr>
                <w:b/>
                <w:noProof/>
                <w:sz w:val="16"/>
              </w:rPr>
              <w:t>2024</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24"/>
            </w:r>
            <w:r>
              <w:rPr>
                <w:noProof/>
                <w:sz w:val="22"/>
              </w:rPr>
              <w:br/>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pStyle w:val="Default"/>
              <w:jc w:val="right"/>
              <w:rPr>
                <w:noProof/>
                <w:sz w:val="20"/>
                <w:szCs w:val="20"/>
              </w:rPr>
            </w:pPr>
            <w:r>
              <w:rPr>
                <w:b/>
                <w:noProof/>
                <w:sz w:val="20"/>
              </w:rPr>
              <w:t>0,050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b/>
                <w:bCs/>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0,010</w:t>
            </w:r>
          </w:p>
        </w:tc>
        <w:tc>
          <w:tcPr>
            <w:tcW w:w="1080" w:type="dxa"/>
            <w:vAlign w:val="center"/>
          </w:tcPr>
          <w:p>
            <w:pPr>
              <w:pStyle w:val="Default"/>
              <w:jc w:val="right"/>
              <w:rPr>
                <w:b/>
                <w:noProof/>
                <w:sz w:val="20"/>
                <w:szCs w:val="20"/>
              </w:rPr>
            </w:pPr>
            <w:r>
              <w:rPr>
                <w:b/>
                <w:noProof/>
                <w:sz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w:t>
            </w:r>
            <w:r>
              <w:rPr>
                <w:noProof/>
                <w:sz w:val="22"/>
              </w:rPr>
              <w:br/>
            </w:r>
            <w:r>
              <w:rPr>
                <w:noProof/>
                <w:sz w:val="16"/>
              </w:rPr>
              <w:t>uitgaven</w:t>
            </w:r>
          </w:p>
        </w:tc>
        <w:tc>
          <w:tcPr>
            <w:tcW w:w="1080" w:type="dxa"/>
            <w:vAlign w:val="center"/>
          </w:tcPr>
          <w:p>
            <w:pPr>
              <w:spacing w:before="60" w:after="60" w:line="200" w:lineRule="exact"/>
              <w:jc w:val="right"/>
              <w:rPr>
                <w:noProof/>
                <w:sz w:val="16"/>
                <w:szCs w:val="16"/>
              </w:rPr>
            </w:pPr>
            <w:r>
              <w:rPr>
                <w:b/>
                <w:noProof/>
                <w:sz w:val="20"/>
              </w:rPr>
              <w:t>0,010</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0,002</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w:t>
            </w:r>
            <w:r>
              <w:rPr>
                <w:noProof/>
                <w:sz w:val="22"/>
              </w:rPr>
              <w:br/>
            </w:r>
            <w:r>
              <w:rPr>
                <w:b/>
                <w:noProof/>
                <w:sz w:val="16"/>
              </w:rPr>
              <w:t>buiten RUBRIEK 5</w:t>
            </w:r>
            <w:r>
              <w:rPr>
                <w:noProof/>
                <w:sz w:val="22"/>
              </w:rPr>
              <w:br/>
            </w:r>
            <w:r>
              <w:rPr>
                <w:b/>
                <w:noProof/>
                <w:sz w:val="16"/>
              </w:rPr>
              <w:t xml:space="preserve">van het meerjarige financiële kader </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0,012</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rPr>
          <w:noProof/>
        </w:rPr>
        <w:lastRenderedPageBreak/>
        <w:t>3.2.3.2.</w:t>
      </w:r>
      <w:r>
        <w:rPr>
          <w:noProof/>
        </w:rPr>
        <w:tab/>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E"/>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2019</w:t>
            </w:r>
          </w:p>
        </w:tc>
        <w:tc>
          <w:tcPr>
            <w:tcW w:w="483"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2020</w:t>
            </w:r>
          </w:p>
        </w:tc>
        <w:tc>
          <w:tcPr>
            <w:tcW w:w="484" w:type="pct"/>
            <w:shd w:val="clear" w:color="auto" w:fill="auto"/>
            <w:vAlign w:val="center"/>
          </w:tcPr>
          <w:p>
            <w:pPr>
              <w:spacing w:before="20" w:after="20"/>
              <w:jc w:val="center"/>
              <w:rPr>
                <w:noProof/>
                <w:sz w:val="16"/>
                <w:szCs w:val="16"/>
              </w:rPr>
            </w:pPr>
            <w:r>
              <w:rPr>
                <w:noProof/>
                <w:sz w:val="16"/>
              </w:rPr>
              <w:t>Jaar</w:t>
            </w:r>
          </w:p>
          <w:p>
            <w:pPr>
              <w:spacing w:before="20" w:after="20"/>
              <w:jc w:val="center"/>
              <w:rPr>
                <w:noProof/>
                <w:sz w:val="16"/>
                <w:szCs w:val="16"/>
              </w:rPr>
            </w:pPr>
            <w:r>
              <w:rPr>
                <w:b/>
                <w:noProof/>
                <w:sz w:val="16"/>
              </w:rPr>
              <w:t>2021</w:t>
            </w:r>
          </w:p>
        </w:tc>
        <w:tc>
          <w:tcPr>
            <w:tcW w:w="415" w:type="pct"/>
            <w:shd w:val="clear" w:color="auto" w:fill="auto"/>
            <w:vAlign w:val="center"/>
          </w:tcPr>
          <w:p>
            <w:pPr>
              <w:spacing w:before="20" w:after="20"/>
              <w:jc w:val="center"/>
              <w:rPr>
                <w:noProof/>
                <w:sz w:val="16"/>
                <w:szCs w:val="16"/>
              </w:rPr>
            </w:pPr>
            <w:r>
              <w:rPr>
                <w:noProof/>
                <w:sz w:val="16"/>
              </w:rPr>
              <w:t>Jaar</w:t>
            </w:r>
          </w:p>
          <w:p>
            <w:pPr>
              <w:spacing w:before="20" w:after="20"/>
              <w:jc w:val="center"/>
              <w:rPr>
                <w:noProof/>
                <w:sz w:val="16"/>
                <w:szCs w:val="16"/>
              </w:rPr>
            </w:pPr>
            <w:r>
              <w:rPr>
                <w:b/>
                <w:noProof/>
                <w:sz w:val="16"/>
              </w:rPr>
              <w:t>2022</w:t>
            </w:r>
          </w:p>
        </w:tc>
        <w:tc>
          <w:tcPr>
            <w:tcW w:w="551" w:type="pct"/>
            <w:gridSpan w:val="2"/>
            <w:vAlign w:val="center"/>
          </w:tcPr>
          <w:p>
            <w:pPr>
              <w:spacing w:before="20" w:after="20"/>
              <w:jc w:val="center"/>
              <w:rPr>
                <w:noProof/>
                <w:sz w:val="16"/>
                <w:szCs w:val="16"/>
              </w:rPr>
            </w:pPr>
            <w:r>
              <w:rPr>
                <w:noProof/>
                <w:sz w:val="16"/>
              </w:rPr>
              <w:t>Jaar</w:t>
            </w:r>
          </w:p>
          <w:p>
            <w:pPr>
              <w:jc w:val="center"/>
              <w:rPr>
                <w:b/>
                <w:noProof/>
                <w:sz w:val="16"/>
              </w:rPr>
            </w:pPr>
            <w:r>
              <w:rPr>
                <w:b/>
                <w:noProof/>
                <w:sz w:val="16"/>
              </w:rPr>
              <w:t>2023</w:t>
            </w:r>
          </w:p>
        </w:tc>
        <w:tc>
          <w:tcPr>
            <w:tcW w:w="551" w:type="pct"/>
            <w:shd w:val="clear" w:color="auto" w:fill="auto"/>
            <w:vAlign w:val="center"/>
          </w:tcPr>
          <w:p>
            <w:pPr>
              <w:spacing w:before="20" w:after="20"/>
              <w:jc w:val="center"/>
              <w:rPr>
                <w:noProof/>
                <w:sz w:val="16"/>
                <w:szCs w:val="16"/>
              </w:rPr>
            </w:pPr>
            <w:r>
              <w:rPr>
                <w:noProof/>
                <w:sz w:val="16"/>
              </w:rPr>
              <w:t>Jaar</w:t>
            </w:r>
          </w:p>
          <w:p>
            <w:pPr>
              <w:jc w:val="center"/>
              <w:rPr>
                <w:b/>
                <w:noProof/>
                <w:sz w:val="16"/>
                <w:szCs w:val="16"/>
              </w:rPr>
            </w:pPr>
            <w:r>
              <w:rPr>
                <w:b/>
                <w:noProof/>
                <w:sz w:val="16"/>
              </w:rPr>
              <w:t>2024</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(onderzoek door derden)</w:t>
            </w:r>
          </w:p>
        </w:tc>
        <w:tc>
          <w:tcPr>
            <w:tcW w:w="346" w:type="pct"/>
            <w:shd w:val="clear" w:color="auto" w:fill="auto"/>
            <w:vAlign w:val="center"/>
          </w:tcPr>
          <w:p>
            <w:pPr>
              <w:spacing w:beforeLines="20" w:before="48" w:afterLines="20" w:after="48"/>
              <w:jc w:val="center"/>
              <w:rPr>
                <w:noProof/>
                <w:sz w:val="16"/>
                <w:szCs w:val="16"/>
              </w:rPr>
            </w:pPr>
            <w:r>
              <w:rPr>
                <w:noProof/>
                <w:sz w:val="16"/>
              </w:rPr>
              <w:t>0,4</w:t>
            </w:r>
          </w:p>
        </w:tc>
        <w:tc>
          <w:tcPr>
            <w:tcW w:w="483" w:type="pct"/>
            <w:shd w:val="clear" w:color="auto" w:fill="auto"/>
            <w:vAlign w:val="center"/>
          </w:tcPr>
          <w:p>
            <w:pPr>
              <w:spacing w:beforeLines="20" w:before="48" w:afterLines="20" w:after="48"/>
              <w:jc w:val="center"/>
              <w:rPr>
                <w:noProof/>
                <w:sz w:val="16"/>
                <w:szCs w:val="16"/>
              </w:rPr>
            </w:pPr>
            <w:r>
              <w:rPr>
                <w:noProof/>
                <w:sz w:val="16"/>
              </w:rPr>
              <w:t>0,5</w:t>
            </w:r>
          </w:p>
        </w:tc>
        <w:tc>
          <w:tcPr>
            <w:tcW w:w="484" w:type="pct"/>
            <w:shd w:val="clear" w:color="auto" w:fill="auto"/>
            <w:vAlign w:val="center"/>
          </w:tcPr>
          <w:p>
            <w:pPr>
              <w:spacing w:beforeLines="20" w:before="48" w:afterLines="20" w:after="48"/>
              <w:jc w:val="center"/>
              <w:rPr>
                <w:noProof/>
                <w:sz w:val="16"/>
                <w:szCs w:val="16"/>
              </w:rPr>
            </w:pPr>
            <w:r>
              <w:rPr>
                <w:noProof/>
                <w:sz w:val="16"/>
              </w:rPr>
              <w:t>0,5</w:t>
            </w:r>
          </w:p>
        </w:tc>
        <w:tc>
          <w:tcPr>
            <w:tcW w:w="415" w:type="pct"/>
            <w:shd w:val="clear" w:color="auto" w:fill="auto"/>
            <w:vAlign w:val="center"/>
          </w:tcPr>
          <w:p>
            <w:pPr>
              <w:spacing w:beforeLines="20" w:before="48" w:afterLines="20" w:after="48"/>
              <w:jc w:val="center"/>
              <w:rPr>
                <w:noProof/>
                <w:sz w:val="16"/>
                <w:szCs w:val="16"/>
              </w:rPr>
            </w:pPr>
            <w:r>
              <w:rPr>
                <w:noProof/>
                <w:sz w:val="16"/>
              </w:rPr>
              <w:t>0,5</w:t>
            </w:r>
          </w:p>
        </w:tc>
        <w:tc>
          <w:tcPr>
            <w:tcW w:w="551" w:type="pct"/>
            <w:gridSpan w:val="2"/>
          </w:tcPr>
          <w:p>
            <w:pPr>
              <w:spacing w:beforeLines="20" w:before="48" w:afterLines="20" w:after="48"/>
              <w:jc w:val="center"/>
              <w:rPr>
                <w:noProof/>
                <w:sz w:val="16"/>
                <w:szCs w:val="16"/>
              </w:rPr>
            </w:pPr>
            <w:r>
              <w:rPr>
                <w:noProof/>
                <w:sz w:val="16"/>
              </w:rPr>
              <w:t>0,5</w:t>
            </w:r>
          </w:p>
        </w:tc>
        <w:tc>
          <w:tcPr>
            <w:tcW w:w="551"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 personeel (in voltijdequivalenten: VTE)</w:t>
            </w:r>
            <w:r>
              <w:rPr>
                <w:rStyle w:val="FootnoteReference"/>
                <w:b/>
                <w:noProof/>
                <w:sz w:val="16"/>
              </w:rPr>
              <w:footnoteReference w:id="25"/>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26"/>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0,4</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0,1</w:t>
            </w: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Voorbereiding en beheer van de vergaderingen van de krachtens artikel 6, onder b), van de Overeenkomst opgerichte gemeenschappelijke adviesgroep, alsmede de follow-up van de werking en de uitvoering van de overeenkomst.</w:t>
            </w:r>
          </w:p>
          <w:p>
            <w:pPr>
              <w:rPr>
                <w:noProof/>
                <w:sz w:val="20"/>
              </w:rPr>
            </w:pPr>
            <w:r>
              <w:rPr>
                <w:noProof/>
                <w:sz w:val="20"/>
              </w:rPr>
              <w:t>De berekeningen worden proportioneel op basis van de duur van de overeenkomst gemaakt.</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lastRenderedPageBreak/>
        <w:t>3.2.4.</w:t>
      </w:r>
      <w:r>
        <w:rPr>
          <w:noProof/>
        </w:rPr>
        <w:tab/>
        <w:t xml:space="preserve">Verenigbaarheid met het huidige meerjarige financiële kader </w:t>
      </w:r>
    </w:p>
    <w:p>
      <w:pPr>
        <w:pStyle w:val="ListDash1"/>
        <w:rPr>
          <w:noProof/>
        </w:rPr>
      </w:pPr>
      <w:r>
        <w:rPr>
          <w:noProof/>
        </w:rPr>
        <w:sym w:font="Wingdings" w:char="F0FE"/>
      </w:r>
      <w:r>
        <w:rPr>
          <w:noProof/>
        </w:rPr>
        <w:tab/>
        <w:t>Het voorstel/initiatief is verenigbaar met het huidige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Het meerjarige financiële kader 2021-2027 moet nog worden goedgekeurd door het Europees Parlement en de Raad.</w:t>
      </w:r>
    </w:p>
    <w:p>
      <w:pPr>
        <w:rPr>
          <w:noProof/>
        </w:rPr>
      </w:pPr>
    </w:p>
    <w:p>
      <w:pPr>
        <w:pStyle w:val="ManualHeading3"/>
        <w:rPr>
          <w:bCs/>
          <w:noProof/>
          <w:szCs w:val="24"/>
        </w:rPr>
      </w:pPr>
      <w:r>
        <w:rPr>
          <w:noProof/>
        </w:rPr>
        <w:t>3.2.5.</w:t>
      </w:r>
      <w:r>
        <w:rPr>
          <w:noProof/>
        </w:rPr>
        <w:tab/>
        <w:t xml:space="preserve">Bijdragen van derden </w:t>
      </w:r>
    </w:p>
    <w:p>
      <w:pPr>
        <w:pStyle w:val="ListDash1"/>
        <w:rPr>
          <w:noProof/>
        </w:rPr>
      </w:pPr>
      <w:r>
        <w:rPr>
          <w:noProof/>
        </w:rPr>
        <w:sym w:font="Wingdings" w:char="F0FE"/>
      </w:r>
      <w:r>
        <w:rPr>
          <w:noProof/>
        </w:rPr>
        <w:t xml:space="preserve"> Het voorstel/initiatief voorziet niet in medefinanciering door derden </w:t>
      </w:r>
    </w:p>
    <w:p>
      <w:pPr>
        <w:rPr>
          <w:noProof/>
        </w:rPr>
      </w:pP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Geraamde gevolgen voor de ontvangsten </w:t>
      </w:r>
    </w:p>
    <w:p>
      <w:pPr>
        <w:pStyle w:val="ListDash1"/>
        <w:rPr>
          <w:noProof/>
        </w:rPr>
      </w:pPr>
      <w:r>
        <w:rPr>
          <w:noProof/>
        </w:rPr>
        <w:sym w:font="Wingdings" w:char="F0FE"/>
      </w:r>
      <w:r>
        <w:rPr>
          <w:noProof/>
        </w:rPr>
        <w:tab/>
        <w:t>Het voorstel/initiatief heeft geen financiële gevolgen voor de ontvangsten.</w:t>
      </w:r>
    </w:p>
    <w:p>
      <w:pPr>
        <w:rPr>
          <w:noProof/>
        </w:rPr>
      </w:pPr>
    </w:p>
    <w:p>
      <w:pPr>
        <w:jc w:val="center"/>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299 van 28.11.2000, blz. 15.</w:t>
      </w:r>
    </w:p>
  </w:footnote>
  <w:footnote w:id="2">
    <w:p>
      <w:pPr>
        <w:pStyle w:val="FootnoteText"/>
      </w:pPr>
      <w:r>
        <w:rPr>
          <w:rStyle w:val="FootnoteReference"/>
        </w:rPr>
        <w:footnoteRef/>
      </w:r>
      <w:r>
        <w:tab/>
        <w:t>Besluit 2003/798/EG van de Raad (PB L 229 van 18.11.2003, blz. 20).</w:t>
      </w:r>
    </w:p>
  </w:footnote>
  <w:footnote w:id="3">
    <w:p>
      <w:pPr>
        <w:pStyle w:val="FootnoteText"/>
      </w:pPr>
      <w:r>
        <w:rPr>
          <w:rStyle w:val="FootnoteReference"/>
        </w:rPr>
        <w:footnoteRef/>
      </w:r>
      <w:r>
        <w:tab/>
        <w:t>Besluit 2009/313/EG van de Raad (PB L 92 van 4.4.2009, blz. 3).</w:t>
      </w:r>
    </w:p>
  </w:footnote>
  <w:footnote w:id="4">
    <w:p>
      <w:pPr>
        <w:pStyle w:val="FootnoteText"/>
      </w:pPr>
      <w:r>
        <w:rPr>
          <w:rStyle w:val="FootnoteReference"/>
        </w:rPr>
        <w:footnoteRef/>
      </w:r>
      <w:r>
        <w:tab/>
        <w:t>Besluit 2014/50/EU van de Raad (PB L 32 van 1.2.2014, blz. 1).</w:t>
      </w:r>
    </w:p>
  </w:footnote>
  <w:footnote w:id="5">
    <w:p>
      <w:pPr>
        <w:pStyle w:val="FootnoteText"/>
      </w:pPr>
      <w:r>
        <w:rPr>
          <w:rStyle w:val="FootnoteReference"/>
        </w:rPr>
        <w:footnoteRef/>
      </w:r>
      <w:r>
        <w:tab/>
      </w:r>
      <w:r>
        <w:rPr>
          <w:i/>
        </w:rPr>
        <w:t>Intensivering en betere concentratie van internationale samenwerking van de EU op het gebied van onderzoek en innovatie: een strategische benadering</w:t>
      </w:r>
      <w:r>
        <w:t xml:space="preserve">, COM(2012) 497. </w:t>
      </w:r>
    </w:p>
  </w:footnote>
  <w:footnote w:id="6">
    <w:p>
      <w:pPr>
        <w:pStyle w:val="FootnoteText"/>
      </w:pPr>
      <w:r>
        <w:rPr>
          <w:rStyle w:val="FootnoteReference"/>
        </w:rPr>
        <w:footnoteRef/>
      </w:r>
      <w:r>
        <w:tab/>
        <w:t>Besluit 2000/742/EG van de Raad van 16 november 2000 betreffende de sluiting van de Overeenkomst voor samenwerking op wetenschappelijk en technologisch gebied tussen de Europese Gemeenschap en de Russische Federatie (PB L 299 van 28.11.2000, blz. 14).</w:t>
      </w:r>
    </w:p>
  </w:footnote>
  <w:footnote w:id="7">
    <w:p>
      <w:pPr>
        <w:pStyle w:val="FootnoteText"/>
      </w:pPr>
      <w:r>
        <w:rPr>
          <w:rStyle w:val="FootnoteReference"/>
        </w:rPr>
        <w:footnoteRef/>
      </w:r>
      <w:r>
        <w:tab/>
        <w:t>Besluit 2003/798/EG van de Raad van 5 juni 2003 betreffende de sluiting van een overeenkomst ter hernieuwing van de Overeenkomst voor samenwerking op wetenschappelijk en technologisch gebied tussen de Europese Gemeenschap en de Russische Federatie (PB L 229 van 18.11.2003, blz. 20).</w:t>
      </w:r>
    </w:p>
  </w:footnote>
  <w:footnote w:id="8">
    <w:p>
      <w:pPr>
        <w:pStyle w:val="FootnoteText"/>
      </w:pPr>
      <w:r>
        <w:rPr>
          <w:rStyle w:val="FootnoteReference"/>
        </w:rPr>
        <w:footnoteRef/>
      </w:r>
      <w:r>
        <w:tab/>
        <w:t>Besluit 2009/313/EG van de Raad van 30 maart 2009 houdende verlenging van de Overeenkomst voor samenwerking op wetenschappelijk en technologisch gebied tussen de Europese Gemeenschap en de regering van de Russische Federatie (PB L 92 van 4.4.2009, blz. 3).</w:t>
      </w:r>
    </w:p>
  </w:footnote>
  <w:footnote w:id="9">
    <w:p>
      <w:pPr>
        <w:pStyle w:val="FootnoteText"/>
      </w:pPr>
      <w:r>
        <w:rPr>
          <w:rStyle w:val="FootnoteReference"/>
        </w:rPr>
        <w:footnoteRef/>
      </w:r>
      <w:r>
        <w:tab/>
        <w:t>Besluit 2014/50/EU van de Raad van 20 januari 2014 tot verlenging van de Overeenkomst voor samenwerking op wetenschappelijk en technologisch gebied tussen de Europese Gemeenschap en de regering van de Russische Federatie (PB L 32 van 1.2.2014, blz. 1).</w:t>
      </w:r>
    </w:p>
  </w:footnote>
  <w:footnote w:id="10">
    <w:p>
      <w:pPr>
        <w:pStyle w:val="FootnoteText"/>
      </w:pPr>
      <w:r>
        <w:rPr>
          <w:rStyle w:val="FootnoteReference"/>
        </w:rPr>
        <w:footnoteRef/>
      </w:r>
      <w:r>
        <w:tab/>
        <w:t>www.sanctionsmap.eu. De sanctiekaart is een IT-instrument met een lijst van de beperkende maatregelen. De beperkende maatregelen worden vastgesteld bij in het PB gepubliceerde rechtshandelingen. In geval van tegenstrijdigheden heeft het PB voorrang.</w:t>
      </w:r>
    </w:p>
  </w:footnote>
  <w:footnote w:id="11">
    <w:p>
      <w:pPr>
        <w:pStyle w:val="FootnoteText"/>
        <w:rPr>
          <w:szCs w:val="24"/>
        </w:rPr>
      </w:pPr>
      <w:r>
        <w:rPr>
          <w:rStyle w:val="FootnoteReference"/>
        </w:rPr>
        <w:footnoteRef/>
      </w:r>
      <w:r>
        <w:tab/>
        <w:t>ABM: activity-based management (activiteitsgestuurd management); ABB: activity-based budgeting (activiteitsgestuurde begroting).</w:t>
      </w:r>
    </w:p>
  </w:footnote>
  <w:footnote w:id="12">
    <w:p>
      <w:pPr>
        <w:pStyle w:val="FootnoteText"/>
      </w:pPr>
      <w:r>
        <w:rPr>
          <w:rStyle w:val="FootnoteReference"/>
        </w:rPr>
        <w:footnoteRef/>
      </w:r>
      <w:r>
        <w:tab/>
        <w:t>In vergelijking met Horizon 2020 zijn DG CLIMA en DG MARE toegevoegd, op basis van het voorstel van de Commissie voor het volgende meerjarige financiële kader (Horizon Europa), dat nog moet worden aangenomen.</w:t>
      </w:r>
    </w:p>
  </w:footnote>
  <w:footnote w:id="13">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1">
        <w:r>
          <w:rPr>
            <w:rStyle w:val="Hyperlink"/>
            <w:sz w:val="18"/>
          </w:rPr>
          <w:t>http://www.cc.cec/budg/man/budgmanag/budgmanag_en.html</w:t>
        </w:r>
      </w:hyperlink>
    </w:p>
  </w:footnote>
  <w:footnote w:id="14">
    <w:p>
      <w:pPr>
        <w:pStyle w:val="FootnoteText"/>
        <w:ind w:left="709" w:hanging="709"/>
      </w:pPr>
      <w:r>
        <w:rPr>
          <w:rStyle w:val="FootnoteReference"/>
        </w:rPr>
        <w:footnoteRef/>
      </w:r>
      <w:r>
        <w:tab/>
        <w:t>De kredieten voor de periode 2021-2024 (meerjarig financieel kader 2021-2027) en de desbetreffende rechtsgrondslag moeten nog worden vastgesteld door het Europees Parlement en de Raad en de ontwerpbegroting voor 2019 moet nog worden goedgekeurd door de begrotingsautoriteit.</w:t>
      </w:r>
    </w:p>
  </w:footnote>
  <w:footnote w:id="15">
    <w:p>
      <w:pPr>
        <w:pStyle w:val="FootnoteText"/>
        <w:rPr>
          <w:szCs w:val="24"/>
        </w:rPr>
      </w:pPr>
      <w:r>
        <w:rPr>
          <w:rStyle w:val="FootnoteReference"/>
        </w:rPr>
        <w:footnoteRef/>
      </w:r>
      <w:r>
        <w:tab/>
        <w:t>GK = gesplitste kredieten / NGK = niet-gesplitste kredieten.</w:t>
      </w:r>
    </w:p>
  </w:footnote>
  <w:footnote w:id="16">
    <w:p>
      <w:pPr>
        <w:pStyle w:val="FootnoteText"/>
        <w:rPr>
          <w:szCs w:val="24"/>
        </w:rPr>
      </w:pPr>
      <w:r>
        <w:rPr>
          <w:rStyle w:val="FootnoteReference"/>
        </w:rPr>
        <w:footnoteRef/>
      </w:r>
      <w:r>
        <w:tab/>
        <w:t xml:space="preserve">EVA: Europese Vrijhandelsassociatie. </w:t>
      </w:r>
    </w:p>
  </w:footnote>
  <w:footnote w:id="17">
    <w:p>
      <w:pPr>
        <w:pStyle w:val="FootnoteText"/>
        <w:rPr>
          <w:szCs w:val="24"/>
        </w:rPr>
      </w:pPr>
      <w:r>
        <w:rPr>
          <w:rStyle w:val="FootnoteReference"/>
        </w:rPr>
        <w:footnoteRef/>
      </w:r>
      <w:r>
        <w:tab/>
        <w:t>Kandidaat-lidstaten en, in voorkomend geval, potentiële kandidaat-lidstaten van de Westelijke Balkan.</w:t>
      </w:r>
    </w:p>
  </w:footnote>
  <w:footnote w:id="18">
    <w:p>
      <w:pPr>
        <w:pStyle w:val="FootnoteText"/>
        <w:rPr>
          <w:szCs w:val="24"/>
        </w:rPr>
      </w:pPr>
      <w:r>
        <w:rPr>
          <w:rStyle w:val="FootnoteReference"/>
        </w:rPr>
        <w:footnoteRef/>
      </w:r>
      <w:r>
        <w:tab/>
        <w:t>Het jaar 2019 is het jaar waarin met de uitvoering van het voorstel/initiatief wordt begonnen. De bedragen voor 2019 en 2024 zijn voor tien respectievelijk twee maanden.</w:t>
      </w:r>
    </w:p>
  </w:footnote>
  <w:footnote w:id="19">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0">
    <w:p>
      <w:pPr>
        <w:pStyle w:val="FootnoteText"/>
        <w:rPr>
          <w:szCs w:val="24"/>
        </w:rPr>
      </w:pPr>
      <w:r>
        <w:rPr>
          <w:rStyle w:val="FootnoteReference"/>
        </w:rPr>
        <w:footnoteRef/>
      </w:r>
      <w:r>
        <w:tab/>
        <w:t>Het jaar 2019 is het jaar waarin met de uitvoering van het voorstel/initiatief wordt begonnen. De bedragen voor 2019 en 2024 zijn voor tien respectievelijk twee maanden.</w:t>
      </w:r>
    </w:p>
  </w:footnote>
  <w:footnote w:id="21">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22">
    <w:p>
      <w:pPr>
        <w:pStyle w:val="FootnoteText"/>
        <w:rPr>
          <w:szCs w:val="24"/>
        </w:rPr>
      </w:pPr>
      <w:r>
        <w:rPr>
          <w:rStyle w:val="FootnoteReference"/>
        </w:rPr>
        <w:footnoteRef/>
      </w:r>
      <w:r>
        <w:tab/>
        <w:t xml:space="preserve">Zoals beschreven in punt 1.4.2. "Specifieke doelstelling(en)…". </w:t>
      </w:r>
    </w:p>
  </w:footnote>
  <w:footnote w:id="23">
    <w:p>
      <w:pPr>
        <w:pStyle w:val="FootnoteText"/>
        <w:rPr>
          <w:szCs w:val="24"/>
        </w:rPr>
      </w:pPr>
      <w:r>
        <w:rPr>
          <w:rStyle w:val="FootnoteReference"/>
        </w:rPr>
        <w:footnoteRef/>
      </w:r>
      <w:r>
        <w:tab/>
        <w:t>Het jaar 2019 is het jaar waarin met de uitvoering van het voorstel/initiatief wordt begonnen. De bedragen voor 2019 en 2024 zijn voor tien respectievelijk twee maanden.</w:t>
      </w:r>
    </w:p>
  </w:footnote>
  <w:footnote w:id="24">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5">
    <w:p>
      <w:pPr>
        <w:pStyle w:val="FootnoteText"/>
        <w:rPr>
          <w:szCs w:val="24"/>
        </w:rPr>
      </w:pPr>
      <w:r>
        <w:rPr>
          <w:rStyle w:val="FootnoteReference"/>
        </w:rPr>
        <w:footnoteRef/>
      </w:r>
      <w:r>
        <w:tab/>
        <w:t xml:space="preserve">AC= Agent Contractuel (arbeidscontractant); AL= Agent Local (plaatselijk functionaris); END= Expert National Détaché (gedetacheerd nationaal deskundige); INT= Intérimaire (uitzendkracht); JED= Jeune Expert en Délégation (jonge deskundige in delegaties). </w:t>
      </w:r>
    </w:p>
  </w:footnote>
  <w:footnote w:id="26">
    <w:p>
      <w:pPr>
        <w:pStyle w:val="FootnoteText"/>
        <w:rPr>
          <w:szCs w:val="24"/>
        </w:rPr>
      </w:pPr>
      <w:r>
        <w:rPr>
          <w:rStyle w:val="FootnoteReference"/>
        </w:rPr>
        <w:footnoteRef/>
      </w:r>
      <w:r>
        <w:tab/>
        <w:t>Subplafond voor extern personeel uit beleidskredieten (vroegere "BA"-onderdelen).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25: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0EB1CA7-4123-4780-86FA-83808BF4E6A6"/>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ss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05"/>
    <w:docVar w:name="LW_REF.II.NEW.CP_YEAR" w:val="2019"/>
    <w:docVar w:name="LW_REF.INST.NEW" w:val="COM"/>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erlenging van de Overeenkomst voor samenwerking op wetenschappelijk en technologisch gebied tussen de Europese Gemeenschap en de regering van de Russische Federatie "/>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3DE2-14C4-41DE-BA88-767A8833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21</Pages>
  <Words>4271</Words>
  <Characters>25717</Characters>
  <Application>Microsoft Office Word</Application>
  <DocSecurity>0</DocSecurity>
  <Lines>1353</Lines>
  <Paragraphs>638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2018-11-29T15:19:00Z</cp:lastPrinted>
  <dcterms:created xsi:type="dcterms:W3CDTF">2018-12-20T07:44:00Z</dcterms:created>
  <dcterms:modified xsi:type="dcterms:W3CDTF">2019-01-11T09:25:00Z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