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23C9A2C8-7379-4C46-BCD5-0FFADF65FF39" style="width:450.45pt;height:351.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spacing w:before="0" w:after="0"/>
        <w:rPr>
          <w:noProof/>
        </w:rPr>
      </w:pPr>
      <w:r>
        <w:rPr>
          <w:noProof/>
        </w:rPr>
        <w:t>”Euroopan yhteisön ja Venäjän federaation hallituksen välinen tiede- ja teknologiayhteistyötä koskeva sopimus”</w:t>
      </w:r>
      <w:r>
        <w:rPr>
          <w:rStyle w:val="FootnoteReference"/>
          <w:noProof/>
        </w:rPr>
        <w:footnoteReference w:id="1"/>
      </w:r>
      <w:r>
        <w:rPr>
          <w:noProof/>
        </w:rPr>
        <w:t>, jäljempänä ’sopimus’, allekirjoitettiin Brysselissä 16. marraskuuta 2000, ja se tuli voimaan 10. toukokuuta 2001. Sen jälkeen ja sopimuksen 12 artiklan mukaisesti sopimus on uusittu kolmesti, eli vuosina 2004</w:t>
      </w:r>
      <w:r>
        <w:rPr>
          <w:rStyle w:val="FootnoteReference"/>
          <w:noProof/>
        </w:rPr>
        <w:footnoteReference w:id="2"/>
      </w:r>
      <w:r>
        <w:rPr>
          <w:noProof/>
        </w:rPr>
        <w:t>, 2009</w:t>
      </w:r>
      <w:r>
        <w:rPr>
          <w:rStyle w:val="FootnoteReference"/>
          <w:noProof/>
        </w:rPr>
        <w:footnoteReference w:id="3"/>
      </w:r>
      <w:r>
        <w:rPr>
          <w:noProof/>
        </w:rPr>
        <w:t xml:space="preserve"> ja 2014</w:t>
      </w:r>
      <w:r>
        <w:rPr>
          <w:rStyle w:val="FootnoteReference"/>
          <w:noProof/>
        </w:rPr>
        <w:footnoteReference w:id="4"/>
      </w:r>
      <w:r>
        <w:rPr>
          <w:noProof/>
        </w:rPr>
        <w:t xml:space="preserve"> kulloinkin viiden vuoden jatkoajaksi.</w:t>
      </w:r>
    </w:p>
    <w:p>
      <w:pPr>
        <w:spacing w:before="0" w:after="0"/>
        <w:ind w:left="-46"/>
        <w:rPr>
          <w:noProof/>
        </w:rPr>
      </w:pPr>
    </w:p>
    <w:p>
      <w:pPr>
        <w:spacing w:before="0" w:after="0"/>
        <w:ind w:left="-46"/>
        <w:rPr>
          <w:noProof/>
        </w:rPr>
      </w:pPr>
      <w:r>
        <w:rPr>
          <w:noProof/>
        </w:rPr>
        <w:t xml:space="preserve">Nykyisen sopimuksen voimassaolon on määrä päättyä 20. helmikuuta 2019. </w:t>
      </w:r>
    </w:p>
    <w:p>
      <w:pPr>
        <w:spacing w:before="0" w:after="0"/>
        <w:ind w:left="-46"/>
        <w:rPr>
          <w:noProof/>
        </w:rPr>
      </w:pPr>
    </w:p>
    <w:p>
      <w:pPr>
        <w:spacing w:before="0" w:after="0"/>
        <w:ind w:left="-46"/>
        <w:rPr>
          <w:noProof/>
        </w:rPr>
      </w:pPr>
      <w:r>
        <w:rPr>
          <w:noProof/>
        </w:rPr>
        <w:t>Sopimuksen uusiminen on EU:n etujen mukaista, sillä se edistää Euroopan unionin ja Venäjän federaation välistä yhteistyötä kummallekin tärkeillä tieteen ja teknologian aloilla, mikä tuo etuja molemmille sopimuspuolille.</w:t>
      </w:r>
    </w:p>
    <w:p>
      <w:pPr>
        <w:spacing w:before="0" w:after="0"/>
        <w:ind w:left="-46"/>
        <w:rPr>
          <w:noProof/>
        </w:rPr>
      </w:pPr>
    </w:p>
    <w:p>
      <w:pPr>
        <w:spacing w:before="0" w:after="0"/>
        <w:ind w:left="-46"/>
        <w:rPr>
          <w:noProof/>
        </w:rPr>
      </w:pPr>
      <w:r>
        <w:rPr>
          <w:noProof/>
        </w:rPr>
        <w:t>Venäjä on tieteen, teknologian ja innovoinnin alalla EU:n naapurustossa tärkein toimija, joka ei ole assosioitunut Horisontti 2020 -puiteohjelmaan.</w:t>
      </w:r>
      <w:r>
        <w:rPr>
          <w:noProof/>
          <w:color w:val="010202"/>
        </w:rPr>
        <w:t xml:space="preserve"> </w:t>
      </w:r>
      <w:r>
        <w:rPr>
          <w:noProof/>
        </w:rPr>
        <w:t>Yhteistyö tieteen, teknologian ja innovoinnin alalla on ollut EU:n ja Venäjän välillä perinteisesti hyvin aktiivista, erityisesti tutkimusinfrastruktuurien, liikenteen ja ympäristön aloilla. Vaikka Venäjä olikin seitsemännessä tutkimuspuiteohjelmassa aktiivisin osallistuvista assosioitumattomista kolmansista maista, Horisontti 2020 -puiteohjelmassa yhteistyön taso on jäänyt kauas potentiaalisesta tasostaan. Tämä johtuu suurelta osin rahoitussääntöjen muutoksesta Horisontti 2020 -puiteohjelmassa, jossa Venäjältä (sekä Brasiliasta, Intiasta, Kiinasta ja Meksikosta) tulevat oikeushenkilöt eivät enää ole automaattisesti kelpoisia saamaan rahoitusta EU:lta, mutta myös poliittisista olosuhteista.</w:t>
      </w:r>
    </w:p>
    <w:p>
      <w:pPr>
        <w:spacing w:before="0" w:after="0"/>
        <w:ind w:left="-46"/>
        <w:rPr>
          <w:noProof/>
        </w:rPr>
      </w:pPr>
    </w:p>
    <w:p>
      <w:pPr>
        <w:spacing w:before="0" w:after="0"/>
        <w:ind w:left="-46"/>
        <w:rPr>
          <w:noProof/>
          <w:color w:val="010202"/>
          <w:szCs w:val="24"/>
        </w:rPr>
      </w:pPr>
      <w:r>
        <w:rPr>
          <w:noProof/>
          <w:color w:val="010202"/>
        </w:rPr>
        <w:t>Kaikkien assosioitumattomien maiden joukossa Venäjä on tällä hetkellä kuudennella sijalla, kun tarkastellaan osallistumista Horisontti 2020 -puiteohjelman yhteistyöhankkeisiin. Lisäksi Horisontti 2020 -puiteohjelman työohjelmassa 2018–2020 on tavoitteena tehostaa yhteistyötä Venäjän kanssa yhteisen edun mukaisissa aiheissa. Sen lisäksi, että Horisontti 2020 -puiteohjelma on yleisesti avoin kaikkialta maailmasta, myös Venäjältä, tuleville toimijoille, on olemassa kaksi tärkeää kahdenvälisen yhteistyön lippulaiva-aloitetta Venäjän kanssa tutkimusinfrastruktuurien ja terveyden aloilla sekä yksi ilmailualan monenvälisen yhteistyön lippulaiva-aloite, jonka kohteena on myös Venäjä.</w:t>
      </w:r>
    </w:p>
    <w:p>
      <w:pPr>
        <w:spacing w:before="0" w:after="0"/>
        <w:ind w:left="-46"/>
        <w:rPr>
          <w:noProof/>
        </w:rPr>
      </w:pPr>
    </w:p>
    <w:p>
      <w:pPr>
        <w:spacing w:before="0" w:after="0"/>
        <w:ind w:left="-46"/>
        <w:rPr>
          <w:noProof/>
        </w:rPr>
      </w:pPr>
      <w:r>
        <w:rPr>
          <w:noProof/>
        </w:rPr>
        <w:t xml:space="preserve">Sopimuksen uusiminen on linjassa EU:n lähestymistavan kanssa, joka perustuu viiteen ohjaavaan periaatteeseen, joilla hallitaan EU:n nykysuhteita Venäjään ja joista sovittiin EU:n ulkoasiainneuvoston kokouksessa 14. maaliskuuta 2016 ja jotka vahvistettiin EU:n ulkoasiainneuvoston kokouksessa 16. huhtikuuta 2018. Tiedediplomatia voi olla vahva väline suhteissamme Venäjään, sillä se tarjoaa myönteisen yhteistyöagendan ja on ”pehmeän voiman” lähde, joka voi olla erityisen tehokas väline viestintäkanavien luomisessa ja avaamisessa ja luottamuksen rakentamisessa yhteiskuntiemme välillä. Sopimus tarjoaa puitteet, joilla vahvistetaan ihmisten välisiä kontakteja ja tieteen, teknologian ja innovoinnin alalla tehtävää yhteistyötä EU:n kannalta strategisilla alueilla tulevina vuosina, jotta voidaan </w:t>
      </w:r>
      <w:r>
        <w:rPr>
          <w:noProof/>
        </w:rPr>
        <w:lastRenderedPageBreak/>
        <w:t xml:space="preserve">torjua tieteellisen yhteistyön heikentymistä EU:n ja venäläisten osallistujien välillä. Näistä syistä on hyödyllistä uusia sopimus seuraavaksi viisivuotiskaudeksi. </w:t>
      </w:r>
    </w:p>
    <w:p>
      <w:pPr>
        <w:spacing w:before="0" w:after="0"/>
        <w:ind w:left="-46"/>
        <w:rPr>
          <w:noProof/>
        </w:rPr>
      </w:pPr>
    </w:p>
    <w:p>
      <w:pPr>
        <w:pBdr>
          <w:top w:val="nil"/>
          <w:left w:val="nil"/>
          <w:bottom w:val="nil"/>
          <w:right w:val="nil"/>
          <w:between w:val="nil"/>
          <w:bar w:val="nil"/>
        </w:pBdr>
        <w:spacing w:before="0" w:after="240"/>
        <w:rPr>
          <w:noProof/>
        </w:rPr>
      </w:pPr>
      <w:r>
        <w:rPr>
          <w:noProof/>
        </w:rPr>
        <w:t>Sopimuksella perustetun EU:n ja Venäjän tieteellis-teknisen yhteistyön sekakomitean kokouksessa, joka pidettiin Moskovassa 28. syyskuuta 2018, molemmat sopimuspuolet totesivat, että ne haluavat uudistaa sopimuksen uudeksi viisivuotiskaudeksi ilman mitään muutoksia ja että EU:n ja Venäjän tutkimus- ja innovaatioyhteistyön vahvistamisessa oli edistytty.</w:t>
      </w:r>
    </w:p>
    <w:p>
      <w:pPr>
        <w:spacing w:before="0" w:after="0"/>
        <w:rPr>
          <w:noProof/>
          <w:color w:val="010202"/>
          <w:szCs w:val="24"/>
        </w:rPr>
      </w:pPr>
      <w:r>
        <w:rPr>
          <w:noProof/>
        </w:rPr>
        <w:t>Uusitun sopimuksen sisältö tulee olemaan identtinen nykyisen sopimuksen kanssa, kuten venäläisten osapuolten kanssa on neuvoteltu ja sovittu. Se ei luo uusia oikeuksia eikä velvollisuuksia EU:lle, vaan sen sijaan pidentää ajallisesti sopimuspuolten välillä jo voimassa olevaa oikeudellista järjestelmää tiede- ja teknologiayhteistyön alalla.</w:t>
      </w:r>
    </w:p>
    <w:p>
      <w:pPr>
        <w:pStyle w:val="ManualHeading2"/>
        <w:rPr>
          <w:rFonts w:eastAsia="Arial Unicode MS"/>
          <w:noProof/>
          <w:color w:val="000000"/>
          <w:u w:color="000000"/>
          <w:bdr w:val="nil"/>
        </w:rPr>
      </w:pPr>
      <w:r>
        <w:rPr>
          <w:noProof/>
          <w:color w:val="000000"/>
          <w:u w:color="000000"/>
          <w:bdr w:val="nil"/>
        </w:rPr>
        <w:t>•</w:t>
      </w:r>
      <w:r>
        <w:rPr>
          <w:noProof/>
        </w:rPr>
        <w:tab/>
        <w:t>Yhdenmukaisuus muiden alaa koskevien politiikkojen säännösten kanssa</w:t>
      </w:r>
    </w:p>
    <w:p>
      <w:pPr>
        <w:pBdr>
          <w:top w:val="nil"/>
          <w:left w:val="nil"/>
          <w:bottom w:val="nil"/>
          <w:right w:val="nil"/>
          <w:between w:val="nil"/>
          <w:bar w:val="nil"/>
        </w:pBdr>
        <w:spacing w:before="0" w:after="240"/>
        <w:rPr>
          <w:noProof/>
        </w:rPr>
      </w:pPr>
      <w:r>
        <w:rPr>
          <w:noProof/>
        </w:rPr>
        <w:t>Tämä aloite on täysin johdonmukainen tutkimusta ja innovointia koskevan EU:n kansainvälisen yhteistyöstrategian</w:t>
      </w:r>
      <w:r>
        <w:rPr>
          <w:rStyle w:val="FootnoteReference"/>
          <w:noProof/>
        </w:rPr>
        <w:footnoteReference w:id="5"/>
      </w:r>
      <w:r>
        <w:rPr>
          <w:noProof/>
        </w:rPr>
        <w:t xml:space="preserve"> kanssa; siinä Venäjä on EU:n strateginen kumppani tutkimuksen ja innovoinnin alalla. EU:n strategiassa ilmaistaan selvästi tiede- ja teknologiasopimusten merkitys välineinä, joilla määritellään ja pannaan täytäntöön monivuotisia yhteistyön etenemissuunnitelmia EU:n ulkopuolisten maiden kanssa. Sopimus on myös keino panna täytäntöön EU:n kansainvälisen tutkimus- ja innovaatioyhteistyön strategia, jossa kehotetaan lisäämään kansainvälistymistä ja avoimuutta EU:n tutkimus- ja innovaatiokentässä.</w:t>
      </w:r>
    </w:p>
    <w:p>
      <w:pPr>
        <w:pStyle w:val="ManualHeading2"/>
        <w:rPr>
          <w:rFonts w:eastAsia="Arial Unicode MS"/>
          <w:noProof/>
        </w:rPr>
      </w:pPr>
      <w:r>
        <w:rPr>
          <w:noProof/>
          <w:color w:val="000000"/>
          <w:u w:color="000000"/>
          <w:bdr w:val="nil"/>
        </w:rPr>
        <w:t>•</w:t>
      </w:r>
      <w:r>
        <w:rPr>
          <w:noProof/>
        </w:rPr>
        <w:tab/>
        <w:t>Yhdenmukaisuus unionin muiden politiikkojen kanssa</w:t>
      </w:r>
    </w:p>
    <w:p>
      <w:pPr>
        <w:pBdr>
          <w:top w:val="nil"/>
          <w:left w:val="nil"/>
          <w:bottom w:val="nil"/>
          <w:right w:val="nil"/>
          <w:between w:val="nil"/>
          <w:bar w:val="nil"/>
        </w:pBdr>
        <w:spacing w:before="0" w:after="240"/>
        <w:rPr>
          <w:noProof/>
          <w:szCs w:val="24"/>
        </w:rPr>
      </w:pPr>
      <w:r>
        <w:rPr>
          <w:noProof/>
        </w:rPr>
        <w:t>EU:n ulko- ja turvallisuuspoliittisessa globaalistrategiassa vahvistetaan, että tutkimusyhteistyö on tärkeä osa EU:n ulkopolitiikkaa, ja pidetään tutkimusyhteistyötä vahvempien sosioekonomisten siteiden keskeisenä elementtinä.</w:t>
      </w:r>
    </w:p>
    <w:p>
      <w:pPr>
        <w:pBdr>
          <w:top w:val="nil"/>
          <w:left w:val="nil"/>
          <w:bottom w:val="nil"/>
          <w:right w:val="nil"/>
          <w:between w:val="nil"/>
          <w:bar w:val="nil"/>
        </w:pBdr>
        <w:spacing w:before="0" w:after="240"/>
        <w:rPr>
          <w:noProof/>
        </w:rPr>
      </w:pPr>
      <w:r>
        <w:rPr>
          <w:noProof/>
        </w:rPr>
        <w:t>Aloite on johdonmukainen niiden periaatteiden kanssa, jotka ohjaavat nykyisiä EU:n ja Venäjän suhteita ja joista sovittiin EU:n ulkoasiainneuvoston kokouksessa 14. maaliskuuta 2016 ja jotka vahvistettiin EU:n ulkoasiainneuvoston kokouksessa 16. huhtikuuta 2018.</w:t>
      </w:r>
    </w:p>
    <w:p>
      <w:pPr>
        <w:pBdr>
          <w:top w:val="nil"/>
          <w:left w:val="nil"/>
          <w:bottom w:val="nil"/>
          <w:right w:val="nil"/>
          <w:between w:val="nil"/>
          <w:bar w:val="nil"/>
        </w:pBdr>
        <w:spacing w:before="0" w:after="240"/>
        <w:rPr>
          <w:noProof/>
        </w:rPr>
      </w:pPr>
      <w:r>
        <w:rPr>
          <w:noProof/>
        </w:rPr>
        <w:t>Komissio varmistaa, että tämän uudistetun sopimuksen täytäntöönpanossa noudatetaan EU:n rajoittavia toimenpiteitä.</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pBdr>
          <w:top w:val="nil"/>
          <w:left w:val="nil"/>
          <w:bottom w:val="nil"/>
          <w:right w:val="nil"/>
          <w:between w:val="nil"/>
          <w:bar w:val="nil"/>
        </w:pBdr>
        <w:spacing w:before="0" w:after="240"/>
        <w:rPr>
          <w:noProof/>
        </w:rPr>
      </w:pPr>
      <w:r>
        <w:rPr>
          <w:noProof/>
        </w:rPr>
        <w:t>EU:n valta toimia kansainvälisesti tutkimuksen ja teknologisen kehittämisen alalla perustuu SEUT-sopimuksen 186 artiklaan. Ehdotuksen menettelyllinen oikeusperusta on SEUT-sopimuksen 218 artiklan 6 kohdan toisen alakohdan a alakohdan v alakohta.</w:t>
      </w:r>
    </w:p>
    <w:p>
      <w:pPr>
        <w:pStyle w:val="ManualHeading2"/>
        <w:rPr>
          <w:rFonts w:eastAsia="Arial Unicode MS"/>
          <w:noProof/>
          <w:u w:color="000000"/>
          <w:bdr w:val="nil"/>
        </w:rPr>
      </w:pPr>
      <w:r>
        <w:rPr>
          <w:noProof/>
        </w:rPr>
        <w:t>•</w:t>
      </w:r>
      <w:r>
        <w:rPr>
          <w:noProof/>
        </w:rPr>
        <w:tab/>
        <w:t xml:space="preserve">Toissijaisuusperiaate (jaetun toimivallan osalta) </w:t>
      </w:r>
    </w:p>
    <w:p>
      <w:pPr>
        <w:pBdr>
          <w:top w:val="nil"/>
          <w:left w:val="nil"/>
          <w:bottom w:val="nil"/>
          <w:right w:val="nil"/>
          <w:between w:val="nil"/>
          <w:bar w:val="nil"/>
        </w:pBdr>
        <w:spacing w:before="0" w:after="240"/>
        <w:rPr>
          <w:rFonts w:eastAsia="Arial Unicode MS"/>
          <w:noProof/>
          <w:szCs w:val="24"/>
        </w:rPr>
      </w:pPr>
      <w:r>
        <w:rPr>
          <w:noProof/>
        </w:rPr>
        <w:t>EU:lla ja sen jäsenvaltioilla on rinnakkainen toimivalta tutkimuksen ja teknologisen kehittämisen alalla SEUT-sopimuksen 4 artiklan 3 kohdan mukaisesti. Sen vuoksi EU:n toimia ei voida korvata jäsenvaltioiden toimilla.</w:t>
      </w:r>
    </w:p>
    <w:p>
      <w:pPr>
        <w:pStyle w:val="ManualHeading1"/>
        <w:rPr>
          <w:noProof/>
        </w:rPr>
      </w:pPr>
      <w:r>
        <w:rPr>
          <w:noProof/>
        </w:rPr>
        <w:lastRenderedPageBreak/>
        <w:t>3.</w:t>
      </w:r>
      <w:r>
        <w:rPr>
          <w:noProof/>
        </w:rPr>
        <w:tab/>
        <w:t>JÄLKIARVIOINTIEN, SIDOSRYHMIEN KUULEMISTEN JA VAIKUTUSTENARVIOINTIEN TULOKSET</w:t>
      </w:r>
    </w:p>
    <w:p>
      <w:pPr>
        <w:pStyle w:val="ManualHeading2"/>
        <w:rPr>
          <w:rFonts w:eastAsia="Arial Unicode MS"/>
          <w:noProof/>
          <w:u w:color="000000"/>
          <w:bdr w:val="nil"/>
        </w:rPr>
      </w:pPr>
      <w:r>
        <w:rPr>
          <w:noProof/>
        </w:rPr>
        <w:t>•</w:t>
      </w:r>
      <w:r>
        <w:rPr>
          <w:noProof/>
        </w:rPr>
        <w:tab/>
        <w:t>Sääntelyn toimivuus ja yksinkertaistaminen</w:t>
      </w:r>
    </w:p>
    <w:p>
      <w:pPr>
        <w:pBdr>
          <w:top w:val="nil"/>
          <w:left w:val="nil"/>
          <w:bottom w:val="nil"/>
          <w:right w:val="nil"/>
          <w:between w:val="nil"/>
          <w:bar w:val="nil"/>
        </w:pBdr>
        <w:spacing w:before="0" w:after="240"/>
        <w:rPr>
          <w:noProof/>
          <w:szCs w:val="24"/>
        </w:rPr>
      </w:pPr>
      <w:r>
        <w:rPr>
          <w:noProof/>
        </w:rPr>
        <w:t xml:space="preserve">Tämä aloite ei ole osa REFIT-ohjelmaa. </w:t>
      </w:r>
    </w:p>
    <w:p>
      <w:pPr>
        <w:pStyle w:val="ManualHeading1"/>
        <w:rPr>
          <w:noProof/>
          <w:szCs w:val="24"/>
        </w:rPr>
      </w:pPr>
      <w:r>
        <w:rPr>
          <w:noProof/>
        </w:rPr>
        <w:t>4.</w:t>
      </w:r>
      <w:r>
        <w:rPr>
          <w:noProof/>
        </w:rPr>
        <w:tab/>
        <w:t>TALOUSARVIOVAIKUTUKSET</w:t>
      </w:r>
    </w:p>
    <w:p>
      <w:pPr>
        <w:pBdr>
          <w:top w:val="nil"/>
          <w:left w:val="nil"/>
          <w:bottom w:val="nil"/>
          <w:right w:val="nil"/>
          <w:between w:val="nil"/>
          <w:bar w:val="nil"/>
        </w:pBdr>
        <w:spacing w:before="0" w:after="240"/>
        <w:rPr>
          <w:noProof/>
        </w:rPr>
      </w:pPr>
      <w:r>
        <w:rPr>
          <w:noProof/>
        </w:rPr>
        <w:t>Ainoastaan henkilö- ja hallintoresurssit ovat tarpeen; ne esitetään säädösehdotukseen liittyvässä rahoitusselvityksessä.</w:t>
      </w:r>
    </w:p>
    <w:p>
      <w:pPr>
        <w:pBdr>
          <w:top w:val="nil"/>
          <w:left w:val="nil"/>
          <w:bottom w:val="nil"/>
          <w:right w:val="nil"/>
          <w:between w:val="nil"/>
          <w:bar w:val="nil"/>
        </w:pBdr>
        <w:spacing w:before="0" w:after="240"/>
        <w:rPr>
          <w:noProof/>
          <w:szCs w:val="24"/>
        </w:rPr>
      </w:pPr>
      <w:r>
        <w:rPr>
          <w:noProof/>
        </w:rPr>
        <w:t xml:space="preserve">Edellä esitetyn perusteella komissio pyytää, että neuvosto </w:t>
      </w:r>
    </w:p>
    <w:p>
      <w:pPr>
        <w:pBdr>
          <w:top w:val="nil"/>
          <w:left w:val="nil"/>
          <w:bottom w:val="nil"/>
          <w:right w:val="nil"/>
          <w:between w:val="nil"/>
          <w:bar w:val="nil"/>
        </w:pBdr>
        <w:spacing w:before="0" w:after="240"/>
        <w:rPr>
          <w:rFonts w:eastAsia="Arial Unicode MS"/>
          <w:noProof/>
          <w:color w:val="008000"/>
          <w:szCs w:val="24"/>
        </w:rPr>
      </w:pPr>
      <w:r>
        <w:rPr>
          <w:noProof/>
        </w:rPr>
        <w:t>– hyväksyy unionin puolesta Euroopan parlamentin annettua hyväksyntänsä ”Euroopan yhteisön ja Venäjän federaation hallituksen tiede- ja teknologiayhteistyötä koskevan sopimuksen” uusimisen uudeksi viisivuotiskaudeksi (eli 20.2.2019–19.2.2024).</w:t>
      </w:r>
    </w:p>
    <w:p>
      <w:pPr>
        <w:rPr>
          <w:noProof/>
          <w:szCs w:val="24"/>
        </w:rPr>
      </w:pPr>
      <w:r>
        <w:rPr>
          <w:noProof/>
        </w:rPr>
        <w:t>– valtuuttaa neuvoston puheenjohtajan nimeämään henkilö(n/t), jo(i)lla on valtuudet ilmoittaa Venäjän federaation hallitukselle, että unioni on saattanut päätökseen uusitun sopimuksen voimaantulon edellyttämät sisäiset menettelyt.</w:t>
      </w:r>
    </w:p>
    <w:p>
      <w:pPr>
        <w:rPr>
          <w:noProof/>
          <w:szCs w:val="24"/>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2019/0005 (NLE)</w:t>
      </w:r>
    </w:p>
    <w:p>
      <w:pPr>
        <w:pStyle w:val="Statut"/>
        <w:rPr>
          <w:noProof/>
        </w:rPr>
      </w:pPr>
      <w:r>
        <w:rPr>
          <w:noProof/>
        </w:rPr>
        <w:t>Ehdotus</w:t>
      </w:r>
    </w:p>
    <w:p>
      <w:pPr>
        <w:pStyle w:val="Typedudocument"/>
        <w:rPr>
          <w:noProof/>
        </w:rPr>
      </w:pPr>
      <w:r>
        <w:rPr>
          <w:noProof/>
        </w:rPr>
        <w:t>NEUVOSTON PÄÄTÖS</w:t>
      </w:r>
    </w:p>
    <w:p>
      <w:pPr>
        <w:pStyle w:val="Titreobjet"/>
        <w:rPr>
          <w:noProof/>
        </w:rPr>
      </w:pPr>
      <w:r>
        <w:rPr>
          <w:noProof/>
        </w:rPr>
        <w:t xml:space="preserve">Euroopan yhteisön ja Venäjän federaation hallituksen välisen tiede- ja teknologiayhteistyötä koskevan sopimuksen uusimisesta </w:t>
      </w:r>
    </w:p>
    <w:p>
      <w:pPr>
        <w:pStyle w:val="Institutionquiagit"/>
        <w:rPr>
          <w:noProof/>
        </w:rPr>
      </w:pPr>
      <w:r>
        <w:rPr>
          <w:noProof/>
        </w:rPr>
        <w:t>EUROOPAN UNIONIN NEUVOSTO, joka</w:t>
      </w:r>
    </w:p>
    <w:p>
      <w:pPr>
        <w:rPr>
          <w:noProof/>
          <w:sz w:val="23"/>
          <w:szCs w:val="23"/>
        </w:rPr>
      </w:pPr>
      <w:r>
        <w:rPr>
          <w:noProof/>
        </w:rPr>
        <w:t>ottaa huomioon Euroopan unionin toiminnasta tehdyn sopimuksen ja erityisesti sen 186 artiklan yhdessä 218 artiklan 6 kohdan a alakohdan kanssa,</w:t>
      </w:r>
    </w:p>
    <w:p>
      <w:pPr>
        <w:rPr>
          <w:noProof/>
        </w:rPr>
      </w:pPr>
      <w:r>
        <w:rPr>
          <w:noProof/>
        </w:rPr>
        <w:t>ottaa huomioon Euroopan komission ehdotuksen,</w:t>
      </w:r>
    </w:p>
    <w:p>
      <w:pPr>
        <w:rPr>
          <w:noProof/>
        </w:rPr>
      </w:pPr>
      <w:r>
        <w:rPr>
          <w:noProof/>
        </w:rPr>
        <w:t>ottaa huomioon Euroopan parlamentin hyväksynnän,</w:t>
      </w:r>
    </w:p>
    <w:p>
      <w:pPr>
        <w:rPr>
          <w:noProof/>
        </w:rPr>
      </w:pPr>
      <w:r>
        <w:rPr>
          <w:noProof/>
        </w:rPr>
        <w:t>sekä katsoo seuraavaa:</w:t>
      </w:r>
    </w:p>
    <w:p>
      <w:pPr>
        <w:pStyle w:val="ManualConsidrant"/>
        <w:rPr>
          <w:noProof/>
        </w:rPr>
      </w:pPr>
      <w:r>
        <w:rPr>
          <w:noProof/>
        </w:rPr>
        <w:t>(1)</w:t>
      </w:r>
      <w:r>
        <w:rPr>
          <w:noProof/>
        </w:rPr>
        <w:tab/>
        <w:t>Neuvosto hyväksyi päätöksellä 2000/742/EY</w:t>
      </w:r>
      <w:r>
        <w:rPr>
          <w:rStyle w:val="FootnoteReference"/>
          <w:noProof/>
        </w:rPr>
        <w:footnoteReference w:id="6"/>
      </w:r>
      <w:r>
        <w:rPr>
          <w:noProof/>
        </w:rPr>
        <w:t>, että Euroopan yhteisön ja Venäjän federaation hallituksen välillä tehdään tiede- ja teknologiayhteistyötä koskeva sopimus, jäljempänä ’sopimus’. Sopimus allekirjoitettiin Brysselissä 16 päivänä marraskuuta 2000, ja se tuli voimaan 10 päivänä toukokuuta 2001.</w:t>
      </w:r>
    </w:p>
    <w:p>
      <w:pPr>
        <w:pStyle w:val="ManualConsidrant"/>
        <w:rPr>
          <w:noProof/>
        </w:rPr>
      </w:pPr>
      <w:r>
        <w:rPr>
          <w:noProof/>
        </w:rPr>
        <w:t>(2)</w:t>
      </w:r>
      <w:r>
        <w:rPr>
          <w:noProof/>
        </w:rPr>
        <w:tab/>
        <w:t xml:space="preserve">Sopimuksen 12 artiklan b alakohdan mukaisesti sopimus – joka tehtiin alun perin 31 päivään joulukuuta 2002 saakka – voidaan uusia sopimuspuolten yhteisellä sopimuksella uusiksi viisivuotiskausiksi. </w:t>
      </w:r>
    </w:p>
    <w:p>
      <w:pPr>
        <w:pStyle w:val="ManualConsidrant"/>
        <w:rPr>
          <w:noProof/>
        </w:rPr>
      </w:pPr>
      <w:r>
        <w:rPr>
          <w:noProof/>
        </w:rPr>
        <w:t>(3)</w:t>
      </w:r>
      <w:r>
        <w:rPr>
          <w:noProof/>
        </w:rPr>
        <w:tab/>
        <w:t>Neuvosto hyväksyi päätöksillä 2003/798/EY</w:t>
      </w:r>
      <w:r>
        <w:rPr>
          <w:rStyle w:val="FootnoteReference"/>
          <w:noProof/>
        </w:rPr>
        <w:footnoteReference w:id="7"/>
      </w:r>
      <w:r>
        <w:rPr>
          <w:noProof/>
        </w:rPr>
        <w:t>, 2009/313/EY</w:t>
      </w:r>
      <w:r>
        <w:rPr>
          <w:rStyle w:val="FootnoteReference"/>
          <w:noProof/>
        </w:rPr>
        <w:footnoteReference w:id="8"/>
      </w:r>
      <w:r>
        <w:rPr>
          <w:noProof/>
        </w:rPr>
        <w:t xml:space="preserve"> ja 2014/50/EU</w:t>
      </w:r>
      <w:r>
        <w:rPr>
          <w:rStyle w:val="FootnoteReference"/>
          <w:noProof/>
        </w:rPr>
        <w:footnoteReference w:id="9"/>
      </w:r>
      <w:r>
        <w:rPr>
          <w:noProof/>
        </w:rPr>
        <w:t xml:space="preserve"> sopimuksen uusimisen kulloinkin uudeksi viisivuotiskaudeksi. Nykyisen sopimuksen voimassaolon on määrä päättyä 20 päivänä helmikuuta 2019. </w:t>
      </w:r>
    </w:p>
    <w:p>
      <w:pPr>
        <w:pStyle w:val="ManualConsidrant"/>
        <w:rPr>
          <w:rFonts w:eastAsia="Times New Roman"/>
          <w:noProof/>
          <w:color w:val="000000"/>
        </w:rPr>
      </w:pPr>
      <w:r>
        <w:rPr>
          <w:noProof/>
        </w:rPr>
        <w:t>(4)</w:t>
      </w:r>
      <w:r>
        <w:rPr>
          <w:noProof/>
        </w:rPr>
        <w:tab/>
        <w:t>Kumpikin sopimuspuoli vahvisti aikomuksensa uusia sopimus uudeksi viisivuotiskaudeksi ilman mitään muutoksia sopimukseen.</w:t>
      </w:r>
      <w:r>
        <w:rPr>
          <w:noProof/>
          <w:color w:val="000000"/>
        </w:rPr>
        <w:t xml:space="preserve"> </w:t>
      </w:r>
    </w:p>
    <w:p>
      <w:pPr>
        <w:pStyle w:val="ManualConsidrant"/>
        <w:rPr>
          <w:rFonts w:eastAsia="Times New Roman"/>
          <w:noProof/>
          <w:color w:val="000000"/>
        </w:rPr>
      </w:pPr>
      <w:r>
        <w:rPr>
          <w:noProof/>
        </w:rPr>
        <w:t>(5)</w:t>
      </w:r>
      <w:r>
        <w:rPr>
          <w:noProof/>
        </w:rPr>
        <w:tab/>
      </w:r>
      <w:r>
        <w:rPr>
          <w:noProof/>
          <w:color w:val="000000"/>
        </w:rPr>
        <w:t>Sopimuksen piiriin kuuluvissa toimissa on noudatettava tiukasti SEUT-sopimuksen 215 artiklan nojalla hyväksytyissä rajoittavissa toimenpiteissä säädettyjä ehtoja ja menettelyjä</w:t>
      </w:r>
      <w:r>
        <w:rPr>
          <w:rStyle w:val="FootnoteReference"/>
          <w:noProof/>
        </w:rPr>
        <w:footnoteReference w:id="10"/>
      </w:r>
      <w:r>
        <w:rPr>
          <w:noProof/>
          <w:color w:val="000000"/>
        </w:rPr>
        <w:t>.</w:t>
      </w:r>
    </w:p>
    <w:p>
      <w:pPr>
        <w:pStyle w:val="ManualConsidrant"/>
        <w:rPr>
          <w:noProof/>
        </w:rPr>
      </w:pPr>
      <w:r>
        <w:rPr>
          <w:noProof/>
        </w:rPr>
        <w:t>(6)</w:t>
      </w:r>
      <w:r>
        <w:rPr>
          <w:noProof/>
        </w:rPr>
        <w:tab/>
        <w:t xml:space="preserve">Sopimuksen uusiminen olisi hyväksyttävä Euroopan unionin puolesta, </w:t>
      </w:r>
    </w:p>
    <w:p>
      <w:pPr>
        <w:pStyle w:val="Formuledadoption"/>
        <w:rPr>
          <w:noProof/>
        </w:rPr>
      </w:pPr>
      <w:r>
        <w:rPr>
          <w:noProof/>
        </w:rPr>
        <w:lastRenderedPageBreak/>
        <w:t xml:space="preserve">ON HYVÄKSYNYT TÄMÄN PÄÄTÖKSEN: </w:t>
      </w:r>
    </w:p>
    <w:p>
      <w:pPr>
        <w:pStyle w:val="Titrearticle"/>
        <w:rPr>
          <w:noProof/>
        </w:rPr>
      </w:pPr>
      <w:r>
        <w:rPr>
          <w:noProof/>
        </w:rPr>
        <w:t>1 artikla</w:t>
      </w:r>
    </w:p>
    <w:p>
      <w:pPr>
        <w:rPr>
          <w:noProof/>
          <w:color w:val="0000FF"/>
        </w:rPr>
      </w:pPr>
      <w:r>
        <w:rPr>
          <w:noProof/>
          <w:sz w:val="23"/>
        </w:rPr>
        <w:t>Hyväksytään unionin puolesta Euroopan yhteisön ja Venäjän federaation hallituksen välisen tiede- ja teknologiayhteistyötä koskevan sopimuksen uusiminen uudeksi viisivuotiskaudeksi.</w:t>
      </w:r>
    </w:p>
    <w:p>
      <w:pPr>
        <w:pStyle w:val="Titrearticle"/>
        <w:keepNext w:val="0"/>
        <w:rPr>
          <w:noProof/>
        </w:rPr>
      </w:pPr>
      <w:r>
        <w:rPr>
          <w:noProof/>
        </w:rPr>
        <w:t>2 artikla</w:t>
      </w:r>
    </w:p>
    <w:p>
      <w:pPr>
        <w:rPr>
          <w:noProof/>
          <w:szCs w:val="24"/>
        </w:rPr>
      </w:pPr>
      <w:r>
        <w:rPr>
          <w:noProof/>
        </w:rPr>
        <w:t>Neuvoston puheenjohtaja nimeää henkilö(n/t), jo(i)lla on valtuudet ilmoittaa Venäjän federaation hallitukselle unionin puolesta siitä, että unioni on saattanut päätökseen sopimuksen uusimisen edellyttämät sisäiset menettelyt sopimuksen 12 artiklan b alakohdan mukaisesti.</w:t>
      </w:r>
      <w:r>
        <w:rPr>
          <w:noProof/>
          <w:sz w:val="23"/>
        </w:rPr>
        <w:t xml:space="preserve">  </w:t>
      </w:r>
    </w:p>
    <w:p>
      <w:pPr>
        <w:pStyle w:val="Titrearticle"/>
        <w:keepNext w:val="0"/>
        <w:rPr>
          <w:noProof/>
        </w:rPr>
      </w:pPr>
      <w:r>
        <w:rPr>
          <w:noProof/>
        </w:rPr>
        <w:t>3 artikla</w:t>
      </w:r>
    </w:p>
    <w:p>
      <w:pPr>
        <w:rPr>
          <w:noProof/>
        </w:rPr>
      </w:pPr>
      <w:r>
        <w:rPr>
          <w:noProof/>
          <w:sz w:val="23"/>
        </w:rPr>
        <w:t>Tämä päätös tulee voimaan päivänä, jona se hyväksytään.</w:t>
      </w:r>
    </w:p>
    <w:p>
      <w:pPr>
        <w:rPr>
          <w:noProof/>
        </w:rPr>
      </w:pP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SÄÄDÖSEHDOTUKSEEN LIITTYVÄ RAHOITUSSELVITYS</w:t>
      </w:r>
    </w:p>
    <w:p>
      <w:pPr>
        <w:pStyle w:val="ManualHeading1"/>
        <w:rPr>
          <w:noProof/>
        </w:rPr>
      </w:pPr>
      <w:r>
        <w:rPr>
          <w:noProof/>
        </w:rPr>
        <w:t>1.</w:t>
      </w:r>
      <w:r>
        <w:rPr>
          <w:noProof/>
        </w:rPr>
        <w:tab/>
        <w:t xml:space="preserve">PERUSTIEDOT EHDOTUKSESTA/ALOITTEESTA </w:t>
      </w:r>
    </w:p>
    <w:p>
      <w:pPr>
        <w:pStyle w:val="ManualHeading2"/>
        <w:rPr>
          <w:b w:val="0"/>
          <w:noProof/>
        </w:rPr>
      </w:pPr>
      <w:r>
        <w:rPr>
          <w:noProof/>
        </w:rPr>
        <w:tab/>
      </w:r>
      <w:r>
        <w:rPr>
          <w:b w:val="0"/>
          <w:noProof/>
        </w:rPr>
        <w:t>1.1.</w:t>
      </w:r>
      <w:r>
        <w:rPr>
          <w:noProof/>
        </w:rPr>
        <w:tab/>
      </w:r>
      <w:r>
        <w:rPr>
          <w:b w:val="0"/>
          <w:noProof/>
        </w:rPr>
        <w:t xml:space="preserve">Ehdotuksen/aloitteen nimi </w:t>
      </w:r>
    </w:p>
    <w:p>
      <w:pPr>
        <w:pStyle w:val="ManualHeading2"/>
        <w:rPr>
          <w:b w:val="0"/>
          <w:noProof/>
        </w:rPr>
      </w:pPr>
      <w:r>
        <w:rPr>
          <w:noProof/>
        </w:rPr>
        <w:tab/>
      </w:r>
      <w:r>
        <w:rPr>
          <w:b w:val="0"/>
          <w:noProof/>
        </w:rPr>
        <w:t>1.2.</w:t>
      </w:r>
      <w:r>
        <w:rPr>
          <w:noProof/>
        </w:rPr>
        <w:tab/>
      </w:r>
      <w:r>
        <w:rPr>
          <w:b w:val="0"/>
          <w:noProof/>
        </w:rPr>
        <w:t>Toimintalohko(t) toimintoperusteisessa johtamis- ja budjetointijärjestelmässä (ABM/ABB)</w:t>
      </w:r>
    </w:p>
    <w:p>
      <w:pPr>
        <w:pStyle w:val="ManualHeading2"/>
        <w:rPr>
          <w:b w:val="0"/>
          <w:noProof/>
        </w:rPr>
      </w:pPr>
      <w:r>
        <w:rPr>
          <w:noProof/>
        </w:rPr>
        <w:tab/>
      </w:r>
      <w:r>
        <w:rPr>
          <w:b w:val="0"/>
          <w:noProof/>
        </w:rPr>
        <w:t>1.3.</w:t>
      </w:r>
      <w:r>
        <w:rPr>
          <w:noProof/>
        </w:rPr>
        <w:tab/>
      </w:r>
      <w:r>
        <w:rPr>
          <w:b w:val="0"/>
          <w:noProof/>
        </w:rPr>
        <w:t xml:space="preserve">Ehdotuksen/aloitteen luonne </w:t>
      </w:r>
    </w:p>
    <w:p>
      <w:pPr>
        <w:pStyle w:val="ManualHeading2"/>
        <w:rPr>
          <w:b w:val="0"/>
          <w:noProof/>
        </w:rPr>
      </w:pPr>
      <w:r>
        <w:rPr>
          <w:noProof/>
        </w:rPr>
        <w:tab/>
      </w:r>
      <w:r>
        <w:rPr>
          <w:b w:val="0"/>
          <w:noProof/>
        </w:rPr>
        <w:t>1.4.</w:t>
      </w:r>
      <w:r>
        <w:rPr>
          <w:noProof/>
        </w:rPr>
        <w:tab/>
      </w:r>
      <w:r>
        <w:rPr>
          <w:b w:val="0"/>
          <w:noProof/>
        </w:rPr>
        <w:t xml:space="preserve">Tavoite (Tavoitteet) </w:t>
      </w:r>
    </w:p>
    <w:p>
      <w:pPr>
        <w:pStyle w:val="ManualHeading2"/>
        <w:rPr>
          <w:b w:val="0"/>
          <w:noProof/>
        </w:rPr>
      </w:pPr>
      <w:r>
        <w:rPr>
          <w:noProof/>
        </w:rPr>
        <w:tab/>
      </w:r>
      <w:r>
        <w:rPr>
          <w:b w:val="0"/>
          <w:noProof/>
        </w:rPr>
        <w:t>1.5.</w:t>
      </w:r>
      <w:r>
        <w:rPr>
          <w:noProof/>
        </w:rPr>
        <w:tab/>
      </w:r>
      <w:r>
        <w:rPr>
          <w:b w:val="0"/>
          <w:noProof/>
        </w:rPr>
        <w:t xml:space="preserve">Ehdotuksen/aloitteen perustelut </w:t>
      </w:r>
    </w:p>
    <w:p>
      <w:pPr>
        <w:pStyle w:val="ManualHeading2"/>
        <w:rPr>
          <w:b w:val="0"/>
          <w:noProof/>
        </w:rPr>
      </w:pPr>
      <w:r>
        <w:rPr>
          <w:noProof/>
        </w:rPr>
        <w:tab/>
      </w:r>
      <w:r>
        <w:rPr>
          <w:b w:val="0"/>
          <w:noProof/>
        </w:rPr>
        <w:t>1.6.</w:t>
      </w:r>
      <w:r>
        <w:rPr>
          <w:noProof/>
        </w:rPr>
        <w:tab/>
      </w:r>
      <w:r>
        <w:rPr>
          <w:b w:val="0"/>
          <w:noProof/>
        </w:rPr>
        <w:t xml:space="preserve">Toiminnan ja sen rahoitusvaikutusten kesto </w:t>
      </w:r>
    </w:p>
    <w:p>
      <w:pPr>
        <w:pStyle w:val="ManualHeading2"/>
        <w:rPr>
          <w:b w:val="0"/>
          <w:noProof/>
        </w:rPr>
      </w:pPr>
      <w:r>
        <w:rPr>
          <w:noProof/>
        </w:rPr>
        <w:tab/>
      </w:r>
      <w:r>
        <w:rPr>
          <w:b w:val="0"/>
          <w:noProof/>
        </w:rPr>
        <w:t>1.7.</w:t>
      </w:r>
      <w:r>
        <w:rPr>
          <w:noProof/>
        </w:rPr>
        <w:tab/>
      </w:r>
      <w:r>
        <w:rPr>
          <w:b w:val="0"/>
          <w:noProof/>
        </w:rPr>
        <w:t xml:space="preserve">Hallinnointitapa (Hallinnointitavat) </w:t>
      </w:r>
    </w:p>
    <w:p>
      <w:pPr>
        <w:pStyle w:val="ManualHeading1"/>
        <w:rPr>
          <w:noProof/>
        </w:rPr>
      </w:pPr>
      <w:r>
        <w:rPr>
          <w:noProof/>
        </w:rPr>
        <w:t>2.</w:t>
      </w:r>
      <w:r>
        <w:rPr>
          <w:noProof/>
        </w:rPr>
        <w:tab/>
        <w:t xml:space="preserve">HALLINNOINTI </w:t>
      </w:r>
    </w:p>
    <w:p>
      <w:pPr>
        <w:pStyle w:val="ManualHeading2"/>
        <w:rPr>
          <w:b w:val="0"/>
          <w:noProof/>
        </w:rPr>
      </w:pPr>
      <w:r>
        <w:rPr>
          <w:noProof/>
        </w:rPr>
        <w:tab/>
      </w:r>
      <w:r>
        <w:rPr>
          <w:b w:val="0"/>
          <w:noProof/>
        </w:rPr>
        <w:t>2.1.</w:t>
      </w:r>
      <w:r>
        <w:rPr>
          <w:noProof/>
        </w:rPr>
        <w:tab/>
      </w:r>
      <w:r>
        <w:rPr>
          <w:b w:val="0"/>
          <w:noProof/>
        </w:rPr>
        <w:t xml:space="preserve">Seuranta- ja raportointisäännöt </w:t>
      </w:r>
    </w:p>
    <w:p>
      <w:pPr>
        <w:pStyle w:val="ManualHeading2"/>
        <w:rPr>
          <w:b w:val="0"/>
          <w:noProof/>
        </w:rPr>
      </w:pPr>
      <w:r>
        <w:rPr>
          <w:noProof/>
        </w:rPr>
        <w:tab/>
      </w:r>
      <w:r>
        <w:rPr>
          <w:b w:val="0"/>
          <w:noProof/>
        </w:rPr>
        <w:t>2.2.</w:t>
      </w:r>
      <w:r>
        <w:rPr>
          <w:noProof/>
        </w:rPr>
        <w:tab/>
      </w:r>
      <w:r>
        <w:rPr>
          <w:b w:val="0"/>
          <w:noProof/>
        </w:rPr>
        <w:t xml:space="preserve">Hallinnointi- ja valvontajärjestelmä </w:t>
      </w:r>
    </w:p>
    <w:p>
      <w:pPr>
        <w:pStyle w:val="ManualHeading2"/>
        <w:rPr>
          <w:b w:val="0"/>
          <w:noProof/>
        </w:rPr>
      </w:pPr>
      <w:r>
        <w:rPr>
          <w:noProof/>
        </w:rPr>
        <w:tab/>
      </w:r>
      <w:r>
        <w:rPr>
          <w:b w:val="0"/>
          <w:noProof/>
        </w:rPr>
        <w:t>2.3.</w:t>
      </w:r>
      <w:r>
        <w:rPr>
          <w:noProof/>
        </w:rPr>
        <w:tab/>
      </w:r>
      <w:r>
        <w:rPr>
          <w:b w:val="0"/>
          <w:noProof/>
        </w:rPr>
        <w:t xml:space="preserve">Toimenpiteet petosten ja sääntöjenvastaisuuksien ehkäisemiseksi </w:t>
      </w:r>
    </w:p>
    <w:p>
      <w:pPr>
        <w:pStyle w:val="ManualHeading1"/>
        <w:rPr>
          <w:noProof/>
        </w:rPr>
      </w:pPr>
      <w:r>
        <w:rPr>
          <w:noProof/>
        </w:rPr>
        <w:t>3.</w:t>
      </w:r>
      <w:r>
        <w:rPr>
          <w:noProof/>
        </w:rPr>
        <w:tab/>
        <w:t xml:space="preserve">EHDOTUKSEN/ALOITTEEN ARVIOIDUT RAHOITUSVAIKUTUKSET </w:t>
      </w:r>
    </w:p>
    <w:p>
      <w:pPr>
        <w:pStyle w:val="ManualHeading2"/>
        <w:rPr>
          <w:b w:val="0"/>
          <w:noProof/>
        </w:rPr>
      </w:pPr>
      <w:r>
        <w:rPr>
          <w:noProof/>
        </w:rPr>
        <w:tab/>
      </w:r>
      <w:r>
        <w:rPr>
          <w:b w:val="0"/>
          <w:noProof/>
        </w:rPr>
        <w:t>3.1.</w:t>
      </w:r>
      <w:r>
        <w:rPr>
          <w:noProof/>
        </w:rPr>
        <w:tab/>
      </w:r>
      <w:r>
        <w:rPr>
          <w:b w:val="0"/>
          <w:noProof/>
        </w:rPr>
        <w:t xml:space="preserve">Kyseeseen tulevat monivuotisen rahoituskehyksen otsakkeet ja menopuolen budjettikohdat </w:t>
      </w:r>
    </w:p>
    <w:p>
      <w:pPr>
        <w:pStyle w:val="ManualHeading2"/>
        <w:rPr>
          <w:noProof/>
        </w:rPr>
      </w:pPr>
      <w:r>
        <w:rPr>
          <w:noProof/>
        </w:rPr>
        <w:tab/>
      </w:r>
      <w:r>
        <w:rPr>
          <w:b w:val="0"/>
          <w:noProof/>
        </w:rPr>
        <w:t>3.2.</w:t>
      </w:r>
      <w:r>
        <w:rPr>
          <w:noProof/>
        </w:rPr>
        <w:tab/>
      </w:r>
      <w:r>
        <w:rPr>
          <w:b w:val="0"/>
          <w:noProof/>
        </w:rPr>
        <w:t>Arvioidut vaikutukset menoihin</w:t>
      </w:r>
      <w:r>
        <w:rPr>
          <w:noProof/>
        </w:rPr>
        <w:t xml:space="preserve"> </w:t>
      </w:r>
    </w:p>
    <w:p>
      <w:pPr>
        <w:pStyle w:val="ManualHeading3"/>
        <w:rPr>
          <w:noProof/>
        </w:rPr>
      </w:pPr>
      <w:r>
        <w:rPr>
          <w:noProof/>
        </w:rPr>
        <w:tab/>
        <w:t>3.2.1.</w:t>
      </w:r>
      <w:r>
        <w:rPr>
          <w:noProof/>
        </w:rPr>
        <w:tab/>
        <w:t xml:space="preserve">Yhteenveto arvioiduista vaikutuksista menoihin </w:t>
      </w:r>
    </w:p>
    <w:p>
      <w:pPr>
        <w:pStyle w:val="ManualHeading3"/>
        <w:rPr>
          <w:noProof/>
        </w:rPr>
      </w:pPr>
      <w:r>
        <w:rPr>
          <w:noProof/>
        </w:rPr>
        <w:tab/>
        <w:t>3.2.2.</w:t>
      </w:r>
      <w:r>
        <w:rPr>
          <w:noProof/>
        </w:rPr>
        <w:tab/>
        <w:t xml:space="preserve">Arvioidut vaikutukset toimintamäärärahoihin </w:t>
      </w:r>
    </w:p>
    <w:p>
      <w:pPr>
        <w:pStyle w:val="ManualHeading3"/>
        <w:rPr>
          <w:noProof/>
        </w:rPr>
      </w:pPr>
      <w:r>
        <w:rPr>
          <w:noProof/>
        </w:rPr>
        <w:tab/>
        <w:t>3.2.3.</w:t>
      </w:r>
      <w:r>
        <w:rPr>
          <w:noProof/>
        </w:rPr>
        <w:tab/>
        <w:t>Arvioidut vaikutukset hallintomäärärahoihin</w:t>
      </w:r>
    </w:p>
    <w:p>
      <w:pPr>
        <w:pStyle w:val="ManualHeading3"/>
        <w:rPr>
          <w:noProof/>
        </w:rPr>
      </w:pPr>
      <w:r>
        <w:rPr>
          <w:noProof/>
        </w:rPr>
        <w:tab/>
        <w:t>3.2.4.</w:t>
      </w:r>
      <w:r>
        <w:rPr>
          <w:noProof/>
        </w:rPr>
        <w:tab/>
        <w:t>Yhteensopivuus nykyisen monivuotisen rahoituskehyksen kanssa</w:t>
      </w:r>
    </w:p>
    <w:p>
      <w:pPr>
        <w:pStyle w:val="ManualHeading3"/>
        <w:rPr>
          <w:noProof/>
        </w:rPr>
      </w:pPr>
      <w:r>
        <w:rPr>
          <w:noProof/>
        </w:rPr>
        <w:tab/>
        <w:t>3.2.5.</w:t>
      </w:r>
      <w:r>
        <w:rPr>
          <w:noProof/>
        </w:rPr>
        <w:tab/>
        <w:t xml:space="preserve">Ulkopuolisten tahojen rahoitusosuudet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Arvioidut vaikutukset tuloihin</w:t>
      </w:r>
    </w:p>
    <w:p>
      <w:pPr>
        <w:jc w:val="center"/>
        <w:rPr>
          <w:noProof/>
        </w:rPr>
      </w:pPr>
      <w:r>
        <w:rPr>
          <w:b/>
          <w:noProof/>
          <w:u w:val="single"/>
        </w:rPr>
        <w:lastRenderedPageBreak/>
        <w:t>SÄÄDÖSEHDOTUKSEEN LIITTYVÄ RAHOITUSSELVITYS</w:t>
      </w:r>
    </w:p>
    <w:p>
      <w:pPr>
        <w:pStyle w:val="ManualHeading1"/>
        <w:rPr>
          <w:noProof/>
        </w:rPr>
      </w:pPr>
      <w:r>
        <w:rPr>
          <w:noProof/>
        </w:rPr>
        <w:t>1.</w:t>
      </w:r>
      <w:r>
        <w:rPr>
          <w:noProof/>
        </w:rPr>
        <w:tab/>
        <w:t xml:space="preserve">PERUSTIEDOT EHDOTUKSESTA/ALOITTEESTA </w:t>
      </w:r>
    </w:p>
    <w:p>
      <w:pPr>
        <w:pStyle w:val="ManualHeading2"/>
        <w:rPr>
          <w:noProof/>
        </w:rPr>
      </w:pPr>
      <w:r>
        <w:rPr>
          <w:noProof/>
        </w:rPr>
        <w:t>1.1.</w:t>
      </w:r>
      <w:r>
        <w:rPr>
          <w:noProof/>
        </w:rPr>
        <w:tab/>
        <w:t xml:space="preserve">Ehdotuksen/aloitteen nimi </w:t>
      </w:r>
    </w:p>
    <w:p>
      <w:pPr>
        <w:pStyle w:val="Text1"/>
        <w:pBdr>
          <w:top w:val="single" w:sz="4" w:space="1" w:color="auto"/>
          <w:left w:val="single" w:sz="4" w:space="4" w:color="auto"/>
          <w:bottom w:val="single" w:sz="4" w:space="1" w:color="auto"/>
          <w:right w:val="single" w:sz="4" w:space="4" w:color="auto"/>
        </w:pBdr>
        <w:rPr>
          <w:noProof/>
        </w:rPr>
      </w:pPr>
      <w:r>
        <w:rPr>
          <w:noProof/>
        </w:rPr>
        <w:t>Ehdotus: neuvoston päätös Euroopan yhteisön ja Venäjän federaation hallituksen välisen tiede- ja teknologiayhteistyötä koskevan sopimuksen uusimisesta</w:t>
      </w:r>
    </w:p>
    <w:p>
      <w:pPr>
        <w:pStyle w:val="ManualHeading2"/>
        <w:rPr>
          <w:noProof/>
          <w:szCs w:val="24"/>
        </w:rPr>
      </w:pPr>
      <w:r>
        <w:rPr>
          <w:noProof/>
        </w:rPr>
        <w:t>1.2.</w:t>
      </w:r>
      <w:r>
        <w:rPr>
          <w:noProof/>
        </w:rPr>
        <w:tab/>
        <w:t>Toimintalohko(t) toimintoperusteisessa johtamis- ja budjetointijärjestelmässä (ABM/ABB)</w:t>
      </w:r>
      <w:r>
        <w:rPr>
          <w:rStyle w:val="FootnoteReference"/>
          <w:noProof/>
        </w:rPr>
        <w:footnoteReference w:id="1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sz w:val="23"/>
        </w:rPr>
        <w:t>Erityisesti pääosastojen</w:t>
      </w:r>
      <w:r>
        <w:rPr>
          <w:rStyle w:val="FootnoteReference"/>
          <w:noProof/>
          <w:sz w:val="23"/>
        </w:rPr>
        <w:footnoteReference w:id="12"/>
      </w:r>
      <w:r>
        <w:rPr>
          <w:noProof/>
          <w:sz w:val="23"/>
        </w:rPr>
        <w:t xml:space="preserve"> RTD, AGRI, CLIMA, JRC, EAC, ENER, GROW, CNECT, MARE ja MOVE toimintastrategia ja koordinointi.</w:t>
      </w:r>
    </w:p>
    <w:p>
      <w:pPr>
        <w:pStyle w:val="ManualHeading2"/>
        <w:rPr>
          <w:bCs/>
          <w:noProof/>
        </w:rPr>
      </w:pPr>
      <w:r>
        <w:rPr>
          <w:noProof/>
        </w:rPr>
        <w:t>1.3.</w:t>
      </w:r>
      <w:r>
        <w:rPr>
          <w:noProof/>
        </w:rPr>
        <w:tab/>
        <w:t>Ehdotuksen/aloitteen luonne</w:t>
      </w:r>
    </w:p>
    <w:p>
      <w:pPr>
        <w:pStyle w:val="Text1"/>
        <w:rPr>
          <w:noProof/>
        </w:rPr>
      </w:pPr>
      <w:r>
        <w:rPr>
          <w:noProof/>
          <w:sz w:val="22"/>
        </w:rPr>
        <w:sym w:font="Wingdings" w:char="F0A8"/>
      </w:r>
      <w:r>
        <w:rPr>
          <w:noProof/>
          <w:sz w:val="22"/>
        </w:rPr>
        <w:t xml:space="preserve"> </w:t>
      </w:r>
      <w:r>
        <w:rPr>
          <w:noProof/>
        </w:rPr>
        <w:t xml:space="preserve">Ehdotus/aloite liittyy </w:t>
      </w:r>
      <w:r>
        <w:rPr>
          <w:b/>
          <w:noProof/>
        </w:rPr>
        <w:t>uuteen toimeen</w:t>
      </w:r>
      <w:r>
        <w:rPr>
          <w:noProof/>
        </w:rPr>
        <w:t xml:space="preserve">. </w:t>
      </w:r>
    </w:p>
    <w:p>
      <w:pPr>
        <w:pStyle w:val="Text1"/>
        <w:rPr>
          <w:b/>
          <w:noProof/>
        </w:rPr>
      </w:pPr>
      <w:r>
        <w:rPr>
          <w:noProof/>
          <w:sz w:val="22"/>
        </w:rPr>
        <w:sym w:font="Wingdings" w:char="F0A8"/>
      </w:r>
      <w:r>
        <w:rPr>
          <w:noProof/>
          <w:sz w:val="22"/>
        </w:rPr>
        <w:t xml:space="preserve"> </w:t>
      </w:r>
      <w:r>
        <w:rPr>
          <w:noProof/>
        </w:rPr>
        <w:t xml:space="preserve">Ehdotus/aloite liittyy </w:t>
      </w:r>
      <w:r>
        <w:rPr>
          <w:b/>
          <w:noProof/>
        </w:rPr>
        <w:t>uuteen toimeen, joka perustuu pilottihankkeeseen tai valmistelutoimeen</w:t>
      </w:r>
      <w:r>
        <w:rPr>
          <w:noProof/>
        </w:rPr>
        <w:t>.</w:t>
      </w:r>
      <w:r>
        <w:rPr>
          <w:b/>
          <w:noProof/>
        </w:rPr>
        <w:t xml:space="preserve">  </w:t>
      </w:r>
    </w:p>
    <w:p>
      <w:pPr>
        <w:pStyle w:val="Text1"/>
        <w:rPr>
          <w:noProof/>
        </w:rPr>
      </w:pPr>
      <w:r>
        <w:rPr>
          <w:noProof/>
          <w:sz w:val="22"/>
        </w:rPr>
        <w:sym w:font="Wingdings" w:char="F0FE"/>
      </w:r>
      <w:r>
        <w:rPr>
          <w:i/>
          <w:noProof/>
          <w:sz w:val="22"/>
        </w:rPr>
        <w:t xml:space="preserve"> </w:t>
      </w:r>
      <w:r>
        <w:rPr>
          <w:noProof/>
        </w:rPr>
        <w:t xml:space="preserve">Ehdotus/aloite liittyy </w:t>
      </w:r>
      <w:r>
        <w:rPr>
          <w:b/>
          <w:noProof/>
        </w:rPr>
        <w:t>käynnissä olevan toimen jatkamiseen</w:t>
      </w:r>
      <w:r>
        <w:rPr>
          <w:noProof/>
        </w:rPr>
        <w:t xml:space="preserve">. </w:t>
      </w:r>
    </w:p>
    <w:p>
      <w:pPr>
        <w:pStyle w:val="Text1"/>
        <w:rPr>
          <w:noProof/>
        </w:rPr>
      </w:pPr>
      <w:r>
        <w:rPr>
          <w:noProof/>
          <w:sz w:val="22"/>
        </w:rPr>
        <w:sym w:font="Wingdings" w:char="F0A8"/>
      </w:r>
      <w:r>
        <w:rPr>
          <w:noProof/>
        </w:rPr>
        <w:t xml:space="preserve">Ehdotus/aloite liittyy </w:t>
      </w:r>
      <w:r>
        <w:rPr>
          <w:b/>
          <w:noProof/>
        </w:rPr>
        <w:t>toimeen, joka on suunnattu uudelleen</w:t>
      </w:r>
      <w:r>
        <w:rPr>
          <w:noProof/>
        </w:rPr>
        <w:t>.</w:t>
      </w:r>
    </w:p>
    <w:p>
      <w:pPr>
        <w:pStyle w:val="ManualHeading2"/>
        <w:rPr>
          <w:bCs/>
          <w:noProof/>
          <w:szCs w:val="24"/>
        </w:rPr>
      </w:pPr>
      <w:r>
        <w:rPr>
          <w:noProof/>
        </w:rPr>
        <w:t>1.4.</w:t>
      </w:r>
      <w:r>
        <w:rPr>
          <w:noProof/>
        </w:rPr>
        <w:tab/>
        <w:t>Tavoite (Tavoitteet)</w:t>
      </w:r>
    </w:p>
    <w:p>
      <w:pPr>
        <w:pStyle w:val="ManualHeading3"/>
        <w:rPr>
          <w:noProof/>
        </w:rPr>
      </w:pPr>
      <w:r>
        <w:rPr>
          <w:noProof/>
        </w:rPr>
        <w:t>1.4.1.</w:t>
      </w:r>
      <w:r>
        <w:rPr>
          <w:noProof/>
        </w:rPr>
        <w:tab/>
        <w:t xml:space="preserve">Komission monivuotinen strateginen tavoite (monivuotiset strategiset tavoitteet), jonka (joiden) saavuttamista ehdotus/aloite tukee </w:t>
      </w:r>
    </w:p>
    <w:p>
      <w:pPr>
        <w:pStyle w:val="Text1"/>
        <w:pBdr>
          <w:top w:val="single" w:sz="4" w:space="1" w:color="auto"/>
          <w:left w:val="single" w:sz="4" w:space="4" w:color="auto"/>
          <w:bottom w:val="single" w:sz="4" w:space="1" w:color="auto"/>
          <w:right w:val="single" w:sz="4" w:space="4" w:color="auto"/>
        </w:pBdr>
        <w:rPr>
          <w:noProof/>
        </w:rPr>
      </w:pPr>
      <w:r>
        <w:rPr>
          <w:noProof/>
          <w:sz w:val="23"/>
        </w:rPr>
        <w:t>Tämän aloitteen myötä molemmat sopimuspuolet voivat parantaa ja tehostaa yhteistyötään molempien kannalta tärkeillä tieteen ja teknologian aloilla.</w:t>
      </w:r>
    </w:p>
    <w:p>
      <w:pPr>
        <w:pStyle w:val="ManualHeading3"/>
        <w:rPr>
          <w:bCs/>
          <w:noProof/>
          <w:szCs w:val="24"/>
        </w:rPr>
      </w:pPr>
      <w:r>
        <w:rPr>
          <w:noProof/>
        </w:rPr>
        <w:t>1.4.2.</w:t>
      </w:r>
      <w:r>
        <w:rPr>
          <w:noProof/>
        </w:rPr>
        <w:tab/>
        <w:t xml:space="preserve">Erityistavoite (erityistavoitteet) sekä toiminto (toiminnot) toimintoperusteisessa johtamis- ja budjetointijärjestelmässä </w:t>
      </w:r>
    </w:p>
    <w:p>
      <w:pPr>
        <w:pStyle w:val="Text1"/>
        <w:pBdr>
          <w:top w:val="single" w:sz="4" w:space="1" w:color="auto"/>
          <w:left w:val="single" w:sz="4" w:space="4" w:color="auto"/>
          <w:bottom w:val="single" w:sz="4" w:space="1" w:color="auto"/>
          <w:right w:val="single" w:sz="4" w:space="3" w:color="auto"/>
        </w:pBdr>
        <w:rPr>
          <w:noProof/>
          <w:u w:val="single"/>
        </w:rPr>
      </w:pPr>
      <w:r>
        <w:rPr>
          <w:noProof/>
          <w:u w:val="single"/>
        </w:rPr>
        <w:t>Erityistavoite nro 4.1</w:t>
      </w:r>
    </w:p>
    <w:p>
      <w:pPr>
        <w:pStyle w:val="Text1"/>
        <w:pBdr>
          <w:top w:val="single" w:sz="4" w:space="1" w:color="auto"/>
          <w:left w:val="single" w:sz="4" w:space="4" w:color="auto"/>
          <w:bottom w:val="single" w:sz="4" w:space="1" w:color="auto"/>
          <w:right w:val="single" w:sz="4" w:space="3" w:color="auto"/>
        </w:pBdr>
        <w:rPr>
          <w:noProof/>
          <w:szCs w:val="24"/>
        </w:rPr>
      </w:pPr>
      <w:r>
        <w:rPr>
          <w:noProof/>
        </w:rPr>
        <w:t>Tämän päätöksen myötä molemmat sopimuspuolet voivat tehostaa yhteistyötään ja kehittää strategisempaa kumppanuutta lisäämällä ja laajentamalla nykyistä yhteistyötä ja vastaamalla globaaleihin haasteisiin edistäen vastavuoroista pääsyä ohjelmiin ja rahoitukseen.</w:t>
      </w:r>
      <w:r>
        <w:rPr>
          <w:noProof/>
          <w:sz w:val="23"/>
        </w:rPr>
        <w:t xml:space="preserve"> </w:t>
      </w:r>
    </w:p>
    <w:p>
      <w:pPr>
        <w:pStyle w:val="Text1"/>
        <w:pBdr>
          <w:top w:val="single" w:sz="4" w:space="1" w:color="auto"/>
          <w:left w:val="single" w:sz="4" w:space="4" w:color="auto"/>
          <w:bottom w:val="single" w:sz="4" w:space="1" w:color="auto"/>
          <w:right w:val="single" w:sz="4" w:space="3" w:color="auto"/>
        </w:pBdr>
        <w:rPr>
          <w:noProof/>
          <w:u w:val="single"/>
        </w:rPr>
      </w:pPr>
      <w:r>
        <w:rPr>
          <w:noProof/>
          <w:u w:val="single"/>
        </w:rPr>
        <w:t>Toiminto (toiminnot) toimintoperusteisessa johtamis- ja budjetointijärjestelmässä</w:t>
      </w:r>
    </w:p>
    <w:p>
      <w:pPr>
        <w:pStyle w:val="Text1"/>
        <w:pBdr>
          <w:top w:val="single" w:sz="4" w:space="1" w:color="auto"/>
          <w:left w:val="single" w:sz="4" w:space="4" w:color="auto"/>
          <w:bottom w:val="single" w:sz="4" w:space="1" w:color="auto"/>
          <w:right w:val="single" w:sz="4" w:space="3" w:color="auto"/>
        </w:pBdr>
        <w:rPr>
          <w:noProof/>
        </w:rPr>
      </w:pPr>
    </w:p>
    <w:p>
      <w:pPr>
        <w:pStyle w:val="ManualHeading3"/>
        <w:rPr>
          <w:bCs/>
          <w:noProof/>
          <w:szCs w:val="24"/>
        </w:rPr>
      </w:pPr>
      <w:r>
        <w:rPr>
          <w:noProof/>
        </w:rPr>
        <w:br w:type="page"/>
      </w:r>
      <w:r>
        <w:rPr>
          <w:noProof/>
        </w:rPr>
        <w:lastRenderedPageBreak/>
        <w:t>1.4.3.</w:t>
      </w:r>
      <w:r>
        <w:rPr>
          <w:noProof/>
        </w:rPr>
        <w:tab/>
        <w:t>Odotettavissa olevat tulokset ja vaikutukset</w:t>
      </w:r>
    </w:p>
    <w:p>
      <w:pPr>
        <w:pStyle w:val="Text1"/>
        <w:rPr>
          <w:i/>
          <w:noProof/>
          <w:sz w:val="20"/>
        </w:rPr>
      </w:pPr>
      <w:r>
        <w:rPr>
          <w:i/>
          <w:noProof/>
          <w:sz w:val="20"/>
        </w:rPr>
        <w:t>Selvitys siitä, miten ehdotuksella/aloitteella on tarkoitus vaikuttaa edunsaajien/kohderyhmän tilanteeseen.</w:t>
      </w:r>
    </w:p>
    <w:p>
      <w:pPr>
        <w:pStyle w:val="Text1"/>
        <w:pBdr>
          <w:top w:val="single" w:sz="4" w:space="1" w:color="auto"/>
          <w:left w:val="single" w:sz="4" w:space="4" w:color="auto"/>
          <w:bottom w:val="single" w:sz="4" w:space="1" w:color="auto"/>
          <w:right w:val="single" w:sz="4" w:space="4" w:color="auto"/>
        </w:pBdr>
        <w:rPr>
          <w:noProof/>
          <w:szCs w:val="24"/>
        </w:rPr>
      </w:pPr>
      <w:r>
        <w:rPr>
          <w:noProof/>
        </w:rPr>
        <w:t>Päätöksen ansiosta sekä unioni että Venäjä voivat hyötyä vastavuoroisesti meneillään olevien yhteistyötoimien kautta saavutettavista tieteellisistä ja teknologisista tuloksista. Päätös mahdollistaa erityistietämyksen ja osaamisen siirron kummankin sopimuspuolen tiedeyhteisön, elinkeinoelämän ja kansalaisten hyväksi.</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1.4.4.</w:t>
      </w:r>
      <w:r>
        <w:rPr>
          <w:noProof/>
        </w:rPr>
        <w:tab/>
        <w:t xml:space="preserve">Tulos- ja vaikutusindikaattorit </w:t>
      </w:r>
    </w:p>
    <w:p>
      <w:pPr>
        <w:pStyle w:val="Text1"/>
        <w:rPr>
          <w:i/>
          <w:noProof/>
          <w:sz w:val="20"/>
        </w:rPr>
      </w:pPr>
      <w:r>
        <w:rPr>
          <w:i/>
          <w:noProof/>
          <w:sz w:val="20"/>
        </w:rPr>
        <w:t>Selvitys siitä, millaisin indikaattorein ehdotuksen/aloitteen toteuttamista seurataan</w:t>
      </w:r>
    </w:p>
    <w:p>
      <w:pPr>
        <w:pStyle w:val="Text1"/>
        <w:pBdr>
          <w:top w:val="single" w:sz="4" w:space="1" w:color="auto"/>
          <w:left w:val="single" w:sz="4" w:space="4" w:color="auto"/>
          <w:bottom w:val="single" w:sz="4" w:space="1" w:color="auto"/>
          <w:right w:val="single" w:sz="4" w:space="4" w:color="auto"/>
        </w:pBdr>
        <w:rPr>
          <w:noProof/>
          <w:szCs w:val="24"/>
        </w:rPr>
      </w:pPr>
      <w:r>
        <w:rPr>
          <w:noProof/>
        </w:rPr>
        <w:t>Komissio seuraa säännöllisesti kaikkia sopimuksen nojalla toteutettavia toimia, myös yhteistyötoimia. Tämä arviointi kattaa muun muassa seuraavat kohdat:</w:t>
      </w:r>
    </w:p>
    <w:p>
      <w:pPr>
        <w:pStyle w:val="Text1"/>
        <w:pBdr>
          <w:top w:val="single" w:sz="4" w:space="1" w:color="auto"/>
          <w:left w:val="single" w:sz="4" w:space="4" w:color="auto"/>
          <w:bottom w:val="single" w:sz="4" w:space="1" w:color="auto"/>
          <w:right w:val="single" w:sz="4" w:space="4" w:color="auto"/>
        </w:pBdr>
        <w:rPr>
          <w:noProof/>
          <w:szCs w:val="24"/>
        </w:rPr>
      </w:pPr>
      <w:r>
        <w:rPr>
          <w:noProof/>
        </w:rPr>
        <w:t>a) yhteistyöindikaattorit — analyysi venäläisten yhteisöjen lukumäärästä ja osallistumistyypistä EU:n rahoittamissa ohjelmissa (esim. ehdotusten määrä, allekirjoitettujen avustussopimusten määrä, yhteistyön pääasialliset yhteydet, pääaiheet; aikaansaadut tuotokset) ja päin vastoin (aina kun tiedot ovat saatavilla);</w:t>
      </w:r>
    </w:p>
    <w:p>
      <w:pPr>
        <w:pStyle w:val="Text1"/>
        <w:pBdr>
          <w:top w:val="single" w:sz="4" w:space="1" w:color="auto"/>
          <w:left w:val="single" w:sz="4" w:space="4" w:color="auto"/>
          <w:bottom w:val="single" w:sz="4" w:space="1" w:color="auto"/>
          <w:right w:val="single" w:sz="4" w:space="4" w:color="auto"/>
        </w:pBdr>
        <w:rPr>
          <w:noProof/>
          <w:szCs w:val="24"/>
        </w:rPr>
      </w:pPr>
      <w:r>
        <w:rPr>
          <w:noProof/>
        </w:rPr>
        <w:t>b) suoritusindikaattorit — EU:n puiteohjelmiin osallistuvien venäläisten yhteisöjen onnistumisaste verrattuna muihin EU:n ulkopuolisiin maihin ja jäsenvaltioihin/assosioituneihin maihin tutkimuksen puiteohjelmassa; analyysi osallistumisen laadusta (esim. ohjelmaan osallistuvien parhaimmiksi rankattujen yliopistojen määrä, yhteistyöhankkeista tulevien patenttien ja julkaisujen määrä);</w:t>
      </w:r>
    </w:p>
    <w:p>
      <w:pPr>
        <w:pStyle w:val="Text1"/>
        <w:pBdr>
          <w:top w:val="single" w:sz="4" w:space="1" w:color="auto"/>
          <w:left w:val="single" w:sz="4" w:space="4" w:color="auto"/>
          <w:bottom w:val="single" w:sz="4" w:space="1" w:color="auto"/>
          <w:right w:val="single" w:sz="4" w:space="4" w:color="auto"/>
        </w:pBdr>
        <w:rPr>
          <w:noProof/>
          <w:szCs w:val="24"/>
        </w:rPr>
      </w:pPr>
      <w:r>
        <w:rPr>
          <w:noProof/>
        </w:rPr>
        <w:t>c) tiedonkeruu asianomaista tutkimusrahoitusohjelmaa laajemmalle ulottuvista yhteistyötoimista ja yhteyksistä sekä arviointi näiden toimien vaikutuksesta, kuten osallistuminen monenvälisiin aloitteisiin ja työryhmiin.</w:t>
      </w:r>
    </w:p>
    <w:p>
      <w:pPr>
        <w:pStyle w:val="ManualHeading2"/>
        <w:rPr>
          <w:bCs/>
          <w:noProof/>
          <w:szCs w:val="24"/>
        </w:rPr>
      </w:pPr>
      <w:r>
        <w:rPr>
          <w:noProof/>
        </w:rPr>
        <w:t>1.5.</w:t>
      </w:r>
      <w:r>
        <w:rPr>
          <w:noProof/>
        </w:rPr>
        <w:tab/>
        <w:t xml:space="preserve">Ehdotuksen/aloitteen perustelut </w:t>
      </w:r>
    </w:p>
    <w:p>
      <w:pPr>
        <w:pStyle w:val="ManualHeading3"/>
        <w:rPr>
          <w:noProof/>
        </w:rPr>
      </w:pPr>
      <w:r>
        <w:rPr>
          <w:noProof/>
        </w:rPr>
        <w:t>1.5.1.</w:t>
      </w:r>
      <w:r>
        <w:rPr>
          <w:noProof/>
        </w:rPr>
        <w:tab/>
        <w:t xml:space="preserve">Tarpeet, joihin ehdotuksella/aloitteella vastataan lyhyellä tai pitkällä aikavälillä </w:t>
      </w:r>
    </w:p>
    <w:p>
      <w:pPr>
        <w:pStyle w:val="Text1"/>
        <w:pBdr>
          <w:top w:val="single" w:sz="4" w:space="1" w:color="auto"/>
          <w:left w:val="single" w:sz="4" w:space="4" w:color="auto"/>
          <w:bottom w:val="single" w:sz="4" w:space="1" w:color="auto"/>
          <w:right w:val="single" w:sz="4" w:space="4" w:color="auto"/>
        </w:pBdr>
        <w:rPr>
          <w:noProof/>
          <w:szCs w:val="24"/>
        </w:rPr>
      </w:pPr>
      <w:r>
        <w:rPr>
          <w:noProof/>
        </w:rPr>
        <w:t>Tämän päätöksen myötä molemmat sopimuspuolet voivat edelleen parantaa ja tehostaa yhteistyötään molempien kannalta tärkeillä tieteen ja teknologian aloilla.</w:t>
      </w:r>
    </w:p>
    <w:p>
      <w:pPr>
        <w:pStyle w:val="ManualHeading3"/>
        <w:rPr>
          <w:bCs/>
          <w:noProof/>
          <w:szCs w:val="24"/>
        </w:rPr>
      </w:pPr>
      <w:r>
        <w:rPr>
          <w:noProof/>
        </w:rPr>
        <w:t>1.5.2.</w:t>
      </w:r>
      <w:r>
        <w:rPr>
          <w:noProof/>
        </w:rPr>
        <w:tab/>
        <w:t>EU:n osallistumisesta saatava lisäarvo</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Tutkimus- ja innovaatioyhteistyö EU:n ja Venäjän federaation välillä on vahvistunut vakaasti viime vuosina. EU:n mukanaolo antaa mahdollisuuden laajempiin ja kattavampiin toimiin, joista kaikki jäsenvaltiot hyötyvät. Tämän sopimuksen uusiminen antaa EU:lle mahdollisuuden saada helpommin käyttöön Venäjän federaatiossa tuotettua tieteellistä tietoa ja osallistua useampiin yhteistyötoimiin, jotka lisäävät tietämyksen ja teknologioiden vaihtoa. </w:t>
      </w:r>
    </w:p>
    <w:p>
      <w:pPr>
        <w:pStyle w:val="ManualHeading3"/>
        <w:rPr>
          <w:bCs/>
          <w:noProof/>
          <w:szCs w:val="24"/>
        </w:rPr>
      </w:pPr>
      <w:r>
        <w:rPr>
          <w:noProof/>
        </w:rPr>
        <w:t>1.5.3.</w:t>
      </w:r>
      <w:r>
        <w:rPr>
          <w:noProof/>
        </w:rPr>
        <w:tab/>
        <w:t>Vastaavista toimista saadut kokemukset</w:t>
      </w:r>
    </w:p>
    <w:p>
      <w:pPr>
        <w:pStyle w:val="Text1"/>
        <w:pBdr>
          <w:top w:val="single" w:sz="4" w:space="1" w:color="auto"/>
          <w:left w:val="single" w:sz="4" w:space="4" w:color="auto"/>
          <w:bottom w:val="single" w:sz="4" w:space="1" w:color="auto"/>
          <w:right w:val="single" w:sz="4" w:space="4" w:color="auto"/>
        </w:pBdr>
        <w:rPr>
          <w:noProof/>
          <w:szCs w:val="24"/>
        </w:rPr>
      </w:pPr>
      <w:r>
        <w:rPr>
          <w:noProof/>
        </w:rPr>
        <w:t>Tiede- ja teknologiayhteistyöstä tähän mennessä saatujen kokemusten perusteella katsotaan, että olisi molemmille osapuolille hyödyksi jatkaa tutkimusyhteistyötä Venäjän federaation kanssa, joka on EU:n strateginen kumppani tieteen ja innovoinnin alalla.</w:t>
      </w:r>
    </w:p>
    <w:p>
      <w:pPr>
        <w:pStyle w:val="ManualHeading3"/>
        <w:rPr>
          <w:bCs/>
          <w:noProof/>
          <w:szCs w:val="24"/>
        </w:rPr>
      </w:pPr>
      <w:r>
        <w:rPr>
          <w:noProof/>
        </w:rPr>
        <w:lastRenderedPageBreak/>
        <w:t>1.5.4.</w:t>
      </w:r>
      <w:r>
        <w:rPr>
          <w:noProof/>
        </w:rPr>
        <w:tab/>
        <w:t>Yhteensopivuus muiden kyseeseen tulevien välineiden kanssa ja mahdolliset synergiaedut</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Venäjän federaation kanssa tehdyn sopimuksen uusimista pidetään täysin johdonmukaisena kansainvälisen tutkimus- ja innovaatioyhteistyön yleisen kehyksen kanssa (COM(2012) 497). </w:t>
      </w:r>
    </w:p>
    <w:p>
      <w:pPr>
        <w:pStyle w:val="ManualHeading2"/>
        <w:rPr>
          <w:bCs/>
          <w:noProof/>
          <w:szCs w:val="24"/>
        </w:rPr>
      </w:pPr>
      <w:r>
        <w:rPr>
          <w:noProof/>
        </w:rPr>
        <w:br w:type="page"/>
      </w:r>
      <w:r>
        <w:rPr>
          <w:noProof/>
        </w:rPr>
        <w:lastRenderedPageBreak/>
        <w:t>1.6.</w:t>
      </w:r>
      <w:r>
        <w:rPr>
          <w:noProof/>
        </w:rPr>
        <w:tab/>
        <w:t xml:space="preserve">Toiminnan ja sen rahoitusvaikutusten kesto </w:t>
      </w:r>
    </w:p>
    <w:p>
      <w:pPr>
        <w:pStyle w:val="Text1"/>
        <w:rPr>
          <w:noProof/>
        </w:rPr>
      </w:pPr>
      <w:r>
        <w:rPr>
          <w:noProof/>
        </w:rPr>
        <w:sym w:font="Wingdings" w:char="F0FE"/>
      </w:r>
      <w:r>
        <w:rPr>
          <w:b/>
          <w:i/>
          <w:noProof/>
        </w:rPr>
        <w:t xml:space="preserve"> </w:t>
      </w:r>
      <w:r>
        <w:rPr>
          <w:noProof/>
        </w:rPr>
        <w:t xml:space="preserve">Ehdotuksen/aloitteen mukaisen toiminnan </w:t>
      </w:r>
      <w:r>
        <w:rPr>
          <w:b/>
          <w:noProof/>
        </w:rPr>
        <w:t>kesto on rajattu</w:t>
      </w:r>
      <w:r>
        <w:rPr>
          <w:noProof/>
        </w:rPr>
        <w:t>.</w:t>
      </w:r>
      <w:r>
        <w:rPr>
          <w:b/>
          <w:noProof/>
        </w:rPr>
        <w:t xml:space="preserve"> </w:t>
      </w:r>
    </w:p>
    <w:p>
      <w:pPr>
        <w:pStyle w:val="ListDash2"/>
        <w:rPr>
          <w:noProof/>
        </w:rPr>
      </w:pPr>
      <w:r>
        <w:rPr>
          <w:noProof/>
        </w:rPr>
        <w:sym w:font="Wingdings" w:char="F0FE"/>
      </w:r>
      <w:r>
        <w:rPr>
          <w:noProof/>
        </w:rPr>
        <w:tab/>
        <w:t>Ehdotuksen/aloitteen mukainen toiminta alkaa 20.2.2019 ja päättyy 19.2.2024.</w:t>
      </w:r>
    </w:p>
    <w:p>
      <w:pPr>
        <w:pStyle w:val="ListDash2"/>
        <w:rPr>
          <w:noProof/>
        </w:rPr>
      </w:pPr>
      <w:r>
        <w:rPr>
          <w:noProof/>
        </w:rPr>
        <w:sym w:font="Wingdings" w:char="F0FE"/>
      </w:r>
      <w:r>
        <w:rPr>
          <w:noProof/>
        </w:rPr>
        <w:tab/>
        <w:t>Rahoitusvaikutukset alkavat 20.2.2019 ja päättyvät 19.2.2024.</w:t>
      </w:r>
    </w:p>
    <w:p>
      <w:pPr>
        <w:pStyle w:val="Text1"/>
        <w:rPr>
          <w:noProof/>
        </w:rPr>
      </w:pPr>
      <w:r>
        <w:rPr>
          <w:noProof/>
        </w:rPr>
        <w:sym w:font="Wingdings" w:char="F0A8"/>
      </w:r>
      <w:r>
        <w:rPr>
          <w:b/>
          <w:i/>
          <w:noProof/>
        </w:rPr>
        <w:t xml:space="preserve"> </w:t>
      </w:r>
      <w:r>
        <w:rPr>
          <w:noProof/>
        </w:rPr>
        <w:t xml:space="preserve">Ehdotuksen/aloitteen mukaisen toiminnan </w:t>
      </w:r>
      <w:r>
        <w:rPr>
          <w:b/>
          <w:noProof/>
        </w:rPr>
        <w:t>kestoa ei ole rajattu</w:t>
      </w:r>
      <w:r>
        <w:rPr>
          <w:noProof/>
        </w:rPr>
        <w:t>.</w:t>
      </w:r>
    </w:p>
    <w:p>
      <w:pPr>
        <w:pStyle w:val="ListDash1"/>
        <w:rPr>
          <w:noProof/>
        </w:rPr>
      </w:pPr>
      <w:r>
        <w:rPr>
          <w:noProof/>
        </w:rPr>
        <w:t>Käynnistysvaihe alkaa vuonna VVVV ja päättyy vuonna VVVV,</w:t>
      </w:r>
    </w:p>
    <w:p>
      <w:pPr>
        <w:pStyle w:val="ListDash1"/>
        <w:rPr>
          <w:noProof/>
        </w:rPr>
      </w:pPr>
      <w:r>
        <w:rPr>
          <w:noProof/>
        </w:rPr>
        <w:t>minkä jälkeen toteutus täydessä laajuudessa.</w:t>
      </w:r>
    </w:p>
    <w:p>
      <w:pPr>
        <w:pStyle w:val="ManualHeading2"/>
        <w:rPr>
          <w:bCs/>
          <w:noProof/>
          <w:szCs w:val="24"/>
        </w:rPr>
      </w:pPr>
      <w:r>
        <w:rPr>
          <w:noProof/>
        </w:rPr>
        <w:t>1.7.</w:t>
      </w:r>
      <w:r>
        <w:rPr>
          <w:noProof/>
        </w:rPr>
        <w:tab/>
        <w:t>Hallinnointitapa (Hallinnointitavat)</w:t>
      </w:r>
      <w:r>
        <w:rPr>
          <w:rStyle w:val="FootnoteReference"/>
          <w:noProof/>
        </w:rPr>
        <w:footnoteReference w:id="13"/>
      </w:r>
      <w:r>
        <w:rPr>
          <w:rStyle w:val="FootnoteReference"/>
          <w:noProof/>
        </w:rPr>
        <w:t xml:space="preserve"> </w:t>
      </w:r>
    </w:p>
    <w:p>
      <w:pPr>
        <w:pStyle w:val="Text1"/>
        <w:rPr>
          <w:noProof/>
        </w:rPr>
      </w:pPr>
      <w:r>
        <w:rPr>
          <w:noProof/>
        </w:rPr>
        <w:sym w:font="Wingdings" w:char="F0FE"/>
      </w:r>
      <w:r>
        <w:rPr>
          <w:i/>
          <w:noProof/>
        </w:rPr>
        <w:t xml:space="preserve"> </w:t>
      </w:r>
      <w:r>
        <w:rPr>
          <w:b/>
          <w:noProof/>
        </w:rPr>
        <w:t>Suora hallinnointi</w:t>
      </w:r>
      <w:r>
        <w:rPr>
          <w:noProof/>
        </w:rPr>
        <w:t>, jonka komissio toteuttaa käyttämällä</w:t>
      </w:r>
    </w:p>
    <w:p>
      <w:pPr>
        <w:pStyle w:val="ListDash2"/>
        <w:rPr>
          <w:rFonts w:cs="EUAlbertina"/>
          <w:noProof/>
        </w:rPr>
      </w:pPr>
      <w:r>
        <w:rPr>
          <w:noProof/>
        </w:rPr>
        <w:sym w:font="Wingdings" w:char="F0A8"/>
      </w:r>
      <w:r>
        <w:rPr>
          <w:noProof/>
        </w:rPr>
        <w:t xml:space="preserve"> yksiköitään, myös unionin edustustoissa olevaa henkilöstöään; </w:t>
      </w:r>
    </w:p>
    <w:p>
      <w:pPr>
        <w:pStyle w:val="ListDash2"/>
        <w:rPr>
          <w:noProof/>
        </w:rPr>
      </w:pPr>
      <w:r>
        <w:rPr>
          <w:noProof/>
        </w:rPr>
        <w:sym w:font="Wingdings" w:char="F0A8"/>
      </w:r>
      <w:r>
        <w:rPr>
          <w:noProof/>
        </w:rPr>
        <w:tab/>
        <w:t xml:space="preserve">toimeenpanovirastoja </w:t>
      </w:r>
    </w:p>
    <w:p>
      <w:pPr>
        <w:pStyle w:val="Text1"/>
        <w:rPr>
          <w:noProof/>
        </w:rPr>
      </w:pPr>
      <w:r>
        <w:rPr>
          <w:noProof/>
        </w:rPr>
        <w:sym w:font="Wingdings" w:char="F0A8"/>
      </w:r>
      <w:r>
        <w:rPr>
          <w:b/>
          <w:i/>
          <w:noProof/>
        </w:rPr>
        <w:t xml:space="preserve"> </w:t>
      </w:r>
      <w:r>
        <w:rPr>
          <w:b/>
          <w:noProof/>
        </w:rPr>
        <w:t>Hallinnointi yhteistyössä</w:t>
      </w:r>
      <w:r>
        <w:rPr>
          <w:noProof/>
        </w:rPr>
        <w:t xml:space="preserve"> jäsenvaltioiden kanssa </w:t>
      </w:r>
    </w:p>
    <w:p>
      <w:pPr>
        <w:pStyle w:val="Text1"/>
        <w:rPr>
          <w:noProof/>
        </w:rPr>
      </w:pPr>
      <w:r>
        <w:rPr>
          <w:noProof/>
        </w:rPr>
        <w:sym w:font="Wingdings" w:char="F0A8"/>
      </w:r>
      <w:r>
        <w:rPr>
          <w:i/>
          <w:noProof/>
        </w:rPr>
        <w:t xml:space="preserve"> </w:t>
      </w:r>
      <w:r>
        <w:rPr>
          <w:b/>
          <w:noProof/>
        </w:rPr>
        <w:t>Välillinen hallinnointi</w:t>
      </w:r>
      <w:r>
        <w:rPr>
          <w:noProof/>
        </w:rPr>
        <w:t>, jossa täytäntöönpanotehtäviä on siirretty:</w:t>
      </w:r>
    </w:p>
    <w:p>
      <w:pPr>
        <w:pStyle w:val="ListDash2"/>
        <w:rPr>
          <w:noProof/>
        </w:rPr>
      </w:pPr>
      <w:r>
        <w:rPr>
          <w:noProof/>
        </w:rPr>
        <w:sym w:font="Wingdings" w:char="F0A8"/>
      </w:r>
      <w:r>
        <w:rPr>
          <w:noProof/>
        </w:rPr>
        <w:t xml:space="preserve"> kolmansille maille tai niiden nimeämille elimille</w:t>
      </w:r>
    </w:p>
    <w:p>
      <w:pPr>
        <w:pStyle w:val="ListDash2"/>
        <w:rPr>
          <w:noProof/>
        </w:rPr>
      </w:pPr>
      <w:r>
        <w:rPr>
          <w:noProof/>
        </w:rPr>
        <w:sym w:font="Wingdings" w:char="F0A8"/>
      </w:r>
      <w:r>
        <w:rPr>
          <w:noProof/>
        </w:rPr>
        <w:t xml:space="preserve"> kansainvälisille järjestöille ja niiden erityisjärjestöille (tarkennettava)</w:t>
      </w:r>
    </w:p>
    <w:p>
      <w:pPr>
        <w:pStyle w:val="ListDash2"/>
        <w:rPr>
          <w:noProof/>
        </w:rPr>
      </w:pPr>
      <w:r>
        <w:rPr>
          <w:noProof/>
        </w:rPr>
        <w:sym w:font="Wingdings" w:char="F0A8"/>
      </w:r>
      <w:r>
        <w:rPr>
          <w:noProof/>
        </w:rPr>
        <w:t xml:space="preserve"> Euroopan investointipankille ja Euroopan investointirahastolle</w:t>
      </w:r>
    </w:p>
    <w:p>
      <w:pPr>
        <w:pStyle w:val="ListDash2"/>
        <w:rPr>
          <w:noProof/>
        </w:rPr>
      </w:pPr>
      <w:r>
        <w:rPr>
          <w:noProof/>
        </w:rPr>
        <w:sym w:font="Wingdings" w:char="F0A8"/>
      </w:r>
      <w:r>
        <w:rPr>
          <w:noProof/>
        </w:rPr>
        <w:t xml:space="preserve"> varainhoitoasetuksen 208 ja 209 artiklassa tarkoitetuille elimille</w:t>
      </w:r>
    </w:p>
    <w:p>
      <w:pPr>
        <w:pStyle w:val="ListDash2"/>
        <w:rPr>
          <w:noProof/>
        </w:rPr>
      </w:pPr>
      <w:r>
        <w:rPr>
          <w:noProof/>
        </w:rPr>
        <w:sym w:font="Wingdings" w:char="F0A8"/>
      </w:r>
      <w:r>
        <w:rPr>
          <w:noProof/>
        </w:rPr>
        <w:t xml:space="preserve"> julkisoikeudellisille yhteisöille</w:t>
      </w:r>
    </w:p>
    <w:p>
      <w:pPr>
        <w:pStyle w:val="ListDash2"/>
        <w:rPr>
          <w:noProof/>
        </w:rPr>
      </w:pPr>
      <w:r>
        <w:rPr>
          <w:noProof/>
        </w:rPr>
        <w:sym w:font="Wingdings" w:char="F0A8"/>
      </w:r>
      <w:r>
        <w:rPr>
          <w:noProof/>
        </w:rPr>
        <w:t xml:space="preserve"> sellaisille julkisen palvelun tehtäviä hoitaville yksityisoikeudellisille elimille, jotka antavat riittävät rahoitustakuut</w:t>
      </w:r>
    </w:p>
    <w:p>
      <w:pPr>
        <w:pStyle w:val="ListDash2"/>
        <w:rPr>
          <w:noProof/>
        </w:rPr>
      </w:pPr>
      <w:r>
        <w:rPr>
          <w:noProof/>
        </w:rPr>
        <w:sym w:font="Wingdings" w:char="F0A8"/>
      </w:r>
      <w:r>
        <w:rPr>
          <w:noProof/>
        </w:rPr>
        <w:t xml:space="preserve"> sellaisille jäsenvaltion yksityisoikeuden mukaisille elimille, joille on annettu tehtäväksi julkisen ja yksityisen sektorin kumppanuuden täytäntöönpano ja jotka antavat riittävät rahoitustakuut</w:t>
      </w:r>
    </w:p>
    <w:p>
      <w:pPr>
        <w:pStyle w:val="ListDash2"/>
        <w:rPr>
          <w:noProof/>
        </w:rPr>
      </w:pPr>
      <w:r>
        <w:rPr>
          <w:noProof/>
        </w:rPr>
        <w:sym w:font="Wingdings" w:char="F0A8"/>
      </w:r>
      <w:r>
        <w:rPr>
          <w:noProof/>
        </w:rPr>
        <w:t xml:space="preserve"> henkilöille, joille on annettu tehtäväksi toteuttaa SEU-sopimuksen V osaston mukaisia yhteisen ulko- ja turvallisuuspolitiikan erityistoimia ja jotka nimetään asiaa koskevassa perussäädöksessä.</w:t>
      </w:r>
    </w:p>
    <w:p>
      <w:pPr>
        <w:pStyle w:val="ListDash2"/>
        <w:rPr>
          <w:i/>
          <w:noProof/>
          <w:sz w:val="18"/>
          <w:u w:val="single"/>
        </w:rPr>
      </w:pPr>
      <w:r>
        <w:rPr>
          <w:i/>
          <w:noProof/>
          <w:sz w:val="18"/>
        </w:rPr>
        <w:t>Jos käytetään useampaa kuin yhtä hallinnointitapaa, huomautuksille varatussa kohdassa olisi annettava lisätietoja.</w:t>
      </w:r>
    </w:p>
    <w:p>
      <w:pPr>
        <w:rPr>
          <w:noProof/>
        </w:rPr>
      </w:pPr>
      <w:r>
        <w:rPr>
          <w:noProof/>
        </w:rPr>
        <w:t xml:space="preserve">Huomautukset: </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lastRenderedPageBreak/>
        <w:t>2.</w:t>
      </w:r>
      <w:r>
        <w:rPr>
          <w:noProof/>
        </w:rPr>
        <w:tab/>
        <w:t xml:space="preserve">HALLINNOINTI </w:t>
      </w:r>
    </w:p>
    <w:p>
      <w:pPr>
        <w:pStyle w:val="ManualHeading2"/>
        <w:rPr>
          <w:noProof/>
        </w:rPr>
      </w:pPr>
      <w:r>
        <w:rPr>
          <w:noProof/>
        </w:rPr>
        <w:t>2.1.</w:t>
      </w:r>
      <w:r>
        <w:rPr>
          <w:noProof/>
        </w:rPr>
        <w:tab/>
        <w:t xml:space="preserve">Seuranta- ja raportointisäännöt </w:t>
      </w:r>
    </w:p>
    <w:p>
      <w:pPr>
        <w:pStyle w:val="Text1"/>
        <w:rPr>
          <w:i/>
          <w:noProof/>
          <w:sz w:val="20"/>
          <w:u w:val="single"/>
        </w:rPr>
      </w:pPr>
      <w:r>
        <w:rPr>
          <w:i/>
          <w:noProof/>
          <w:sz w:val="20"/>
        </w:rPr>
        <w:t>Ilmoitetaan sovellettavat aikavälit ja edellytykset</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Venäjän yhteisöjen osallistumista sopimuksen mukaisesti tutkimuksen ja innovoinnin puiteohjelmaan ja muihin yhteistyötoimiin tarkastellaan säännöllisesti sopimuksen 6 artiklan a alakohdalla perustetun sekakomitean tapaamisissa.</w:t>
      </w:r>
    </w:p>
    <w:p>
      <w:pPr>
        <w:pStyle w:val="ManualHeading2"/>
        <w:rPr>
          <w:bCs/>
          <w:noProof/>
          <w:szCs w:val="24"/>
        </w:rPr>
      </w:pPr>
      <w:r>
        <w:rPr>
          <w:noProof/>
        </w:rPr>
        <w:t>2.2.</w:t>
      </w:r>
      <w:r>
        <w:rPr>
          <w:noProof/>
        </w:rPr>
        <w:tab/>
        <w:t xml:space="preserve">Hallinnointi- ja valvontajärjestelmä </w:t>
      </w:r>
    </w:p>
    <w:p>
      <w:pPr>
        <w:pStyle w:val="ManualHeading3"/>
        <w:rPr>
          <w:noProof/>
        </w:rPr>
      </w:pPr>
      <w:r>
        <w:rPr>
          <w:noProof/>
        </w:rPr>
        <w:t>2.2.1.</w:t>
      </w:r>
      <w:r>
        <w:rPr>
          <w:noProof/>
        </w:rPr>
        <w:tab/>
        <w:t xml:space="preserve">Todetut riskit </w:t>
      </w:r>
    </w:p>
    <w:p>
      <w:pPr>
        <w:pStyle w:val="Text1"/>
        <w:pBdr>
          <w:top w:val="single" w:sz="4" w:space="1" w:color="auto"/>
          <w:left w:val="single" w:sz="4" w:space="4" w:color="auto"/>
          <w:bottom w:val="single" w:sz="4" w:space="1" w:color="auto"/>
          <w:right w:val="single" w:sz="4" w:space="4" w:color="auto"/>
        </w:pBdr>
        <w:rPr>
          <w:noProof/>
          <w:szCs w:val="24"/>
        </w:rPr>
      </w:pPr>
      <w:r>
        <w:rPr>
          <w:noProof/>
        </w:rPr>
        <w:t>Kokoukset ja kahdenvälinen neuvonpito toteutetaan säännöllisesti, mikä mahdollistaa järjestelmällisen tiedonvaihdon ja valvonnan. Valvontajärjestelmässä ei ole todettu riskejä.</w:t>
      </w:r>
    </w:p>
    <w:p>
      <w:pPr>
        <w:pStyle w:val="ManualHeading3"/>
        <w:rPr>
          <w:bCs/>
          <w:noProof/>
          <w:szCs w:val="24"/>
        </w:rPr>
      </w:pPr>
      <w:r>
        <w:rPr>
          <w:noProof/>
        </w:rPr>
        <w:t>2.2.2.</w:t>
      </w:r>
      <w:r>
        <w:rPr>
          <w:noProof/>
        </w:rPr>
        <w:tab/>
        <w:t>Tiedot käyttöön otetusta sisäisen valvonnan järjestelmästä</w:t>
      </w:r>
    </w:p>
    <w:p>
      <w:pPr>
        <w:pStyle w:val="Text1"/>
        <w:pBdr>
          <w:top w:val="single" w:sz="4" w:space="1" w:color="auto"/>
          <w:left w:val="single" w:sz="4" w:space="4" w:color="auto"/>
          <w:bottom w:val="single" w:sz="4" w:space="1" w:color="auto"/>
          <w:right w:val="single" w:sz="4" w:space="4" w:color="auto"/>
        </w:pBdr>
        <w:rPr>
          <w:noProof/>
        </w:rPr>
      </w:pPr>
      <w:r>
        <w:rPr>
          <w:noProof/>
        </w:rPr>
        <w:t>Ei sovelleta.</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rPr>
          <w:noProof/>
        </w:rPr>
        <w:t>2.2.3.</w:t>
      </w:r>
      <w:r>
        <w:rPr>
          <w:noProof/>
        </w:rPr>
        <w:tab/>
        <w:t xml:space="preserve">Arvio tarkastusten kustannustehokkuudesta ja odotettavissa olevasta virheriskin tasosta </w:t>
      </w:r>
    </w:p>
    <w:p>
      <w:pPr>
        <w:pStyle w:val="Text1"/>
        <w:pBdr>
          <w:top w:val="single" w:sz="4" w:space="1" w:color="auto"/>
          <w:left w:val="single" w:sz="4" w:space="4" w:color="auto"/>
          <w:bottom w:val="single" w:sz="4" w:space="1" w:color="auto"/>
          <w:right w:val="single" w:sz="4" w:space="4" w:color="auto"/>
        </w:pBdr>
        <w:rPr>
          <w:noProof/>
        </w:rPr>
      </w:pPr>
      <w:r>
        <w:rPr>
          <w:noProof/>
        </w:rPr>
        <w:t>Ei sovelleta.</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2.3.</w:t>
      </w:r>
      <w:r>
        <w:rPr>
          <w:noProof/>
        </w:rPr>
        <w:tab/>
        <w:t xml:space="preserve">Toimenpiteet petosten ja sääntöjenvastaisuuksien ehkäisemiseksi </w:t>
      </w:r>
    </w:p>
    <w:p>
      <w:pPr>
        <w:pStyle w:val="Text1"/>
        <w:rPr>
          <w:i/>
          <w:noProof/>
          <w:sz w:val="20"/>
        </w:rPr>
      </w:pPr>
      <w:r>
        <w:rPr>
          <w:i/>
          <w:noProof/>
          <w:sz w:val="20"/>
        </w:rPr>
        <w:t>Ilmoitetaan käytössä olevat ja suunnitellut torjunta- ja suojatoimenpiteet.</w:t>
      </w:r>
    </w:p>
    <w:p>
      <w:pPr>
        <w:pStyle w:val="Text1"/>
        <w:pBdr>
          <w:top w:val="single" w:sz="4" w:space="1" w:color="auto"/>
          <w:left w:val="single" w:sz="4" w:space="4" w:color="auto"/>
          <w:bottom w:val="single" w:sz="4" w:space="1" w:color="auto"/>
          <w:right w:val="single" w:sz="4" w:space="4" w:color="auto"/>
        </w:pBdr>
        <w:rPr>
          <w:noProof/>
          <w:szCs w:val="24"/>
        </w:rPr>
      </w:pPr>
      <w:r>
        <w:rPr>
          <w:noProof/>
        </w:rPr>
        <w:t>Jos puiteohjelman toteuttamiseen tarvitaan ulkopuolisia toimeksisaajia tai jos se edellyttää rahoitusta kolmansille osapuolille, komissio tekee tilintarkastuksia tarvittaessa ja erityisesti, jos sillä on syytä epäillä toteutetun tai toimintakertomuksissa kuvaillun työn todenmukaisuutta.</w:t>
      </w:r>
    </w:p>
    <w:p>
      <w:pPr>
        <w:pStyle w:val="Text1"/>
        <w:pBdr>
          <w:top w:val="single" w:sz="4" w:space="1" w:color="auto"/>
          <w:left w:val="single" w:sz="4" w:space="4" w:color="auto"/>
          <w:bottom w:val="single" w:sz="4" w:space="1" w:color="auto"/>
          <w:right w:val="single" w:sz="4" w:space="4" w:color="auto"/>
        </w:pBdr>
        <w:rPr>
          <w:noProof/>
          <w:szCs w:val="24"/>
        </w:rPr>
      </w:pPr>
      <w:r>
        <w:rPr>
          <w:noProof/>
        </w:rPr>
        <w:t>Unionin suorittamissa tilintarkastuksissa käytetään joko unionin omaa henkilöstöä tai tarkastettavan osapuolen lainsäädännön mukaisesti hyväksyttyjä tilintarkastajia. Unioni valitsee nämä tilintarkastajat. Valinta on suoritettava siten, että vältetään kaikki mahdolliset tarkastettavan osapuolen osoittamat eturistiriidat. Komissio varmistaa myös, että tutkimustoimien toteutuksen yhteydessä unionin taloudellisia etuja suojataan tehokkailla tarkastuksilla ja väärinkäytösten ilmetessä oikeasuhteisilla ja varoittavilla toimenpiteillä ja seuraamuksilla.</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Tätä tarkoitusta varten kaikkiin puiteohjelman täytäntöönpanoa koskeviin sopimuksiin on sisällyttävä tarkastuksia, toimenpiteitä ja seuraamuksia koskevat säännöt sekä viittaukset asetuksiin N:o 2988/95, 2185/96 ja 883/2013. </w:t>
      </w:r>
    </w:p>
    <w:p>
      <w:pPr>
        <w:pStyle w:val="Text1"/>
        <w:pBdr>
          <w:top w:val="single" w:sz="4" w:space="1" w:color="auto"/>
          <w:left w:val="single" w:sz="4" w:space="4" w:color="auto"/>
          <w:bottom w:val="single" w:sz="4" w:space="1" w:color="auto"/>
          <w:right w:val="single" w:sz="4" w:space="4" w:color="auto"/>
        </w:pBdr>
        <w:rPr>
          <w:noProof/>
          <w:szCs w:val="24"/>
        </w:rPr>
      </w:pPr>
      <w:r>
        <w:rPr>
          <w:noProof/>
        </w:rPr>
        <w:t>Sopimuksiin on sisällyttävä erityisesti seuraavat:</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 erityiset sopimuslausekkeet, joilla suojellaan EU:n taloudellisia etuja toteutettavan työn valvonnan ja tarkastusten avulla, </w:t>
      </w:r>
    </w:p>
    <w:p>
      <w:pPr>
        <w:pStyle w:val="Text1"/>
        <w:pBdr>
          <w:top w:val="single" w:sz="4" w:space="1" w:color="auto"/>
          <w:left w:val="single" w:sz="4" w:space="4" w:color="auto"/>
          <w:bottom w:val="single" w:sz="4" w:space="1" w:color="auto"/>
          <w:right w:val="single" w:sz="4" w:space="4" w:color="auto"/>
        </w:pBdr>
        <w:rPr>
          <w:noProof/>
          <w:szCs w:val="24"/>
        </w:rPr>
      </w:pPr>
      <w:r>
        <w:rPr>
          <w:noProof/>
        </w:rPr>
        <w:t>- määräys petostentorjunnan alan hallinnollisten tarkastusten suorittamisesta asetusten N:o 2185/96, 1073/1999 ja 1074/1999 mukaisesti,</w:t>
      </w:r>
    </w:p>
    <w:p>
      <w:pPr>
        <w:pStyle w:val="Text1"/>
        <w:pBdr>
          <w:top w:val="single" w:sz="4" w:space="1" w:color="auto"/>
          <w:left w:val="single" w:sz="4" w:space="4" w:color="auto"/>
          <w:bottom w:val="single" w:sz="4" w:space="1" w:color="auto"/>
          <w:right w:val="single" w:sz="4" w:space="4" w:color="auto"/>
        </w:pBdr>
        <w:rPr>
          <w:noProof/>
          <w:szCs w:val="24"/>
        </w:rPr>
      </w:pPr>
      <w:r>
        <w:rPr>
          <w:noProof/>
        </w:rPr>
        <w:lastRenderedPageBreak/>
        <w:t>- määräys hallinnollisten seuraamusten soveltamisesta kaikkiin sopimusten täytäntöönpanoa koskeviin tahallisiin tai tuottamuksellisiin väärinkäytöksiin puiteasetuksen N:o 2988/95 mukaisesti; tässä yhteydessä voidaan soveltaa myös ns. mustaa listaa,</w:t>
      </w:r>
    </w:p>
    <w:p>
      <w:pPr>
        <w:pStyle w:val="Text1"/>
        <w:pBdr>
          <w:top w:val="single" w:sz="4" w:space="1" w:color="auto"/>
          <w:left w:val="single" w:sz="4" w:space="4" w:color="auto"/>
          <w:bottom w:val="single" w:sz="4" w:space="1" w:color="auto"/>
          <w:right w:val="single" w:sz="4" w:space="4" w:color="auto"/>
        </w:pBdr>
        <w:rPr>
          <w:noProof/>
          <w:szCs w:val="24"/>
        </w:rPr>
      </w:pPr>
      <w:r>
        <w:rPr>
          <w:noProof/>
        </w:rPr>
        <w:t>- maininta siitä, että väärinkäytösten ja petosten tapauksessa voidaan soveltaa perintämääräyksiä Euroopan unionin toiminnasta tehdyn sopimuksen 299 artiklan mukaisesti.</w:t>
      </w:r>
    </w:p>
    <w:p>
      <w:pPr>
        <w:pStyle w:val="Text1"/>
        <w:pBdr>
          <w:top w:val="single" w:sz="4" w:space="1" w:color="auto"/>
          <w:left w:val="single" w:sz="4" w:space="4" w:color="auto"/>
          <w:bottom w:val="single" w:sz="4" w:space="1" w:color="auto"/>
          <w:right w:val="single" w:sz="4" w:space="4" w:color="auto"/>
        </w:pBdr>
        <w:rPr>
          <w:noProof/>
          <w:szCs w:val="24"/>
        </w:rPr>
      </w:pPr>
      <w:r>
        <w:rPr>
          <w:noProof/>
        </w:rPr>
        <w:t>Lisäksi tutkimuksen ja innovoinnin pääosaston (PO RTD) vastuullinen henkilöstö toteuttaa rutiinitoimenpiteenä valvontaohjelmaa, jossa seurataan yhteistyön tieteellisiä ja talousarvioon liittyviä näkökohtia. PO RTD:n sisäisen tarkastuksen yksikkö tekee sisäisen tarkastuksen, ja Euroopan tilintarkastustuomioistuin tekee tarkastuksia paikan päällä.</w:t>
      </w:r>
    </w:p>
    <w:p>
      <w:pPr>
        <w:pStyle w:val="Text1"/>
        <w:pBdr>
          <w:top w:val="single" w:sz="4" w:space="1" w:color="auto"/>
          <w:left w:val="single" w:sz="4" w:space="0"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lastRenderedPageBreak/>
        <w:t>3.</w:t>
      </w:r>
      <w:r>
        <w:rPr>
          <w:noProof/>
        </w:rPr>
        <w:tab/>
        <w:t xml:space="preserve">EHDOTUKSEN/ALOITTEEN ARVIOIDUT RAHOITUSVAIKUTUKSET </w:t>
      </w:r>
    </w:p>
    <w:p>
      <w:pPr>
        <w:pStyle w:val="ManualHeading2"/>
        <w:rPr>
          <w:noProof/>
        </w:rPr>
      </w:pPr>
      <w:r>
        <w:rPr>
          <w:noProof/>
        </w:rPr>
        <w:t>3.1.</w:t>
      </w:r>
      <w:r>
        <w:rPr>
          <w:noProof/>
        </w:rPr>
        <w:tab/>
        <w:t xml:space="preserve">Kyseeseen tulevat monivuotisen rahoituskehyksen otsakkeet ja menopuolen budjettikohdat </w:t>
      </w:r>
    </w:p>
    <w:p>
      <w:pPr>
        <w:pStyle w:val="ListBullet1"/>
        <w:rPr>
          <w:noProof/>
        </w:rPr>
      </w:pPr>
      <w:r>
        <w:rPr>
          <w:noProof/>
        </w:rPr>
        <w:t>Talousarviossa jo olevat budjettikohdat</w:t>
      </w:r>
      <w:r>
        <w:rPr>
          <w:rStyle w:val="FootnoteReference"/>
          <w:noProof/>
        </w:rPr>
        <w:footnoteReference w:id="14"/>
      </w:r>
    </w:p>
    <w:p>
      <w:pPr>
        <w:pStyle w:val="Text1"/>
        <w:rPr>
          <w:noProof/>
        </w:rPr>
      </w:pPr>
      <w:r>
        <w:rPr>
          <w:noProof/>
        </w:rPr>
        <w:t xml:space="preserve">Monivuotisen rahoituskehyksen otsakkeiden ja budjettikohtien mukaisessa </w:t>
      </w:r>
      <w:r>
        <w:rPr>
          <w:noProof/>
          <w:u w:val="single"/>
        </w:rPr>
        <w:t>järjestyksessä</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Moni</w:t>
            </w:r>
            <w:r>
              <w:rPr>
                <w:noProof/>
                <w:sz w:val="18"/>
              </w:rPr>
              <w:softHyphen/>
              <w:t>vuotisen rahoitus</w:t>
            </w:r>
            <w:r>
              <w:rPr>
                <w:noProof/>
                <w:sz w:val="18"/>
              </w:rPr>
              <w:softHyphen/>
              <w:t>kehyksen otsake</w:t>
            </w:r>
          </w:p>
        </w:tc>
        <w:tc>
          <w:tcPr>
            <w:tcW w:w="3960" w:type="dxa"/>
            <w:vAlign w:val="center"/>
          </w:tcPr>
          <w:p>
            <w:pPr>
              <w:spacing w:before="60" w:after="60"/>
              <w:jc w:val="center"/>
              <w:rPr>
                <w:noProof/>
                <w:sz w:val="22"/>
              </w:rPr>
            </w:pPr>
            <w:r>
              <w:rPr>
                <w:noProof/>
                <w:sz w:val="20"/>
              </w:rPr>
              <w:t>Budjettikohta</w:t>
            </w:r>
          </w:p>
        </w:tc>
        <w:tc>
          <w:tcPr>
            <w:tcW w:w="1080" w:type="dxa"/>
            <w:vAlign w:val="center"/>
          </w:tcPr>
          <w:p>
            <w:pPr>
              <w:spacing w:before="60" w:after="60"/>
              <w:jc w:val="center"/>
              <w:rPr>
                <w:noProof/>
                <w:sz w:val="22"/>
              </w:rPr>
            </w:pPr>
            <w:r>
              <w:rPr>
                <w:noProof/>
                <w:sz w:val="18"/>
              </w:rPr>
              <w:t xml:space="preserve">Määräraha- </w:t>
            </w:r>
            <w:r>
              <w:rPr>
                <w:noProof/>
                <w:sz w:val="22"/>
              </w:rPr>
              <w:br/>
            </w:r>
            <w:r>
              <w:rPr>
                <w:noProof/>
                <w:sz w:val="18"/>
              </w:rPr>
              <w:t>laji</w:t>
            </w:r>
          </w:p>
        </w:tc>
        <w:tc>
          <w:tcPr>
            <w:tcW w:w="4440" w:type="dxa"/>
            <w:gridSpan w:val="4"/>
            <w:vAlign w:val="center"/>
          </w:tcPr>
          <w:p>
            <w:pPr>
              <w:spacing w:before="60" w:after="60"/>
              <w:jc w:val="center"/>
              <w:rPr>
                <w:noProof/>
                <w:sz w:val="22"/>
              </w:rPr>
            </w:pPr>
            <w:r>
              <w:rPr>
                <w:noProof/>
                <w:sz w:val="20"/>
              </w:rPr>
              <w:t xml:space="preserve">Rahoitusosuudet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 </w:t>
            </w:r>
            <w:r>
              <w:rPr>
                <w:noProof/>
                <w:sz w:val="22"/>
              </w:rPr>
              <w:br/>
            </w:r>
            <w:r>
              <w:rPr>
                <w:noProof/>
                <w:sz w:val="20"/>
              </w:rPr>
              <w:t>Otsake 1a – Kasvua ja työllisyyttä edistävä kilpailukyky</w:t>
            </w:r>
          </w:p>
        </w:tc>
        <w:tc>
          <w:tcPr>
            <w:tcW w:w="1080" w:type="dxa"/>
            <w:vAlign w:val="center"/>
          </w:tcPr>
          <w:p>
            <w:pPr>
              <w:jc w:val="center"/>
              <w:rPr>
                <w:noProof/>
                <w:sz w:val="22"/>
              </w:rPr>
            </w:pPr>
            <w:r>
              <w:rPr>
                <w:noProof/>
                <w:sz w:val="18"/>
              </w:rPr>
              <w:t>JM/EI-JM</w:t>
            </w:r>
            <w:r>
              <w:rPr>
                <w:rStyle w:val="FootnoteReference"/>
                <w:noProof/>
                <w:sz w:val="18"/>
              </w:rPr>
              <w:footnoteReference w:id="15"/>
            </w:r>
          </w:p>
        </w:tc>
        <w:tc>
          <w:tcPr>
            <w:tcW w:w="956" w:type="dxa"/>
            <w:vAlign w:val="center"/>
          </w:tcPr>
          <w:p>
            <w:pPr>
              <w:jc w:val="center"/>
              <w:rPr>
                <w:noProof/>
                <w:sz w:val="22"/>
              </w:rPr>
            </w:pPr>
            <w:r>
              <w:rPr>
                <w:noProof/>
                <w:sz w:val="18"/>
              </w:rPr>
              <w:t>EFTA-mailta</w:t>
            </w:r>
            <w:r>
              <w:rPr>
                <w:rStyle w:val="FootnoteReference"/>
                <w:noProof/>
                <w:sz w:val="18"/>
              </w:rPr>
              <w:footnoteReference w:id="16"/>
            </w:r>
          </w:p>
          <w:p>
            <w:pPr>
              <w:spacing w:before="0" w:after="0"/>
              <w:jc w:val="center"/>
              <w:rPr>
                <w:b/>
                <w:noProof/>
                <w:sz w:val="18"/>
              </w:rPr>
            </w:pPr>
          </w:p>
        </w:tc>
        <w:tc>
          <w:tcPr>
            <w:tcW w:w="1080" w:type="dxa"/>
            <w:vAlign w:val="center"/>
          </w:tcPr>
          <w:p>
            <w:pPr>
              <w:jc w:val="center"/>
              <w:rPr>
                <w:noProof/>
                <w:sz w:val="22"/>
              </w:rPr>
            </w:pPr>
            <w:r>
              <w:rPr>
                <w:noProof/>
                <w:sz w:val="18"/>
              </w:rPr>
              <w:t>ehdokas</w:t>
            </w:r>
            <w:r>
              <w:rPr>
                <w:noProof/>
                <w:sz w:val="18"/>
              </w:rPr>
              <w:softHyphen/>
              <w:t>mailta</w:t>
            </w:r>
            <w:r>
              <w:rPr>
                <w:rStyle w:val="FootnoteReference"/>
                <w:noProof/>
                <w:sz w:val="18"/>
              </w:rPr>
              <w:footnoteReference w:id="17"/>
            </w:r>
          </w:p>
          <w:p>
            <w:pPr>
              <w:spacing w:before="0" w:after="0"/>
              <w:jc w:val="center"/>
              <w:rPr>
                <w:noProof/>
                <w:sz w:val="18"/>
              </w:rPr>
            </w:pPr>
          </w:p>
        </w:tc>
        <w:tc>
          <w:tcPr>
            <w:tcW w:w="956" w:type="dxa"/>
            <w:vAlign w:val="center"/>
          </w:tcPr>
          <w:p>
            <w:pPr>
              <w:jc w:val="center"/>
              <w:rPr>
                <w:noProof/>
                <w:sz w:val="18"/>
              </w:rPr>
            </w:pPr>
            <w:r>
              <w:rPr>
                <w:noProof/>
                <w:sz w:val="18"/>
              </w:rPr>
              <w:t>kolman</w:t>
            </w:r>
            <w:r>
              <w:rPr>
                <w:noProof/>
                <w:sz w:val="18"/>
              </w:rPr>
              <w:softHyphen/>
              <w:t>silta mailta</w:t>
            </w:r>
          </w:p>
        </w:tc>
        <w:tc>
          <w:tcPr>
            <w:tcW w:w="1448" w:type="dxa"/>
            <w:vAlign w:val="center"/>
          </w:tcPr>
          <w:p>
            <w:pPr>
              <w:jc w:val="center"/>
              <w:rPr>
                <w:noProof/>
                <w:sz w:val="22"/>
              </w:rPr>
            </w:pPr>
            <w:r>
              <w:rPr>
                <w:noProof/>
                <w:sz w:val="16"/>
              </w:rPr>
              <w:t>varainhoito</w:t>
            </w:r>
            <w:r>
              <w:rPr>
                <w:noProof/>
                <w:sz w:val="16"/>
              </w:rPr>
              <w:softHyphen/>
              <w:t xml:space="preserve">asetuksen 21 artiklan 2 kohdan b alakohdassa tarkoitetut rahoitusosuudet </w:t>
            </w:r>
          </w:p>
        </w:tc>
      </w:tr>
      <w:tr>
        <w:tc>
          <w:tcPr>
            <w:tcW w:w="1080" w:type="dxa"/>
            <w:vAlign w:val="center"/>
          </w:tcPr>
          <w:p>
            <w:pPr>
              <w:jc w:val="center"/>
              <w:rPr>
                <w:noProof/>
                <w:color w:val="0000FF"/>
                <w:sz w:val="22"/>
              </w:rPr>
            </w:pPr>
            <w:r>
              <w:rPr>
                <w:noProof/>
                <w:sz w:val="20"/>
              </w:rPr>
              <w:t>1a</w:t>
            </w:r>
          </w:p>
        </w:tc>
        <w:tc>
          <w:tcPr>
            <w:tcW w:w="3960" w:type="dxa"/>
            <w:vAlign w:val="center"/>
          </w:tcPr>
          <w:p>
            <w:pPr>
              <w:spacing w:before="60"/>
              <w:jc w:val="center"/>
              <w:rPr>
                <w:b/>
                <w:noProof/>
                <w:sz w:val="22"/>
              </w:rPr>
            </w:pPr>
            <w:r>
              <w:rPr>
                <w:b/>
                <w:noProof/>
                <w:sz w:val="22"/>
              </w:rPr>
              <w:t>08.01.05.01</w:t>
            </w:r>
          </w:p>
        </w:tc>
        <w:tc>
          <w:tcPr>
            <w:tcW w:w="1080" w:type="dxa"/>
            <w:vAlign w:val="center"/>
          </w:tcPr>
          <w:p>
            <w:pPr>
              <w:jc w:val="center"/>
              <w:rPr>
                <w:noProof/>
                <w:color w:val="0000FF"/>
                <w:sz w:val="22"/>
              </w:rPr>
            </w:pPr>
            <w:r>
              <w:rPr>
                <w:noProof/>
                <w:sz w:val="22"/>
              </w:rPr>
              <w:t>EI-JM</w:t>
            </w:r>
          </w:p>
        </w:tc>
        <w:tc>
          <w:tcPr>
            <w:tcW w:w="956" w:type="dxa"/>
            <w:vAlign w:val="center"/>
          </w:tcPr>
          <w:p>
            <w:pPr>
              <w:jc w:val="center"/>
              <w:rPr>
                <w:noProof/>
                <w:sz w:val="22"/>
              </w:rPr>
            </w:pPr>
            <w:r>
              <w:rPr>
                <w:noProof/>
                <w:sz w:val="22"/>
              </w:rPr>
              <w:t>KYLLÄ</w:t>
            </w:r>
          </w:p>
        </w:tc>
        <w:tc>
          <w:tcPr>
            <w:tcW w:w="1080" w:type="dxa"/>
            <w:vAlign w:val="center"/>
          </w:tcPr>
          <w:p>
            <w:pPr>
              <w:jc w:val="center"/>
              <w:rPr>
                <w:noProof/>
                <w:sz w:val="22"/>
              </w:rPr>
            </w:pPr>
            <w:r>
              <w:rPr>
                <w:noProof/>
                <w:sz w:val="22"/>
              </w:rPr>
              <w:t>KYLLÄ</w:t>
            </w:r>
          </w:p>
        </w:tc>
        <w:tc>
          <w:tcPr>
            <w:tcW w:w="956" w:type="dxa"/>
            <w:vAlign w:val="center"/>
          </w:tcPr>
          <w:p>
            <w:pPr>
              <w:jc w:val="center"/>
              <w:rPr>
                <w:noProof/>
                <w:sz w:val="22"/>
              </w:rPr>
            </w:pPr>
            <w:r>
              <w:rPr>
                <w:noProof/>
                <w:sz w:val="22"/>
              </w:rPr>
              <w:t>EI</w:t>
            </w:r>
          </w:p>
        </w:tc>
        <w:tc>
          <w:tcPr>
            <w:tcW w:w="1448" w:type="dxa"/>
            <w:vAlign w:val="center"/>
          </w:tcPr>
          <w:p>
            <w:pPr>
              <w:jc w:val="center"/>
              <w:rPr>
                <w:noProof/>
                <w:sz w:val="22"/>
              </w:rPr>
            </w:pPr>
            <w:r>
              <w:rPr>
                <w:noProof/>
                <w:sz w:val="22"/>
              </w:rPr>
              <w:t>EI</w:t>
            </w:r>
          </w:p>
        </w:tc>
      </w:tr>
      <w:tr>
        <w:tc>
          <w:tcPr>
            <w:tcW w:w="1080" w:type="dxa"/>
            <w:vAlign w:val="center"/>
          </w:tcPr>
          <w:p>
            <w:pPr>
              <w:jc w:val="center"/>
              <w:rPr>
                <w:noProof/>
                <w:color w:val="0000FF"/>
                <w:sz w:val="22"/>
              </w:rPr>
            </w:pPr>
            <w:r>
              <w:rPr>
                <w:noProof/>
                <w:sz w:val="20"/>
              </w:rPr>
              <w:t>1a</w:t>
            </w:r>
          </w:p>
        </w:tc>
        <w:tc>
          <w:tcPr>
            <w:tcW w:w="3960" w:type="dxa"/>
            <w:vAlign w:val="center"/>
          </w:tcPr>
          <w:p>
            <w:pPr>
              <w:spacing w:before="60"/>
              <w:jc w:val="center"/>
              <w:rPr>
                <w:b/>
                <w:noProof/>
                <w:sz w:val="22"/>
              </w:rPr>
            </w:pPr>
            <w:r>
              <w:rPr>
                <w:b/>
                <w:noProof/>
                <w:sz w:val="22"/>
              </w:rPr>
              <w:t>08.01.05.03</w:t>
            </w:r>
          </w:p>
        </w:tc>
        <w:tc>
          <w:tcPr>
            <w:tcW w:w="1080" w:type="dxa"/>
            <w:vAlign w:val="center"/>
          </w:tcPr>
          <w:p>
            <w:pPr>
              <w:jc w:val="center"/>
              <w:rPr>
                <w:noProof/>
                <w:color w:val="0000FF"/>
                <w:sz w:val="22"/>
              </w:rPr>
            </w:pPr>
            <w:r>
              <w:rPr>
                <w:noProof/>
                <w:sz w:val="22"/>
              </w:rPr>
              <w:t>EI-JM</w:t>
            </w:r>
          </w:p>
        </w:tc>
        <w:tc>
          <w:tcPr>
            <w:tcW w:w="956" w:type="dxa"/>
            <w:vAlign w:val="center"/>
          </w:tcPr>
          <w:p>
            <w:pPr>
              <w:jc w:val="center"/>
              <w:rPr>
                <w:noProof/>
                <w:sz w:val="22"/>
              </w:rPr>
            </w:pPr>
            <w:r>
              <w:rPr>
                <w:noProof/>
                <w:sz w:val="22"/>
              </w:rPr>
              <w:t>KYLLÄ</w:t>
            </w:r>
          </w:p>
        </w:tc>
        <w:tc>
          <w:tcPr>
            <w:tcW w:w="1080" w:type="dxa"/>
            <w:vAlign w:val="center"/>
          </w:tcPr>
          <w:p>
            <w:pPr>
              <w:jc w:val="center"/>
              <w:rPr>
                <w:noProof/>
                <w:sz w:val="22"/>
              </w:rPr>
            </w:pPr>
            <w:r>
              <w:rPr>
                <w:noProof/>
                <w:sz w:val="22"/>
              </w:rPr>
              <w:t>KYLLÄ</w:t>
            </w:r>
          </w:p>
        </w:tc>
        <w:tc>
          <w:tcPr>
            <w:tcW w:w="956" w:type="dxa"/>
            <w:vAlign w:val="center"/>
          </w:tcPr>
          <w:p>
            <w:pPr>
              <w:jc w:val="center"/>
              <w:rPr>
                <w:noProof/>
                <w:sz w:val="22"/>
              </w:rPr>
            </w:pPr>
            <w:r>
              <w:rPr>
                <w:noProof/>
                <w:sz w:val="22"/>
              </w:rPr>
              <w:t>EI</w:t>
            </w:r>
          </w:p>
        </w:tc>
        <w:tc>
          <w:tcPr>
            <w:tcW w:w="1448" w:type="dxa"/>
            <w:vAlign w:val="center"/>
          </w:tcPr>
          <w:p>
            <w:pPr>
              <w:jc w:val="center"/>
              <w:rPr>
                <w:noProof/>
                <w:sz w:val="22"/>
              </w:rPr>
            </w:pPr>
            <w:r>
              <w:rPr>
                <w:noProof/>
                <w:sz w:val="22"/>
              </w:rPr>
              <w:t>EI</w:t>
            </w:r>
          </w:p>
        </w:tc>
      </w:tr>
    </w:tbl>
    <w:p>
      <w:pPr>
        <w:pStyle w:val="ListBullet1"/>
        <w:rPr>
          <w:noProof/>
        </w:rPr>
      </w:pPr>
      <w:r>
        <w:rPr>
          <w:noProof/>
        </w:rPr>
        <w:t xml:space="preserve">Uudet perustettaviksi esitetyt budjettikohdat </w:t>
      </w:r>
    </w:p>
    <w:p>
      <w:pPr>
        <w:pStyle w:val="Text1"/>
        <w:rPr>
          <w:i/>
          <w:noProof/>
          <w:sz w:val="20"/>
        </w:rPr>
      </w:pPr>
      <w:r>
        <w:rPr>
          <w:noProof/>
        </w:rPr>
        <w:t xml:space="preserve">Monivuotisen rahoituskehyksen otsakkeiden ja budjettikohtien mukaisessa </w:t>
      </w:r>
      <w:r>
        <w:rPr>
          <w:i/>
          <w:noProof/>
          <w:u w:val="single"/>
        </w:rPr>
        <w:t>järjestyksessä</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Moni</w:t>
            </w:r>
            <w:r>
              <w:rPr>
                <w:noProof/>
                <w:sz w:val="18"/>
              </w:rPr>
              <w:softHyphen/>
              <w:t>vuotisen rahoitus</w:t>
            </w:r>
            <w:r>
              <w:rPr>
                <w:noProof/>
                <w:sz w:val="18"/>
              </w:rPr>
              <w:softHyphen/>
              <w:t>kehyksen otsake</w:t>
            </w:r>
          </w:p>
        </w:tc>
        <w:tc>
          <w:tcPr>
            <w:tcW w:w="3960" w:type="dxa"/>
            <w:vAlign w:val="center"/>
          </w:tcPr>
          <w:p>
            <w:pPr>
              <w:spacing w:before="60" w:after="60"/>
              <w:jc w:val="center"/>
              <w:rPr>
                <w:noProof/>
                <w:sz w:val="22"/>
              </w:rPr>
            </w:pPr>
            <w:r>
              <w:rPr>
                <w:noProof/>
                <w:sz w:val="20"/>
              </w:rPr>
              <w:t>Budjettikohta</w:t>
            </w:r>
          </w:p>
        </w:tc>
        <w:tc>
          <w:tcPr>
            <w:tcW w:w="1080" w:type="dxa"/>
            <w:vAlign w:val="center"/>
          </w:tcPr>
          <w:p>
            <w:pPr>
              <w:spacing w:before="60" w:after="60"/>
              <w:jc w:val="center"/>
              <w:rPr>
                <w:noProof/>
                <w:sz w:val="22"/>
              </w:rPr>
            </w:pPr>
            <w:r>
              <w:rPr>
                <w:noProof/>
                <w:sz w:val="18"/>
              </w:rPr>
              <w:t>Määräraha-</w:t>
            </w:r>
            <w:r>
              <w:rPr>
                <w:noProof/>
                <w:sz w:val="22"/>
              </w:rPr>
              <w:br/>
            </w:r>
            <w:r>
              <w:rPr>
                <w:noProof/>
                <w:sz w:val="18"/>
              </w:rPr>
              <w:t>laji</w:t>
            </w:r>
          </w:p>
        </w:tc>
        <w:tc>
          <w:tcPr>
            <w:tcW w:w="4440" w:type="dxa"/>
            <w:gridSpan w:val="4"/>
            <w:vAlign w:val="center"/>
          </w:tcPr>
          <w:p>
            <w:pPr>
              <w:spacing w:before="60" w:after="60"/>
              <w:jc w:val="center"/>
              <w:rPr>
                <w:noProof/>
                <w:sz w:val="22"/>
              </w:rPr>
            </w:pPr>
            <w:r>
              <w:rPr>
                <w:noProof/>
                <w:sz w:val="20"/>
              </w:rPr>
              <w:t xml:space="preserve">Rahoitusosuudet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Numero </w:t>
            </w:r>
            <w:r>
              <w:rPr>
                <w:noProof/>
                <w:sz w:val="22"/>
              </w:rPr>
              <w:br/>
            </w:r>
            <w:r>
              <w:rPr>
                <w:noProof/>
                <w:sz w:val="20"/>
              </w:rPr>
              <w:t>[Nimi………………………………………]</w:t>
            </w:r>
          </w:p>
        </w:tc>
        <w:tc>
          <w:tcPr>
            <w:tcW w:w="1080" w:type="dxa"/>
            <w:vAlign w:val="center"/>
          </w:tcPr>
          <w:p>
            <w:pPr>
              <w:jc w:val="center"/>
              <w:rPr>
                <w:noProof/>
                <w:sz w:val="22"/>
              </w:rPr>
            </w:pPr>
            <w:r>
              <w:rPr>
                <w:noProof/>
                <w:sz w:val="18"/>
              </w:rPr>
              <w:t>JM/EI-JM</w:t>
            </w:r>
          </w:p>
        </w:tc>
        <w:tc>
          <w:tcPr>
            <w:tcW w:w="956" w:type="dxa"/>
            <w:vAlign w:val="center"/>
          </w:tcPr>
          <w:p>
            <w:pPr>
              <w:jc w:val="center"/>
              <w:rPr>
                <w:noProof/>
                <w:sz w:val="18"/>
              </w:rPr>
            </w:pPr>
            <w:r>
              <w:rPr>
                <w:noProof/>
                <w:sz w:val="18"/>
              </w:rPr>
              <w:t>EFTA-mailta</w:t>
            </w:r>
          </w:p>
        </w:tc>
        <w:tc>
          <w:tcPr>
            <w:tcW w:w="1080" w:type="dxa"/>
            <w:vAlign w:val="center"/>
          </w:tcPr>
          <w:p>
            <w:pPr>
              <w:jc w:val="center"/>
              <w:rPr>
                <w:noProof/>
                <w:sz w:val="18"/>
              </w:rPr>
            </w:pPr>
            <w:r>
              <w:rPr>
                <w:noProof/>
                <w:sz w:val="18"/>
              </w:rPr>
              <w:t>ehdokas</w:t>
            </w:r>
            <w:r>
              <w:rPr>
                <w:noProof/>
                <w:sz w:val="18"/>
              </w:rPr>
              <w:softHyphen/>
              <w:t>mailta</w:t>
            </w:r>
          </w:p>
        </w:tc>
        <w:tc>
          <w:tcPr>
            <w:tcW w:w="956" w:type="dxa"/>
            <w:vAlign w:val="center"/>
          </w:tcPr>
          <w:p>
            <w:pPr>
              <w:jc w:val="center"/>
              <w:rPr>
                <w:noProof/>
                <w:sz w:val="18"/>
              </w:rPr>
            </w:pPr>
            <w:r>
              <w:rPr>
                <w:noProof/>
                <w:sz w:val="18"/>
              </w:rPr>
              <w:t>kolman</w:t>
            </w:r>
            <w:r>
              <w:rPr>
                <w:noProof/>
                <w:sz w:val="18"/>
              </w:rPr>
              <w:softHyphen/>
              <w:t>silta mailta</w:t>
            </w:r>
          </w:p>
        </w:tc>
        <w:tc>
          <w:tcPr>
            <w:tcW w:w="1448" w:type="dxa"/>
            <w:vAlign w:val="center"/>
          </w:tcPr>
          <w:p>
            <w:pPr>
              <w:jc w:val="center"/>
              <w:rPr>
                <w:noProof/>
                <w:sz w:val="22"/>
              </w:rPr>
            </w:pPr>
            <w:r>
              <w:rPr>
                <w:noProof/>
                <w:sz w:val="16"/>
              </w:rPr>
              <w:t>varainhoito</w:t>
            </w:r>
            <w:r>
              <w:rPr>
                <w:noProof/>
                <w:sz w:val="16"/>
              </w:rPr>
              <w:softHyphen/>
              <w:t xml:space="preserve">asetuksen 21 artiklan 2 kohdan b alakohdassa tarkoitetut rahoitusosuudet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KYLLÄ/EI</w:t>
            </w:r>
          </w:p>
        </w:tc>
        <w:tc>
          <w:tcPr>
            <w:tcW w:w="1080" w:type="dxa"/>
            <w:vAlign w:val="center"/>
          </w:tcPr>
          <w:p>
            <w:pPr>
              <w:jc w:val="center"/>
              <w:rPr>
                <w:noProof/>
                <w:color w:val="0000FF"/>
                <w:sz w:val="18"/>
              </w:rPr>
            </w:pPr>
            <w:r>
              <w:rPr>
                <w:noProof/>
                <w:sz w:val="22"/>
              </w:rPr>
              <w:t>KYLLÄ/EI</w:t>
            </w:r>
          </w:p>
        </w:tc>
        <w:tc>
          <w:tcPr>
            <w:tcW w:w="956" w:type="dxa"/>
            <w:vAlign w:val="center"/>
          </w:tcPr>
          <w:p>
            <w:pPr>
              <w:jc w:val="center"/>
              <w:rPr>
                <w:noProof/>
                <w:color w:val="0000FF"/>
                <w:sz w:val="18"/>
              </w:rPr>
            </w:pPr>
            <w:r>
              <w:rPr>
                <w:noProof/>
                <w:sz w:val="22"/>
              </w:rPr>
              <w:t>KYLLÄ/EI</w:t>
            </w:r>
          </w:p>
        </w:tc>
        <w:tc>
          <w:tcPr>
            <w:tcW w:w="1448" w:type="dxa"/>
            <w:vAlign w:val="center"/>
          </w:tcPr>
          <w:p>
            <w:pPr>
              <w:jc w:val="center"/>
              <w:rPr>
                <w:noProof/>
                <w:sz w:val="22"/>
              </w:rPr>
            </w:pPr>
            <w:r>
              <w:rPr>
                <w:noProof/>
                <w:sz w:val="22"/>
              </w:rPr>
              <w:t>KYLLÄ/EI</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lastRenderedPageBreak/>
        <w:t>3.2.</w:t>
      </w:r>
      <w:r>
        <w:rPr>
          <w:noProof/>
        </w:rPr>
        <w:tab/>
        <w:t xml:space="preserve">Arvioidut vaikutukset menoihin </w:t>
      </w:r>
    </w:p>
    <w:p>
      <w:pPr>
        <w:pStyle w:val="ManualHeading3"/>
        <w:rPr>
          <w:noProof/>
          <w:u w:val="single"/>
        </w:rPr>
      </w:pPr>
      <w:r>
        <w:rPr>
          <w:noProof/>
        </w:rPr>
        <w:t>3.2.1.</w:t>
      </w:r>
      <w:r>
        <w:rPr>
          <w:noProof/>
        </w:rPr>
        <w:tab/>
        <w:t xml:space="preserve">Yhteenveto arvioiduista vaikutuksista menoihin </w:t>
      </w:r>
    </w:p>
    <w:p>
      <w:pPr>
        <w:jc w:val="center"/>
        <w:rPr>
          <w:noProof/>
          <w:sz w:val="20"/>
        </w:rPr>
      </w:pPr>
      <w:r>
        <w:rPr>
          <w:noProof/>
          <w:sz w:val="20"/>
        </w:rPr>
        <w:t>milj. euroa (kolmen desimaalin tarkkuudella)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1"/>
        <w:gridCol w:w="1080"/>
        <w:gridCol w:w="7104"/>
      </w:tblGrid>
      <w:tr>
        <w:tc>
          <w:tcPr>
            <w:tcW w:w="4291" w:type="dxa"/>
            <w:shd w:val="thinDiagStripe" w:color="C0C0C0" w:fill="auto"/>
            <w:vAlign w:val="center"/>
          </w:tcPr>
          <w:p>
            <w:pPr>
              <w:spacing w:before="60" w:after="60"/>
              <w:jc w:val="center"/>
              <w:rPr>
                <w:b/>
                <w:noProof/>
                <w:sz w:val="22"/>
              </w:rPr>
            </w:pPr>
            <w:r>
              <w:rPr>
                <w:b/>
                <w:noProof/>
                <w:sz w:val="22"/>
              </w:rPr>
              <w:t xml:space="preserve">Monivuotisen rahoituskehyksen </w:t>
            </w:r>
            <w:r>
              <w:rPr>
                <w:noProof/>
                <w:sz w:val="22"/>
              </w:rPr>
              <w:br/>
            </w:r>
            <w:r>
              <w:rPr>
                <w:b/>
                <w:noProof/>
                <w:sz w:val="22"/>
              </w:rPr>
              <w:t xml:space="preserve">otsake </w:t>
            </w:r>
          </w:p>
        </w:tc>
        <w:tc>
          <w:tcPr>
            <w:tcW w:w="1080" w:type="dxa"/>
            <w:vAlign w:val="center"/>
          </w:tcPr>
          <w:p>
            <w:pPr>
              <w:spacing w:before="60" w:after="60"/>
              <w:jc w:val="center"/>
              <w:rPr>
                <w:noProof/>
                <w:sz w:val="22"/>
              </w:rPr>
            </w:pPr>
            <w:r>
              <w:rPr>
                <w:noProof/>
                <w:sz w:val="22"/>
              </w:rPr>
              <w:t>1a</w:t>
            </w:r>
          </w:p>
        </w:tc>
        <w:tc>
          <w:tcPr>
            <w:tcW w:w="7104" w:type="dxa"/>
            <w:vAlign w:val="center"/>
          </w:tcPr>
          <w:p>
            <w:pPr>
              <w:spacing w:before="60" w:after="60"/>
              <w:rPr>
                <w:noProof/>
                <w:sz w:val="22"/>
              </w:rPr>
            </w:pPr>
            <w:r>
              <w:rPr>
                <w:noProof/>
              </w:rPr>
              <w:t xml:space="preserve">’Kasvua ja työllisyyttä edistävä kilpailukyky’ </w:t>
            </w:r>
          </w:p>
        </w:tc>
      </w:tr>
    </w:tbl>
    <w:p>
      <w:pPr>
        <w:rPr>
          <w:noProof/>
          <w:sz w:val="16"/>
        </w:rPr>
      </w:pPr>
    </w:p>
    <w:tbl>
      <w:tblPr>
        <w:tblW w:w="12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794"/>
        <w:gridCol w:w="960"/>
        <w:gridCol w:w="1200"/>
      </w:tblGrid>
      <w:tr>
        <w:tc>
          <w:tcPr>
            <w:tcW w:w="3960" w:type="dxa"/>
            <w:vAlign w:val="center"/>
          </w:tcPr>
          <w:p>
            <w:pPr>
              <w:jc w:val="center"/>
              <w:rPr>
                <w:noProof/>
                <w:sz w:val="22"/>
              </w:rPr>
            </w:pPr>
            <w:r>
              <w:rPr>
                <w:noProof/>
                <w:sz w:val="22"/>
              </w:rPr>
              <w:t>PO: RTD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Vuosi</w:t>
            </w:r>
            <w:r>
              <w:rPr>
                <w:noProof/>
                <w:sz w:val="22"/>
              </w:rPr>
              <w:br/>
            </w:r>
            <w:r>
              <w:rPr>
                <w:b/>
                <w:noProof/>
                <w:sz w:val="20"/>
              </w:rPr>
              <w:t>2019</w:t>
            </w:r>
            <w:r>
              <w:rPr>
                <w:rStyle w:val="FootnoteReference"/>
                <w:b/>
                <w:noProof/>
                <w:sz w:val="20"/>
              </w:rPr>
              <w:footnoteReference w:id="18"/>
            </w:r>
          </w:p>
        </w:tc>
        <w:tc>
          <w:tcPr>
            <w:tcW w:w="868" w:type="dxa"/>
            <w:vAlign w:val="center"/>
          </w:tcPr>
          <w:p>
            <w:pPr>
              <w:jc w:val="center"/>
              <w:rPr>
                <w:noProof/>
                <w:sz w:val="20"/>
              </w:rPr>
            </w:pPr>
            <w:r>
              <w:rPr>
                <w:noProof/>
                <w:sz w:val="20"/>
              </w:rPr>
              <w:t>Vuosi</w:t>
            </w:r>
            <w:r>
              <w:rPr>
                <w:noProof/>
                <w:sz w:val="22"/>
              </w:rPr>
              <w:br/>
            </w:r>
            <w:r>
              <w:rPr>
                <w:b/>
                <w:noProof/>
                <w:sz w:val="20"/>
              </w:rPr>
              <w:t>2020</w:t>
            </w:r>
          </w:p>
        </w:tc>
        <w:tc>
          <w:tcPr>
            <w:tcW w:w="868" w:type="dxa"/>
            <w:vAlign w:val="center"/>
          </w:tcPr>
          <w:p>
            <w:pPr>
              <w:jc w:val="center"/>
              <w:rPr>
                <w:noProof/>
                <w:sz w:val="20"/>
              </w:rPr>
            </w:pPr>
            <w:r>
              <w:rPr>
                <w:noProof/>
                <w:sz w:val="20"/>
              </w:rPr>
              <w:t>Vuosi</w:t>
            </w:r>
            <w:r>
              <w:rPr>
                <w:noProof/>
                <w:sz w:val="22"/>
              </w:rPr>
              <w:br/>
            </w:r>
            <w:r>
              <w:rPr>
                <w:b/>
                <w:noProof/>
                <w:sz w:val="20"/>
              </w:rPr>
              <w:t>2021</w:t>
            </w:r>
          </w:p>
        </w:tc>
        <w:tc>
          <w:tcPr>
            <w:tcW w:w="868" w:type="dxa"/>
            <w:vAlign w:val="center"/>
          </w:tcPr>
          <w:p>
            <w:pPr>
              <w:jc w:val="center"/>
              <w:rPr>
                <w:noProof/>
                <w:sz w:val="20"/>
              </w:rPr>
            </w:pPr>
            <w:r>
              <w:rPr>
                <w:noProof/>
                <w:sz w:val="20"/>
              </w:rPr>
              <w:t>Vuosi</w:t>
            </w:r>
            <w:r>
              <w:rPr>
                <w:noProof/>
                <w:sz w:val="22"/>
              </w:rPr>
              <w:br/>
            </w:r>
            <w:r>
              <w:rPr>
                <w:b/>
                <w:noProof/>
                <w:sz w:val="20"/>
              </w:rPr>
              <w:t>2022</w:t>
            </w:r>
          </w:p>
        </w:tc>
        <w:tc>
          <w:tcPr>
            <w:tcW w:w="794" w:type="dxa"/>
          </w:tcPr>
          <w:p>
            <w:pPr>
              <w:jc w:val="center"/>
              <w:rPr>
                <w:b/>
                <w:noProof/>
                <w:sz w:val="20"/>
              </w:rPr>
            </w:pPr>
            <w:r>
              <w:rPr>
                <w:noProof/>
                <w:sz w:val="20"/>
              </w:rPr>
              <w:t>Vuosi</w:t>
            </w:r>
            <w:r>
              <w:rPr>
                <w:noProof/>
                <w:sz w:val="22"/>
              </w:rPr>
              <w:br/>
            </w:r>
            <w:r>
              <w:rPr>
                <w:b/>
                <w:noProof/>
                <w:sz w:val="20"/>
              </w:rPr>
              <w:t>2023</w:t>
            </w:r>
          </w:p>
        </w:tc>
        <w:tc>
          <w:tcPr>
            <w:tcW w:w="960" w:type="dxa"/>
          </w:tcPr>
          <w:p>
            <w:pPr>
              <w:jc w:val="center"/>
              <w:rPr>
                <w:b/>
                <w:noProof/>
                <w:sz w:val="20"/>
              </w:rPr>
            </w:pPr>
            <w:r>
              <w:rPr>
                <w:noProof/>
                <w:sz w:val="20"/>
              </w:rPr>
              <w:t>Vuosi</w:t>
            </w:r>
            <w:r>
              <w:rPr>
                <w:noProof/>
                <w:sz w:val="22"/>
              </w:rPr>
              <w:br/>
            </w:r>
            <w:r>
              <w:rPr>
                <w:b/>
                <w:noProof/>
                <w:sz w:val="20"/>
              </w:rPr>
              <w:t>2024</w:t>
            </w:r>
          </w:p>
        </w:tc>
        <w:tc>
          <w:tcPr>
            <w:tcW w:w="1200" w:type="dxa"/>
            <w:vAlign w:val="center"/>
          </w:tcPr>
          <w:p>
            <w:pPr>
              <w:jc w:val="center"/>
              <w:rPr>
                <w:b/>
                <w:noProof/>
                <w:sz w:val="20"/>
              </w:rPr>
            </w:pPr>
            <w:r>
              <w:rPr>
                <w:b/>
                <w:noProof/>
                <w:sz w:val="20"/>
              </w:rPr>
              <w:t>YHTEENSÄ</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Toimintamäärärahat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794" w:type="dxa"/>
          </w:tcPr>
          <w:p>
            <w:pPr>
              <w:rPr>
                <w:b/>
                <w:noProof/>
                <w:sz w:val="20"/>
              </w:rPr>
            </w:pPr>
          </w:p>
        </w:tc>
        <w:tc>
          <w:tcPr>
            <w:tcW w:w="960" w:type="dxa"/>
          </w:tcPr>
          <w:p>
            <w:pPr>
              <w:rPr>
                <w:b/>
                <w:noProof/>
                <w:sz w:val="20"/>
              </w:rPr>
            </w:pPr>
          </w:p>
        </w:tc>
        <w:tc>
          <w:tcPr>
            <w:tcW w:w="1200"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 xml:space="preserve">Budjettikohdan numero: </w:t>
            </w:r>
            <w:r>
              <w:rPr>
                <w:b/>
                <w:noProof/>
                <w:sz w:val="18"/>
              </w:rPr>
              <w:t>08.01.05.01</w:t>
            </w:r>
          </w:p>
        </w:tc>
        <w:tc>
          <w:tcPr>
            <w:tcW w:w="1440" w:type="dxa"/>
            <w:vAlign w:val="center"/>
          </w:tcPr>
          <w:p>
            <w:pPr>
              <w:spacing w:before="20" w:after="20"/>
              <w:rPr>
                <w:noProof/>
                <w:sz w:val="18"/>
              </w:rPr>
            </w:pPr>
            <w:r>
              <w:rPr>
                <w:noProof/>
                <w:sz w:val="18"/>
              </w:rPr>
              <w:t>Sitoumukset</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b/>
                <w:noProof/>
                <w:sz w:val="20"/>
              </w:rPr>
              <w:t>0,050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b/>
                <w:noProof/>
                <w:sz w:val="20"/>
              </w:rPr>
            </w:pPr>
            <w:r>
              <w:rPr>
                <w:b/>
                <w:noProof/>
                <w:sz w:val="20"/>
              </w:rPr>
              <w:t>0,060</w:t>
            </w:r>
          </w:p>
        </w:tc>
        <w:tc>
          <w:tcPr>
            <w:tcW w:w="960" w:type="dxa"/>
            <w:vAlign w:val="center"/>
          </w:tcPr>
          <w:p>
            <w:pPr>
              <w:spacing w:before="20" w:after="20"/>
              <w:jc w:val="right"/>
              <w:rPr>
                <w:b/>
                <w:noProof/>
                <w:sz w:val="20"/>
              </w:rPr>
            </w:pPr>
            <w:r>
              <w:rPr>
                <w:b/>
                <w:noProof/>
                <w:sz w:val="20"/>
              </w:rPr>
              <w:t>0,010</w:t>
            </w:r>
          </w:p>
        </w:tc>
        <w:tc>
          <w:tcPr>
            <w:tcW w:w="1200" w:type="dxa"/>
            <w:vAlign w:val="center"/>
          </w:tcPr>
          <w:p>
            <w:pPr>
              <w:spacing w:before="20" w:after="20"/>
              <w:jc w:val="right"/>
              <w:rPr>
                <w:b/>
                <w:noProof/>
                <w:sz w:val="20"/>
              </w:rPr>
            </w:pPr>
            <w:r>
              <w:rPr>
                <w:b/>
                <w:noProof/>
                <w:sz w:val="20"/>
              </w:rPr>
              <w:t>0,300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Maksut</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b/>
                <w:noProof/>
                <w:sz w:val="20"/>
              </w:rPr>
              <w:t>0,050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b/>
                <w:noProof/>
                <w:sz w:val="20"/>
              </w:rPr>
            </w:pPr>
            <w:r>
              <w:rPr>
                <w:b/>
                <w:noProof/>
                <w:sz w:val="20"/>
              </w:rPr>
              <w:t>0,060</w:t>
            </w:r>
          </w:p>
        </w:tc>
        <w:tc>
          <w:tcPr>
            <w:tcW w:w="960" w:type="dxa"/>
            <w:vAlign w:val="center"/>
          </w:tcPr>
          <w:p>
            <w:pPr>
              <w:spacing w:before="20" w:after="20"/>
              <w:jc w:val="right"/>
              <w:rPr>
                <w:b/>
                <w:noProof/>
                <w:sz w:val="20"/>
              </w:rPr>
            </w:pPr>
            <w:r>
              <w:rPr>
                <w:b/>
                <w:noProof/>
                <w:sz w:val="20"/>
              </w:rPr>
              <w:t>0,010</w:t>
            </w:r>
          </w:p>
        </w:tc>
        <w:tc>
          <w:tcPr>
            <w:tcW w:w="1200" w:type="dxa"/>
            <w:vAlign w:val="center"/>
          </w:tcPr>
          <w:p>
            <w:pPr>
              <w:spacing w:before="20" w:after="20"/>
              <w:jc w:val="right"/>
              <w:rPr>
                <w:b/>
                <w:noProof/>
                <w:sz w:val="20"/>
              </w:rPr>
            </w:pPr>
            <w:r>
              <w:rPr>
                <w:b/>
                <w:noProof/>
                <w:sz w:val="20"/>
              </w:rPr>
              <w:t>0,300</w:t>
            </w:r>
          </w:p>
        </w:tc>
      </w:tr>
      <w:tr>
        <w:tc>
          <w:tcPr>
            <w:tcW w:w="3960" w:type="dxa"/>
            <w:vMerge w:val="restart"/>
            <w:vAlign w:val="center"/>
          </w:tcPr>
          <w:p>
            <w:pPr>
              <w:rPr>
                <w:noProof/>
                <w:sz w:val="22"/>
              </w:rPr>
            </w:pPr>
            <w:r>
              <w:rPr>
                <w:noProof/>
                <w:sz w:val="20"/>
              </w:rPr>
              <w:t>Budjettikohdan numero</w:t>
            </w:r>
          </w:p>
        </w:tc>
        <w:tc>
          <w:tcPr>
            <w:tcW w:w="1440" w:type="dxa"/>
            <w:vAlign w:val="center"/>
          </w:tcPr>
          <w:p>
            <w:pPr>
              <w:spacing w:before="20" w:after="20"/>
              <w:rPr>
                <w:noProof/>
                <w:sz w:val="18"/>
              </w:rPr>
            </w:pPr>
            <w:r>
              <w:rPr>
                <w:noProof/>
                <w:sz w:val="18"/>
              </w:rPr>
              <w:t>Sitoumukset</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794" w:type="dxa"/>
          </w:tcPr>
          <w:p>
            <w:pPr>
              <w:spacing w:before="20" w:after="20"/>
              <w:jc w:val="right"/>
              <w:rPr>
                <w:b/>
                <w:noProof/>
                <w:sz w:val="20"/>
              </w:rPr>
            </w:pPr>
          </w:p>
        </w:tc>
        <w:tc>
          <w:tcPr>
            <w:tcW w:w="960" w:type="dxa"/>
          </w:tcPr>
          <w:p>
            <w:pPr>
              <w:spacing w:before="20" w:after="20"/>
              <w:jc w:val="right"/>
              <w:rPr>
                <w:b/>
                <w:noProof/>
                <w:sz w:val="20"/>
              </w:rPr>
            </w:pPr>
          </w:p>
        </w:tc>
        <w:tc>
          <w:tcPr>
            <w:tcW w:w="1200"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Maksut</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794" w:type="dxa"/>
          </w:tcPr>
          <w:p>
            <w:pPr>
              <w:spacing w:before="20" w:after="20"/>
              <w:jc w:val="right"/>
              <w:rPr>
                <w:b/>
                <w:noProof/>
                <w:sz w:val="20"/>
              </w:rPr>
            </w:pPr>
          </w:p>
        </w:tc>
        <w:tc>
          <w:tcPr>
            <w:tcW w:w="960" w:type="dxa"/>
          </w:tcPr>
          <w:p>
            <w:pPr>
              <w:spacing w:before="20" w:after="20"/>
              <w:jc w:val="right"/>
              <w:rPr>
                <w:b/>
                <w:noProof/>
                <w:sz w:val="20"/>
              </w:rPr>
            </w:pPr>
          </w:p>
        </w:tc>
        <w:tc>
          <w:tcPr>
            <w:tcW w:w="1200"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Tiettyjen ohjelmien määrärahoista katettavat hallintomäärärahat</w:t>
            </w:r>
            <w:r>
              <w:rPr>
                <w:rStyle w:val="FootnoteReference"/>
                <w:noProof/>
                <w:sz w:val="21"/>
              </w:rPr>
              <w:footnoteReference w:id="19"/>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794" w:type="dxa"/>
          </w:tcPr>
          <w:p>
            <w:pPr>
              <w:rPr>
                <w:b/>
                <w:noProof/>
                <w:sz w:val="20"/>
              </w:rPr>
            </w:pPr>
          </w:p>
        </w:tc>
        <w:tc>
          <w:tcPr>
            <w:tcW w:w="960" w:type="dxa"/>
          </w:tcPr>
          <w:p>
            <w:pPr>
              <w:rPr>
                <w:b/>
                <w:noProof/>
                <w:sz w:val="20"/>
              </w:rPr>
            </w:pPr>
          </w:p>
        </w:tc>
        <w:tc>
          <w:tcPr>
            <w:tcW w:w="1200"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 xml:space="preserve">Budjettikohdan numero: </w:t>
            </w:r>
            <w:r>
              <w:rPr>
                <w:b/>
                <w:noProof/>
                <w:sz w:val="18"/>
              </w:rPr>
              <w:t>08.01.05.03</w:t>
            </w:r>
          </w:p>
        </w:tc>
        <w:tc>
          <w:tcPr>
            <w:tcW w:w="1440" w:type="dxa"/>
            <w:vAlign w:val="center"/>
          </w:tcPr>
          <w:p>
            <w:pPr>
              <w:pStyle w:val="Default"/>
              <w:jc w:val="right"/>
              <w:rPr>
                <w:noProof/>
                <w:sz w:val="18"/>
                <w:szCs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r>
              <w:rPr>
                <w:b/>
                <w:noProof/>
                <w:sz w:val="20"/>
              </w:rPr>
              <w:t>0,010</w:t>
            </w:r>
          </w:p>
        </w:tc>
        <w:tc>
          <w:tcPr>
            <w:tcW w:w="868" w:type="dxa"/>
            <w:vAlign w:val="center"/>
          </w:tcPr>
          <w:p>
            <w:pPr>
              <w:spacing w:before="40" w:after="40"/>
              <w:jc w:val="right"/>
              <w:rPr>
                <w:b/>
                <w:noProof/>
                <w:sz w:val="20"/>
              </w:rPr>
            </w:pPr>
            <w:r>
              <w:rPr>
                <w:b/>
                <w:noProof/>
                <w:sz w:val="20"/>
              </w:rPr>
              <w:t>0,012</w:t>
            </w:r>
          </w:p>
        </w:tc>
        <w:tc>
          <w:tcPr>
            <w:tcW w:w="868" w:type="dxa"/>
            <w:vAlign w:val="center"/>
          </w:tcPr>
          <w:p>
            <w:pPr>
              <w:spacing w:before="40" w:after="40"/>
              <w:jc w:val="right"/>
              <w:rPr>
                <w:b/>
                <w:noProof/>
                <w:sz w:val="20"/>
              </w:rPr>
            </w:pPr>
            <w:r>
              <w:rPr>
                <w:b/>
                <w:noProof/>
                <w:sz w:val="20"/>
              </w:rPr>
              <w:t>0,012</w:t>
            </w:r>
          </w:p>
        </w:tc>
        <w:tc>
          <w:tcPr>
            <w:tcW w:w="868" w:type="dxa"/>
            <w:vAlign w:val="center"/>
          </w:tcPr>
          <w:p>
            <w:pPr>
              <w:spacing w:before="40" w:after="40"/>
              <w:jc w:val="right"/>
              <w:rPr>
                <w:b/>
                <w:noProof/>
                <w:sz w:val="20"/>
              </w:rPr>
            </w:pPr>
            <w:r>
              <w:rPr>
                <w:b/>
                <w:noProof/>
                <w:sz w:val="20"/>
              </w:rPr>
              <w:t>0,012</w:t>
            </w:r>
          </w:p>
        </w:tc>
        <w:tc>
          <w:tcPr>
            <w:tcW w:w="794" w:type="dxa"/>
          </w:tcPr>
          <w:p>
            <w:pPr>
              <w:spacing w:before="40" w:after="40"/>
              <w:jc w:val="right"/>
              <w:rPr>
                <w:b/>
                <w:noProof/>
                <w:sz w:val="20"/>
              </w:rPr>
            </w:pPr>
            <w:r>
              <w:rPr>
                <w:b/>
                <w:noProof/>
                <w:sz w:val="20"/>
              </w:rPr>
              <w:t>0,012</w:t>
            </w:r>
          </w:p>
        </w:tc>
        <w:tc>
          <w:tcPr>
            <w:tcW w:w="960" w:type="dxa"/>
          </w:tcPr>
          <w:p>
            <w:pPr>
              <w:spacing w:before="40" w:after="40"/>
              <w:jc w:val="right"/>
              <w:rPr>
                <w:b/>
                <w:noProof/>
                <w:sz w:val="20"/>
              </w:rPr>
            </w:pPr>
            <w:r>
              <w:rPr>
                <w:b/>
                <w:noProof/>
                <w:sz w:val="20"/>
              </w:rPr>
              <w:t>0,002</w:t>
            </w:r>
          </w:p>
        </w:tc>
        <w:tc>
          <w:tcPr>
            <w:tcW w:w="1200" w:type="dxa"/>
            <w:vAlign w:val="center"/>
          </w:tcPr>
          <w:p>
            <w:pPr>
              <w:spacing w:before="40" w:after="40"/>
              <w:jc w:val="right"/>
              <w:rPr>
                <w:b/>
                <w:noProof/>
                <w:sz w:val="20"/>
              </w:rPr>
            </w:pPr>
            <w:r>
              <w:rPr>
                <w:b/>
                <w:noProof/>
                <w:sz w:val="20"/>
              </w:rPr>
              <w:t>0,060</w:t>
            </w:r>
          </w:p>
        </w:tc>
      </w:tr>
      <w:tr>
        <w:tc>
          <w:tcPr>
            <w:tcW w:w="3960" w:type="dxa"/>
            <w:vMerge w:val="restart"/>
            <w:vAlign w:val="center"/>
          </w:tcPr>
          <w:p>
            <w:pPr>
              <w:jc w:val="center"/>
              <w:rPr>
                <w:b/>
                <w:noProof/>
                <w:sz w:val="22"/>
              </w:rPr>
            </w:pPr>
            <w:r>
              <w:rPr>
                <w:b/>
                <w:noProof/>
                <w:sz w:val="22"/>
              </w:rPr>
              <w:t>PO RTD:n määrärahat</w:t>
            </w:r>
            <w:r>
              <w:rPr>
                <w:noProof/>
                <w:sz w:val="22"/>
              </w:rPr>
              <w:br/>
            </w:r>
            <w:r>
              <w:rPr>
                <w:b/>
                <w:noProof/>
                <w:sz w:val="22"/>
              </w:rPr>
              <w:t>YHTEENSÄ</w:t>
            </w:r>
          </w:p>
        </w:tc>
        <w:tc>
          <w:tcPr>
            <w:tcW w:w="1440" w:type="dxa"/>
            <w:vAlign w:val="center"/>
          </w:tcPr>
          <w:p>
            <w:pPr>
              <w:rPr>
                <w:noProof/>
                <w:sz w:val="18"/>
              </w:rPr>
            </w:pPr>
            <w:r>
              <w:rPr>
                <w:noProof/>
                <w:sz w:val="18"/>
              </w:rPr>
              <w:t>Sitoumukset</w:t>
            </w:r>
          </w:p>
        </w:tc>
        <w:tc>
          <w:tcPr>
            <w:tcW w:w="654" w:type="dxa"/>
            <w:gridSpan w:val="2"/>
            <w:vAlign w:val="center"/>
          </w:tcPr>
          <w:p>
            <w:pPr>
              <w:jc w:val="center"/>
              <w:rPr>
                <w:noProof/>
                <w:sz w:val="14"/>
              </w:rPr>
            </w:pPr>
            <w:r>
              <w:rPr>
                <w:noProof/>
                <w:sz w:val="14"/>
              </w:rPr>
              <w:t>=1+1a +3</w:t>
            </w:r>
          </w:p>
        </w:tc>
        <w:tc>
          <w:tcPr>
            <w:tcW w:w="868" w:type="dxa"/>
            <w:vAlign w:val="center"/>
          </w:tcPr>
          <w:p>
            <w:pPr>
              <w:pStyle w:val="Default"/>
              <w:jc w:val="right"/>
              <w:rPr>
                <w:noProof/>
                <w:sz w:val="20"/>
                <w:szCs w:val="20"/>
              </w:rPr>
            </w:pPr>
            <w:r>
              <w:rPr>
                <w:b/>
                <w:noProof/>
                <w:sz w:val="20"/>
              </w:rPr>
              <w:t>0,060</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60" w:type="dxa"/>
            <w:vAlign w:val="center"/>
          </w:tcPr>
          <w:p>
            <w:pPr>
              <w:pStyle w:val="Default"/>
              <w:jc w:val="right"/>
              <w:rPr>
                <w:b/>
                <w:noProof/>
                <w:sz w:val="20"/>
                <w:szCs w:val="20"/>
              </w:rPr>
            </w:pPr>
            <w:r>
              <w:rPr>
                <w:b/>
                <w:noProof/>
                <w:sz w:val="20"/>
              </w:rPr>
              <w:t>0,012</w:t>
            </w:r>
          </w:p>
        </w:tc>
        <w:tc>
          <w:tcPr>
            <w:tcW w:w="1200" w:type="dxa"/>
            <w:vAlign w:val="center"/>
          </w:tcPr>
          <w:p>
            <w:pPr>
              <w:pStyle w:val="Default"/>
              <w:jc w:val="right"/>
              <w:rPr>
                <w:b/>
                <w:noProof/>
                <w:sz w:val="20"/>
                <w:szCs w:val="20"/>
              </w:rPr>
            </w:pPr>
            <w:r>
              <w:rPr>
                <w:b/>
                <w:noProof/>
                <w:sz w:val="20"/>
              </w:rPr>
              <w:t>0,360</w:t>
            </w:r>
          </w:p>
        </w:tc>
      </w:tr>
      <w:tr>
        <w:tc>
          <w:tcPr>
            <w:tcW w:w="3960" w:type="dxa"/>
            <w:vMerge/>
          </w:tcPr>
          <w:p>
            <w:pPr>
              <w:rPr>
                <w:noProof/>
                <w:sz w:val="20"/>
              </w:rPr>
            </w:pPr>
          </w:p>
        </w:tc>
        <w:tc>
          <w:tcPr>
            <w:tcW w:w="1440" w:type="dxa"/>
            <w:vAlign w:val="center"/>
          </w:tcPr>
          <w:p>
            <w:pPr>
              <w:rPr>
                <w:noProof/>
                <w:sz w:val="18"/>
              </w:rPr>
            </w:pPr>
            <w:r>
              <w:rPr>
                <w:noProof/>
                <w:sz w:val="18"/>
              </w:rPr>
              <w:t>Maksut</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pStyle w:val="Default"/>
              <w:jc w:val="right"/>
              <w:rPr>
                <w:noProof/>
                <w:sz w:val="20"/>
                <w:szCs w:val="20"/>
              </w:rPr>
            </w:pPr>
            <w:r>
              <w:rPr>
                <w:b/>
                <w:noProof/>
                <w:sz w:val="20"/>
              </w:rPr>
              <w:t>0,060</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60" w:type="dxa"/>
            <w:vAlign w:val="center"/>
          </w:tcPr>
          <w:p>
            <w:pPr>
              <w:pStyle w:val="Default"/>
              <w:jc w:val="right"/>
              <w:rPr>
                <w:b/>
                <w:noProof/>
                <w:sz w:val="20"/>
                <w:szCs w:val="20"/>
              </w:rPr>
            </w:pPr>
            <w:r>
              <w:rPr>
                <w:b/>
                <w:noProof/>
                <w:sz w:val="20"/>
              </w:rPr>
              <w:t>0,012</w:t>
            </w:r>
          </w:p>
        </w:tc>
        <w:tc>
          <w:tcPr>
            <w:tcW w:w="1200" w:type="dxa"/>
            <w:vAlign w:val="center"/>
          </w:tcPr>
          <w:p>
            <w:pPr>
              <w:pStyle w:val="Default"/>
              <w:jc w:val="right"/>
              <w:rPr>
                <w:b/>
                <w:noProof/>
                <w:sz w:val="20"/>
                <w:szCs w:val="20"/>
              </w:rPr>
            </w:pPr>
            <w:r>
              <w:rPr>
                <w:b/>
                <w:noProof/>
                <w:sz w:val="20"/>
              </w:rPr>
              <w:t>0,360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794"/>
        <w:gridCol w:w="942"/>
        <w:gridCol w:w="1218"/>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Toimintamäärärahat YHTEENSÄ </w:t>
            </w:r>
          </w:p>
        </w:tc>
        <w:tc>
          <w:tcPr>
            <w:tcW w:w="1440" w:type="dxa"/>
            <w:vAlign w:val="center"/>
          </w:tcPr>
          <w:p>
            <w:pPr>
              <w:spacing w:beforeLines="20" w:before="48" w:afterLines="20" w:after="48"/>
              <w:rPr>
                <w:noProof/>
                <w:sz w:val="18"/>
              </w:rPr>
            </w:pPr>
            <w:r>
              <w:rPr>
                <w:noProof/>
                <w:sz w:val="18"/>
              </w:rPr>
              <w:t>Sitoumukset</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b/>
                <w:noProof/>
                <w:sz w:val="20"/>
              </w:rPr>
              <w:t>0,050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noProof/>
                <w:sz w:val="20"/>
              </w:rPr>
            </w:pPr>
            <w:r>
              <w:rPr>
                <w:b/>
                <w:noProof/>
                <w:sz w:val="20"/>
              </w:rPr>
              <w:t>0,060</w:t>
            </w:r>
          </w:p>
        </w:tc>
        <w:tc>
          <w:tcPr>
            <w:tcW w:w="942" w:type="dxa"/>
            <w:vAlign w:val="center"/>
          </w:tcPr>
          <w:p>
            <w:pPr>
              <w:spacing w:before="20" w:after="20"/>
              <w:jc w:val="right"/>
              <w:rPr>
                <w:b/>
                <w:noProof/>
                <w:sz w:val="20"/>
              </w:rPr>
            </w:pPr>
            <w:r>
              <w:rPr>
                <w:b/>
                <w:noProof/>
                <w:sz w:val="20"/>
              </w:rPr>
              <w:t>0,010</w:t>
            </w:r>
          </w:p>
        </w:tc>
        <w:tc>
          <w:tcPr>
            <w:tcW w:w="1218" w:type="dxa"/>
            <w:vAlign w:val="center"/>
          </w:tcPr>
          <w:p>
            <w:pPr>
              <w:spacing w:before="20" w:after="20"/>
              <w:jc w:val="right"/>
              <w:rPr>
                <w:b/>
                <w:noProof/>
                <w:sz w:val="20"/>
              </w:rPr>
            </w:pPr>
            <w:r>
              <w:rPr>
                <w:b/>
                <w:noProof/>
                <w:sz w:val="20"/>
              </w:rPr>
              <w:t>0,300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Maksut</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b/>
                <w:noProof/>
                <w:sz w:val="20"/>
              </w:rPr>
              <w:t>0,050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noProof/>
                <w:sz w:val="20"/>
              </w:rPr>
            </w:pPr>
            <w:r>
              <w:rPr>
                <w:b/>
                <w:noProof/>
                <w:sz w:val="20"/>
              </w:rPr>
              <w:t>0,060</w:t>
            </w:r>
          </w:p>
        </w:tc>
        <w:tc>
          <w:tcPr>
            <w:tcW w:w="942" w:type="dxa"/>
            <w:vAlign w:val="center"/>
          </w:tcPr>
          <w:p>
            <w:pPr>
              <w:spacing w:before="20" w:after="20"/>
              <w:jc w:val="right"/>
              <w:rPr>
                <w:b/>
                <w:noProof/>
                <w:sz w:val="20"/>
              </w:rPr>
            </w:pPr>
            <w:r>
              <w:rPr>
                <w:b/>
                <w:noProof/>
                <w:sz w:val="20"/>
              </w:rPr>
              <w:t>0,010</w:t>
            </w:r>
          </w:p>
        </w:tc>
        <w:tc>
          <w:tcPr>
            <w:tcW w:w="1218" w:type="dxa"/>
            <w:vAlign w:val="center"/>
          </w:tcPr>
          <w:p>
            <w:pPr>
              <w:spacing w:before="20" w:after="20"/>
              <w:jc w:val="right"/>
              <w:rPr>
                <w:b/>
                <w:noProof/>
                <w:sz w:val="20"/>
              </w:rPr>
            </w:pPr>
            <w:r>
              <w:rPr>
                <w:b/>
                <w:noProof/>
                <w:sz w:val="20"/>
              </w:rPr>
              <w:t>0,300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Tiettyjen ohjelmien määrärahoista katettavat hallintomäärärahat YHTEENSÄ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pStyle w:val="Default"/>
              <w:jc w:val="right"/>
              <w:rPr>
                <w:noProof/>
                <w:sz w:val="20"/>
                <w:szCs w:val="20"/>
              </w:rPr>
            </w:pPr>
            <w:r>
              <w:rPr>
                <w:b/>
                <w:noProof/>
                <w:sz w:val="20"/>
              </w:rPr>
              <w:t>0,010</w:t>
            </w:r>
          </w:p>
        </w:tc>
        <w:tc>
          <w:tcPr>
            <w:tcW w:w="868" w:type="dxa"/>
            <w:vAlign w:val="center"/>
          </w:tcPr>
          <w:p>
            <w:pPr>
              <w:pStyle w:val="Default"/>
              <w:jc w:val="right"/>
              <w:rPr>
                <w:noProof/>
                <w:sz w:val="20"/>
                <w:szCs w:val="20"/>
              </w:rPr>
            </w:pPr>
            <w:r>
              <w:rPr>
                <w:b/>
                <w:noProof/>
                <w:sz w:val="20"/>
              </w:rPr>
              <w:t>0,012</w:t>
            </w:r>
          </w:p>
        </w:tc>
        <w:tc>
          <w:tcPr>
            <w:tcW w:w="868" w:type="dxa"/>
            <w:vAlign w:val="center"/>
          </w:tcPr>
          <w:p>
            <w:pPr>
              <w:pStyle w:val="Default"/>
              <w:jc w:val="right"/>
              <w:rPr>
                <w:noProof/>
                <w:sz w:val="20"/>
                <w:szCs w:val="20"/>
              </w:rPr>
            </w:pPr>
            <w:r>
              <w:rPr>
                <w:b/>
                <w:noProof/>
                <w:sz w:val="20"/>
              </w:rPr>
              <w:t>0,012</w:t>
            </w:r>
          </w:p>
        </w:tc>
        <w:tc>
          <w:tcPr>
            <w:tcW w:w="868" w:type="dxa"/>
            <w:vAlign w:val="center"/>
          </w:tcPr>
          <w:p>
            <w:pPr>
              <w:pStyle w:val="Default"/>
              <w:jc w:val="right"/>
              <w:rPr>
                <w:noProof/>
                <w:sz w:val="20"/>
                <w:szCs w:val="20"/>
              </w:rPr>
            </w:pPr>
            <w:r>
              <w:rPr>
                <w:b/>
                <w:noProof/>
                <w:sz w:val="20"/>
              </w:rPr>
              <w:t>0,012</w:t>
            </w:r>
          </w:p>
        </w:tc>
        <w:tc>
          <w:tcPr>
            <w:tcW w:w="794" w:type="dxa"/>
            <w:vAlign w:val="center"/>
          </w:tcPr>
          <w:p>
            <w:pPr>
              <w:pStyle w:val="Default"/>
              <w:jc w:val="right"/>
              <w:rPr>
                <w:b/>
                <w:noProof/>
                <w:sz w:val="20"/>
                <w:szCs w:val="20"/>
              </w:rPr>
            </w:pPr>
            <w:r>
              <w:rPr>
                <w:b/>
                <w:noProof/>
                <w:sz w:val="20"/>
              </w:rPr>
              <w:t>0,012</w:t>
            </w:r>
          </w:p>
        </w:tc>
        <w:tc>
          <w:tcPr>
            <w:tcW w:w="942" w:type="dxa"/>
            <w:vAlign w:val="center"/>
          </w:tcPr>
          <w:p>
            <w:pPr>
              <w:pStyle w:val="Default"/>
              <w:jc w:val="right"/>
              <w:rPr>
                <w:b/>
                <w:noProof/>
                <w:sz w:val="20"/>
                <w:szCs w:val="20"/>
              </w:rPr>
            </w:pPr>
            <w:r>
              <w:rPr>
                <w:b/>
                <w:noProof/>
                <w:sz w:val="20"/>
              </w:rPr>
              <w:t>0,002</w:t>
            </w:r>
          </w:p>
        </w:tc>
        <w:tc>
          <w:tcPr>
            <w:tcW w:w="1218" w:type="dxa"/>
            <w:vAlign w:val="center"/>
          </w:tcPr>
          <w:p>
            <w:pPr>
              <w:pStyle w:val="Default"/>
              <w:jc w:val="right"/>
              <w:rPr>
                <w:b/>
                <w:noProof/>
                <w:sz w:val="20"/>
                <w:szCs w:val="20"/>
              </w:rPr>
            </w:pPr>
            <w:r>
              <w:rPr>
                <w:b/>
                <w:noProof/>
                <w:sz w:val="20"/>
              </w:rPr>
              <w:t>0,060</w:t>
            </w:r>
          </w:p>
        </w:tc>
      </w:tr>
      <w:tr>
        <w:tc>
          <w:tcPr>
            <w:tcW w:w="3960" w:type="dxa"/>
            <w:vMerge w:val="restart"/>
            <w:shd w:val="thinDiagStripe" w:color="C0C0C0" w:fill="auto"/>
            <w:vAlign w:val="center"/>
          </w:tcPr>
          <w:p>
            <w:pPr>
              <w:jc w:val="center"/>
              <w:rPr>
                <w:b/>
                <w:noProof/>
                <w:sz w:val="22"/>
              </w:rPr>
            </w:pPr>
            <w:r>
              <w:rPr>
                <w:noProof/>
                <w:sz w:val="22"/>
              </w:rPr>
              <w:t xml:space="preserve">Monivuotisen rahoituskehyksen </w:t>
            </w:r>
            <w:r>
              <w:rPr>
                <w:noProof/>
                <w:sz w:val="22"/>
              </w:rPr>
              <w:br/>
            </w:r>
            <w:r>
              <w:rPr>
                <w:b/>
                <w:noProof/>
                <w:sz w:val="22"/>
              </w:rPr>
              <w:t>OTSAKKEESEEN &lt;1a&gt; kuuluvat</w:t>
            </w:r>
            <w:r>
              <w:rPr>
                <w:b/>
                <w:noProof/>
                <w:sz w:val="22"/>
              </w:rPr>
              <w:br/>
              <w:t>määrärahat YHTEENSÄ</w:t>
            </w:r>
          </w:p>
        </w:tc>
        <w:tc>
          <w:tcPr>
            <w:tcW w:w="1440" w:type="dxa"/>
            <w:vAlign w:val="center"/>
          </w:tcPr>
          <w:p>
            <w:pPr>
              <w:rPr>
                <w:noProof/>
                <w:sz w:val="18"/>
              </w:rPr>
            </w:pPr>
            <w:r>
              <w:rPr>
                <w:noProof/>
                <w:sz w:val="18"/>
              </w:rPr>
              <w:t>Sitoumukset</w:t>
            </w:r>
          </w:p>
        </w:tc>
        <w:tc>
          <w:tcPr>
            <w:tcW w:w="654" w:type="dxa"/>
            <w:vAlign w:val="center"/>
          </w:tcPr>
          <w:p>
            <w:pPr>
              <w:jc w:val="center"/>
              <w:rPr>
                <w:noProof/>
                <w:sz w:val="14"/>
              </w:rPr>
            </w:pPr>
            <w:r>
              <w:rPr>
                <w:noProof/>
                <w:sz w:val="14"/>
              </w:rPr>
              <w:t>=4+ 6</w:t>
            </w:r>
          </w:p>
        </w:tc>
        <w:tc>
          <w:tcPr>
            <w:tcW w:w="868" w:type="dxa"/>
            <w:vAlign w:val="center"/>
          </w:tcPr>
          <w:p>
            <w:pPr>
              <w:pStyle w:val="Default"/>
              <w:jc w:val="right"/>
              <w:rPr>
                <w:noProof/>
                <w:sz w:val="20"/>
                <w:szCs w:val="20"/>
              </w:rPr>
            </w:pPr>
            <w:r>
              <w:rPr>
                <w:b/>
                <w:noProof/>
                <w:sz w:val="20"/>
              </w:rPr>
              <w:t>0,06</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42" w:type="dxa"/>
            <w:vAlign w:val="center"/>
          </w:tcPr>
          <w:p>
            <w:pPr>
              <w:pStyle w:val="Default"/>
              <w:jc w:val="right"/>
              <w:rPr>
                <w:b/>
                <w:noProof/>
                <w:sz w:val="20"/>
                <w:szCs w:val="20"/>
              </w:rPr>
            </w:pPr>
            <w:r>
              <w:rPr>
                <w:b/>
                <w:noProof/>
                <w:sz w:val="20"/>
              </w:rPr>
              <w:t>0,012</w:t>
            </w:r>
          </w:p>
        </w:tc>
        <w:tc>
          <w:tcPr>
            <w:tcW w:w="1218" w:type="dxa"/>
            <w:vAlign w:val="center"/>
          </w:tcPr>
          <w:p>
            <w:pPr>
              <w:pStyle w:val="Default"/>
              <w:jc w:val="right"/>
              <w:rPr>
                <w:b/>
                <w:noProof/>
                <w:sz w:val="20"/>
                <w:szCs w:val="20"/>
              </w:rPr>
            </w:pPr>
            <w:r>
              <w:rPr>
                <w:b/>
                <w:noProof/>
                <w:sz w:val="20"/>
              </w:rPr>
              <w:t>0,360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Maksut</w:t>
            </w:r>
          </w:p>
        </w:tc>
        <w:tc>
          <w:tcPr>
            <w:tcW w:w="654" w:type="dxa"/>
            <w:vAlign w:val="center"/>
          </w:tcPr>
          <w:p>
            <w:pPr>
              <w:jc w:val="center"/>
              <w:rPr>
                <w:noProof/>
                <w:sz w:val="14"/>
              </w:rPr>
            </w:pPr>
            <w:r>
              <w:rPr>
                <w:noProof/>
                <w:sz w:val="14"/>
              </w:rPr>
              <w:t>=5+ 6</w:t>
            </w:r>
          </w:p>
        </w:tc>
        <w:tc>
          <w:tcPr>
            <w:tcW w:w="868" w:type="dxa"/>
            <w:vAlign w:val="center"/>
          </w:tcPr>
          <w:p>
            <w:pPr>
              <w:pStyle w:val="Default"/>
              <w:jc w:val="right"/>
              <w:rPr>
                <w:noProof/>
                <w:sz w:val="20"/>
                <w:szCs w:val="20"/>
              </w:rPr>
            </w:pPr>
            <w:r>
              <w:rPr>
                <w:b/>
                <w:noProof/>
                <w:sz w:val="20"/>
              </w:rPr>
              <w:t>0,06</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42" w:type="dxa"/>
            <w:vAlign w:val="center"/>
          </w:tcPr>
          <w:p>
            <w:pPr>
              <w:pStyle w:val="Default"/>
              <w:jc w:val="right"/>
              <w:rPr>
                <w:b/>
                <w:noProof/>
                <w:sz w:val="20"/>
                <w:szCs w:val="20"/>
              </w:rPr>
            </w:pPr>
            <w:r>
              <w:rPr>
                <w:b/>
                <w:noProof/>
                <w:sz w:val="20"/>
              </w:rPr>
              <w:t>0,012</w:t>
            </w:r>
          </w:p>
        </w:tc>
        <w:tc>
          <w:tcPr>
            <w:tcW w:w="1218" w:type="dxa"/>
            <w:vAlign w:val="center"/>
          </w:tcPr>
          <w:p>
            <w:pPr>
              <w:pStyle w:val="Default"/>
              <w:jc w:val="right"/>
              <w:rPr>
                <w:b/>
                <w:noProof/>
                <w:sz w:val="20"/>
                <w:szCs w:val="20"/>
              </w:rPr>
            </w:pPr>
            <w:r>
              <w:rPr>
                <w:b/>
                <w:noProof/>
                <w:sz w:val="20"/>
              </w:rPr>
              <w:t>0,360</w:t>
            </w:r>
          </w:p>
        </w:tc>
      </w:tr>
    </w:tbl>
    <w:p>
      <w:pPr>
        <w:spacing w:after="40"/>
        <w:rPr>
          <w:b/>
          <w:noProof/>
          <w:sz w:val="22"/>
          <w:u w:val="single"/>
        </w:rPr>
      </w:pPr>
      <w:r>
        <w:rPr>
          <w:b/>
          <w:noProof/>
          <w:sz w:val="22"/>
          <w:u w:val="single"/>
        </w:rPr>
        <w:t>Jos ehdotuksella/aloitteella on vaikutuksia useampaan otsakkeeseen:</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Toimintamäärärahat YHTEENSÄ </w:t>
            </w:r>
          </w:p>
        </w:tc>
        <w:tc>
          <w:tcPr>
            <w:tcW w:w="1440" w:type="dxa"/>
            <w:tcBorders>
              <w:top w:val="single" w:sz="4" w:space="0" w:color="FF0000"/>
            </w:tcBorders>
            <w:vAlign w:val="center"/>
          </w:tcPr>
          <w:p>
            <w:pPr>
              <w:spacing w:beforeLines="20" w:before="48" w:afterLines="20" w:after="48"/>
              <w:rPr>
                <w:noProof/>
                <w:sz w:val="18"/>
              </w:rPr>
            </w:pPr>
            <w:r>
              <w:rPr>
                <w:noProof/>
                <w:sz w:val="18"/>
              </w:rPr>
              <w:t>Sitoumukset</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Maksut</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Tiettyjen ohjelmien määrärahoista katettavat hallintomäärärahat YHTEENSÄ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noProof/>
                <w:sz w:val="22"/>
              </w:rPr>
              <w:t xml:space="preserve">Monivuotisen rahoituskehyksen </w:t>
            </w:r>
            <w:r>
              <w:rPr>
                <w:noProof/>
                <w:sz w:val="22"/>
              </w:rPr>
              <w:br/>
              <w:t xml:space="preserve"> </w:t>
            </w:r>
            <w:r>
              <w:rPr>
                <w:b/>
                <w:noProof/>
                <w:sz w:val="22"/>
              </w:rPr>
              <w:t xml:space="preserve">OTSAKKEISIIN 1–4 kuuluvat </w:t>
            </w:r>
            <w:r>
              <w:rPr>
                <w:b/>
                <w:noProof/>
                <w:sz w:val="22"/>
              </w:rPr>
              <w:br/>
              <w:t>määrärahat YHTEENSÄ</w:t>
            </w:r>
            <w:r>
              <w:rPr>
                <w:b/>
                <w:noProof/>
                <w:sz w:val="22"/>
              </w:rPr>
              <w:br/>
            </w:r>
            <w:r>
              <w:rPr>
                <w:noProof/>
                <w:sz w:val="20"/>
              </w:rPr>
              <w:t>(Viitemäärä)</w:t>
            </w:r>
          </w:p>
        </w:tc>
        <w:tc>
          <w:tcPr>
            <w:tcW w:w="1440" w:type="dxa"/>
            <w:vAlign w:val="center"/>
          </w:tcPr>
          <w:p>
            <w:pPr>
              <w:rPr>
                <w:noProof/>
                <w:sz w:val="18"/>
              </w:rPr>
            </w:pPr>
            <w:r>
              <w:rPr>
                <w:noProof/>
                <w:sz w:val="18"/>
              </w:rPr>
              <w:t>Sitoumukset</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Maksut</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Monivuotisen rahoituskehyksen </w:t>
            </w:r>
            <w:r>
              <w:rPr>
                <w:noProof/>
                <w:sz w:val="22"/>
              </w:rPr>
              <w:br/>
            </w:r>
            <w:r>
              <w:rPr>
                <w:b/>
                <w:noProof/>
                <w:sz w:val="22"/>
              </w:rPr>
              <w:t xml:space="preserve">otsake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’Hallintomenot’</w:t>
            </w:r>
          </w:p>
        </w:tc>
      </w:tr>
    </w:tbl>
    <w:p>
      <w:pPr>
        <w:jc w:val="right"/>
        <w:rPr>
          <w:noProof/>
          <w:sz w:val="20"/>
        </w:rPr>
      </w:pPr>
      <w:r>
        <w:rPr>
          <w:noProof/>
          <w:sz w:val="20"/>
        </w:rPr>
        <w:t>milj. euroa (kolmen desimaalin tarkkuudella)</w:t>
      </w:r>
    </w:p>
    <w:tbl>
      <w:tblPr>
        <w:tblW w:w="142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707"/>
        <w:gridCol w:w="161"/>
        <w:gridCol w:w="868"/>
        <w:gridCol w:w="674"/>
        <w:gridCol w:w="840"/>
        <w:gridCol w:w="3240"/>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Vuosi</w:t>
            </w:r>
            <w:r>
              <w:rPr>
                <w:noProof/>
                <w:sz w:val="22"/>
              </w:rPr>
              <w:br/>
            </w:r>
            <w:r>
              <w:rPr>
                <w:b/>
                <w:noProof/>
                <w:sz w:val="20"/>
              </w:rPr>
              <w:t>2019</w:t>
            </w:r>
          </w:p>
        </w:tc>
        <w:tc>
          <w:tcPr>
            <w:tcW w:w="868" w:type="dxa"/>
            <w:vAlign w:val="center"/>
          </w:tcPr>
          <w:p>
            <w:pPr>
              <w:jc w:val="center"/>
              <w:rPr>
                <w:noProof/>
                <w:sz w:val="20"/>
              </w:rPr>
            </w:pPr>
            <w:r>
              <w:rPr>
                <w:noProof/>
                <w:sz w:val="20"/>
              </w:rPr>
              <w:t>Vuosi</w:t>
            </w:r>
            <w:r>
              <w:rPr>
                <w:noProof/>
                <w:sz w:val="22"/>
              </w:rPr>
              <w:br/>
            </w:r>
            <w:r>
              <w:rPr>
                <w:b/>
                <w:noProof/>
                <w:sz w:val="20"/>
              </w:rPr>
              <w:t>2020</w:t>
            </w:r>
          </w:p>
        </w:tc>
        <w:tc>
          <w:tcPr>
            <w:tcW w:w="868" w:type="dxa"/>
            <w:gridSpan w:val="2"/>
            <w:vAlign w:val="center"/>
          </w:tcPr>
          <w:p>
            <w:pPr>
              <w:jc w:val="center"/>
              <w:rPr>
                <w:noProof/>
                <w:sz w:val="20"/>
              </w:rPr>
            </w:pPr>
            <w:r>
              <w:rPr>
                <w:noProof/>
                <w:sz w:val="20"/>
              </w:rPr>
              <w:t>Vuosi</w:t>
            </w:r>
            <w:r>
              <w:rPr>
                <w:noProof/>
                <w:sz w:val="22"/>
              </w:rPr>
              <w:br/>
            </w:r>
            <w:r>
              <w:rPr>
                <w:b/>
                <w:noProof/>
                <w:sz w:val="20"/>
              </w:rPr>
              <w:t>2021</w:t>
            </w:r>
          </w:p>
        </w:tc>
        <w:tc>
          <w:tcPr>
            <w:tcW w:w="868" w:type="dxa"/>
            <w:vAlign w:val="center"/>
          </w:tcPr>
          <w:p>
            <w:pPr>
              <w:jc w:val="center"/>
              <w:rPr>
                <w:noProof/>
                <w:sz w:val="20"/>
              </w:rPr>
            </w:pPr>
            <w:r>
              <w:rPr>
                <w:noProof/>
                <w:sz w:val="20"/>
              </w:rPr>
              <w:t>Vuosi</w:t>
            </w:r>
            <w:r>
              <w:rPr>
                <w:noProof/>
                <w:sz w:val="22"/>
              </w:rPr>
              <w:br/>
            </w:r>
            <w:r>
              <w:rPr>
                <w:b/>
                <w:noProof/>
                <w:sz w:val="20"/>
              </w:rPr>
              <w:t>2022</w:t>
            </w:r>
          </w:p>
        </w:tc>
        <w:tc>
          <w:tcPr>
            <w:tcW w:w="674" w:type="dxa"/>
          </w:tcPr>
          <w:p>
            <w:pPr>
              <w:jc w:val="center"/>
              <w:rPr>
                <w:b/>
                <w:noProof/>
                <w:sz w:val="20"/>
              </w:rPr>
            </w:pPr>
            <w:r>
              <w:rPr>
                <w:noProof/>
                <w:sz w:val="20"/>
              </w:rPr>
              <w:t xml:space="preserve">Vuosi </w:t>
            </w:r>
            <w:r>
              <w:rPr>
                <w:b/>
                <w:noProof/>
                <w:sz w:val="20"/>
              </w:rPr>
              <w:t>2023</w:t>
            </w:r>
          </w:p>
        </w:tc>
        <w:tc>
          <w:tcPr>
            <w:tcW w:w="840" w:type="dxa"/>
          </w:tcPr>
          <w:p>
            <w:pPr>
              <w:jc w:val="center"/>
              <w:rPr>
                <w:b/>
                <w:noProof/>
                <w:sz w:val="20"/>
              </w:rPr>
            </w:pPr>
            <w:r>
              <w:rPr>
                <w:noProof/>
                <w:sz w:val="20"/>
              </w:rPr>
              <w:t xml:space="preserve">Vuosi </w:t>
            </w:r>
            <w:r>
              <w:rPr>
                <w:b/>
                <w:noProof/>
                <w:sz w:val="20"/>
              </w:rPr>
              <w:t>2024</w:t>
            </w:r>
          </w:p>
        </w:tc>
        <w:tc>
          <w:tcPr>
            <w:tcW w:w="3240" w:type="dxa"/>
            <w:vAlign w:val="center"/>
          </w:tcPr>
          <w:p>
            <w:pPr>
              <w:jc w:val="center"/>
              <w:rPr>
                <w:b/>
                <w:noProof/>
                <w:sz w:val="20"/>
              </w:rPr>
            </w:pPr>
            <w:r>
              <w:rPr>
                <w:b/>
                <w:noProof/>
                <w:sz w:val="20"/>
              </w:rPr>
              <w:t>YHTEENSÄ</w:t>
            </w:r>
          </w:p>
        </w:tc>
      </w:tr>
      <w:tr>
        <w:trPr>
          <w:gridAfter w:val="5"/>
          <w:wAfter w:w="5783" w:type="dxa"/>
        </w:trPr>
        <w:tc>
          <w:tcPr>
            <w:tcW w:w="3960" w:type="dxa"/>
            <w:vAlign w:val="center"/>
          </w:tcPr>
          <w:p>
            <w:pPr>
              <w:spacing w:before="60" w:after="60"/>
              <w:jc w:val="center"/>
              <w:rPr>
                <w:noProof/>
                <w:sz w:val="22"/>
              </w:rPr>
            </w:pPr>
            <w:r>
              <w:rPr>
                <w:noProof/>
                <w:sz w:val="22"/>
              </w:rPr>
              <w:t>PO: RTD</w:t>
            </w:r>
          </w:p>
        </w:tc>
        <w:tc>
          <w:tcPr>
            <w:tcW w:w="4537" w:type="dxa"/>
            <w:gridSpan w:val="5"/>
            <w:tcBorders>
              <w:right w:val="nil"/>
            </w:tcBorders>
          </w:tcPr>
          <w:p>
            <w:pPr>
              <w:spacing w:before="60" w:after="60"/>
              <w:jc w:val="center"/>
              <w:rPr>
                <w:noProof/>
                <w:sz w:val="22"/>
              </w:rPr>
            </w:pP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Henkilöresurssit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674" w:type="dxa"/>
          </w:tcPr>
          <w:p>
            <w:pPr>
              <w:spacing w:before="20" w:after="20"/>
              <w:jc w:val="right"/>
              <w:rPr>
                <w:b/>
                <w:noProof/>
                <w:sz w:val="20"/>
              </w:rPr>
            </w:pPr>
          </w:p>
        </w:tc>
        <w:tc>
          <w:tcPr>
            <w:tcW w:w="840" w:type="dxa"/>
          </w:tcPr>
          <w:p>
            <w:pPr>
              <w:spacing w:before="20" w:after="20"/>
              <w:jc w:val="right"/>
              <w:rPr>
                <w:b/>
                <w:noProof/>
                <w:sz w:val="20"/>
              </w:rPr>
            </w:pPr>
          </w:p>
        </w:tc>
        <w:tc>
          <w:tcPr>
            <w:tcW w:w="3240"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Muut hallintomenot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674" w:type="dxa"/>
            <w:vAlign w:val="center"/>
          </w:tcPr>
          <w:p>
            <w:pPr>
              <w:spacing w:before="20" w:after="20"/>
              <w:jc w:val="center"/>
              <w:rPr>
                <w:b/>
                <w:noProof/>
                <w:sz w:val="20"/>
              </w:rPr>
            </w:pPr>
          </w:p>
        </w:tc>
        <w:tc>
          <w:tcPr>
            <w:tcW w:w="840" w:type="dxa"/>
            <w:vAlign w:val="center"/>
          </w:tcPr>
          <w:p>
            <w:pPr>
              <w:spacing w:before="20" w:after="20"/>
              <w:jc w:val="center"/>
              <w:rPr>
                <w:b/>
                <w:noProof/>
                <w:sz w:val="20"/>
              </w:rPr>
            </w:pPr>
          </w:p>
        </w:tc>
        <w:tc>
          <w:tcPr>
            <w:tcW w:w="3240"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PO RTD YHTEENSÄ</w:t>
            </w:r>
          </w:p>
        </w:tc>
        <w:tc>
          <w:tcPr>
            <w:tcW w:w="2094" w:type="dxa"/>
            <w:gridSpan w:val="2"/>
            <w:vAlign w:val="center"/>
          </w:tcPr>
          <w:p>
            <w:pPr>
              <w:rPr>
                <w:noProof/>
                <w:sz w:val="14"/>
              </w:rPr>
            </w:pPr>
            <w:r>
              <w:rPr>
                <w:noProof/>
                <w:sz w:val="18"/>
              </w:rPr>
              <w:t xml:space="preserve">Määrärahat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674" w:type="dxa"/>
            <w:vAlign w:val="center"/>
          </w:tcPr>
          <w:p>
            <w:pPr>
              <w:spacing w:before="20" w:after="20"/>
              <w:jc w:val="center"/>
              <w:rPr>
                <w:b/>
                <w:noProof/>
                <w:sz w:val="20"/>
              </w:rPr>
            </w:pPr>
          </w:p>
        </w:tc>
        <w:tc>
          <w:tcPr>
            <w:tcW w:w="840" w:type="dxa"/>
            <w:vAlign w:val="center"/>
          </w:tcPr>
          <w:p>
            <w:pPr>
              <w:spacing w:before="20" w:after="20"/>
              <w:jc w:val="center"/>
              <w:rPr>
                <w:b/>
                <w:noProof/>
                <w:sz w:val="20"/>
              </w:rPr>
            </w:pPr>
          </w:p>
        </w:tc>
        <w:tc>
          <w:tcPr>
            <w:tcW w:w="3240"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674"/>
        <w:gridCol w:w="840"/>
        <w:gridCol w:w="3240"/>
      </w:tblGrid>
      <w:tr>
        <w:tc>
          <w:tcPr>
            <w:tcW w:w="3960" w:type="dxa"/>
            <w:shd w:val="thinDiagStripe" w:color="C0C0C0" w:fill="auto"/>
            <w:vAlign w:val="center"/>
          </w:tcPr>
          <w:p>
            <w:pPr>
              <w:jc w:val="center"/>
              <w:rPr>
                <w:b/>
                <w:noProof/>
                <w:sz w:val="22"/>
              </w:rPr>
            </w:pPr>
            <w:r>
              <w:rPr>
                <w:noProof/>
                <w:sz w:val="22"/>
              </w:rPr>
              <w:t>Monivuotisen rahoituskehyksen</w:t>
            </w:r>
            <w:r>
              <w:rPr>
                <w:noProof/>
                <w:sz w:val="22"/>
              </w:rPr>
              <w:br/>
            </w:r>
            <w:r>
              <w:rPr>
                <w:b/>
                <w:noProof/>
                <w:sz w:val="22"/>
              </w:rPr>
              <w:t>OTSAKKEESEEN 5 kuuluvat</w:t>
            </w:r>
            <w:r>
              <w:rPr>
                <w:b/>
                <w:noProof/>
                <w:sz w:val="22"/>
              </w:rPr>
              <w:br/>
              <w:t xml:space="preserve">määrärahat YHTEENSÄ </w:t>
            </w:r>
          </w:p>
        </w:tc>
        <w:tc>
          <w:tcPr>
            <w:tcW w:w="2094" w:type="dxa"/>
            <w:vAlign w:val="center"/>
          </w:tcPr>
          <w:p>
            <w:pPr>
              <w:spacing w:before="40" w:after="40"/>
              <w:rPr>
                <w:noProof/>
                <w:sz w:val="22"/>
              </w:rPr>
            </w:pPr>
            <w:r>
              <w:rPr>
                <w:noProof/>
                <w:sz w:val="18"/>
              </w:rPr>
              <w:t>(Sitoumukset yhteensä = maksut yhteensä)</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674" w:type="dxa"/>
            <w:vAlign w:val="center"/>
          </w:tcPr>
          <w:p>
            <w:pPr>
              <w:spacing w:before="20" w:after="20"/>
              <w:jc w:val="center"/>
              <w:rPr>
                <w:b/>
                <w:noProof/>
                <w:sz w:val="20"/>
              </w:rPr>
            </w:pPr>
          </w:p>
        </w:tc>
        <w:tc>
          <w:tcPr>
            <w:tcW w:w="840" w:type="dxa"/>
            <w:vAlign w:val="center"/>
          </w:tcPr>
          <w:p>
            <w:pPr>
              <w:spacing w:before="20" w:after="20"/>
              <w:jc w:val="center"/>
              <w:rPr>
                <w:b/>
                <w:noProof/>
                <w:sz w:val="20"/>
              </w:rPr>
            </w:pPr>
          </w:p>
        </w:tc>
        <w:tc>
          <w:tcPr>
            <w:tcW w:w="3240" w:type="dxa"/>
            <w:vAlign w:val="center"/>
          </w:tcPr>
          <w:p>
            <w:pPr>
              <w:spacing w:before="20" w:after="20"/>
              <w:jc w:val="right"/>
              <w:rPr>
                <w:b/>
                <w:noProof/>
                <w:sz w:val="20"/>
              </w:rPr>
            </w:pPr>
          </w:p>
        </w:tc>
      </w:tr>
    </w:tbl>
    <w:p>
      <w:pPr>
        <w:jc w:val="right"/>
        <w:rPr>
          <w:noProof/>
          <w:sz w:val="20"/>
        </w:rPr>
      </w:pPr>
      <w:r>
        <w:rPr>
          <w:noProof/>
          <w:sz w:val="20"/>
        </w:rPr>
        <w:t>milj. euroa (kolmen desimaalin tarkkuudella)</w:t>
      </w:r>
    </w:p>
    <w:tbl>
      <w:tblPr>
        <w:tblW w:w="142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27"/>
        <w:gridCol w:w="909"/>
        <w:gridCol w:w="868"/>
        <w:gridCol w:w="868"/>
        <w:gridCol w:w="899"/>
        <w:gridCol w:w="850"/>
        <w:gridCol w:w="3005"/>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27" w:type="dxa"/>
            <w:vAlign w:val="center"/>
          </w:tcPr>
          <w:p>
            <w:pPr>
              <w:jc w:val="center"/>
              <w:rPr>
                <w:noProof/>
                <w:sz w:val="20"/>
              </w:rPr>
            </w:pPr>
            <w:r>
              <w:rPr>
                <w:noProof/>
                <w:sz w:val="20"/>
              </w:rPr>
              <w:t>Vuosi</w:t>
            </w:r>
            <w:r>
              <w:rPr>
                <w:noProof/>
                <w:sz w:val="22"/>
              </w:rPr>
              <w:br/>
            </w:r>
            <w:r>
              <w:rPr>
                <w:b/>
                <w:noProof/>
                <w:sz w:val="20"/>
              </w:rPr>
              <w:t>2019</w:t>
            </w:r>
            <w:r>
              <w:rPr>
                <w:rStyle w:val="FootnoteReference"/>
                <w:b/>
                <w:noProof/>
                <w:sz w:val="20"/>
              </w:rPr>
              <w:footnoteReference w:id="20"/>
            </w:r>
          </w:p>
        </w:tc>
        <w:tc>
          <w:tcPr>
            <w:tcW w:w="909" w:type="dxa"/>
            <w:vAlign w:val="center"/>
          </w:tcPr>
          <w:p>
            <w:pPr>
              <w:jc w:val="center"/>
              <w:rPr>
                <w:noProof/>
                <w:sz w:val="20"/>
              </w:rPr>
            </w:pPr>
            <w:r>
              <w:rPr>
                <w:noProof/>
                <w:sz w:val="20"/>
              </w:rPr>
              <w:t>Vuosi</w:t>
            </w:r>
            <w:r>
              <w:rPr>
                <w:noProof/>
                <w:sz w:val="22"/>
              </w:rPr>
              <w:br/>
            </w:r>
            <w:r>
              <w:rPr>
                <w:b/>
                <w:noProof/>
                <w:sz w:val="20"/>
              </w:rPr>
              <w:t>2020</w:t>
            </w:r>
          </w:p>
        </w:tc>
        <w:tc>
          <w:tcPr>
            <w:tcW w:w="868" w:type="dxa"/>
            <w:vAlign w:val="center"/>
          </w:tcPr>
          <w:p>
            <w:pPr>
              <w:jc w:val="center"/>
              <w:rPr>
                <w:noProof/>
                <w:sz w:val="20"/>
              </w:rPr>
            </w:pPr>
            <w:r>
              <w:rPr>
                <w:noProof/>
                <w:sz w:val="20"/>
              </w:rPr>
              <w:t>Vuosi</w:t>
            </w:r>
            <w:r>
              <w:rPr>
                <w:noProof/>
                <w:sz w:val="22"/>
              </w:rPr>
              <w:br/>
            </w:r>
            <w:r>
              <w:rPr>
                <w:b/>
                <w:noProof/>
                <w:sz w:val="20"/>
              </w:rPr>
              <w:t>2021</w:t>
            </w:r>
          </w:p>
        </w:tc>
        <w:tc>
          <w:tcPr>
            <w:tcW w:w="868" w:type="dxa"/>
            <w:vAlign w:val="center"/>
          </w:tcPr>
          <w:p>
            <w:pPr>
              <w:jc w:val="center"/>
              <w:rPr>
                <w:noProof/>
                <w:sz w:val="20"/>
              </w:rPr>
            </w:pPr>
            <w:r>
              <w:rPr>
                <w:noProof/>
                <w:sz w:val="20"/>
              </w:rPr>
              <w:t>Vuosi</w:t>
            </w:r>
            <w:r>
              <w:rPr>
                <w:noProof/>
                <w:sz w:val="22"/>
              </w:rPr>
              <w:br/>
            </w:r>
            <w:r>
              <w:rPr>
                <w:b/>
                <w:noProof/>
                <w:sz w:val="20"/>
              </w:rPr>
              <w:t>2022</w:t>
            </w:r>
          </w:p>
        </w:tc>
        <w:tc>
          <w:tcPr>
            <w:tcW w:w="899" w:type="dxa"/>
          </w:tcPr>
          <w:p>
            <w:pPr>
              <w:jc w:val="center"/>
              <w:rPr>
                <w:b/>
                <w:noProof/>
                <w:sz w:val="20"/>
              </w:rPr>
            </w:pPr>
            <w:r>
              <w:rPr>
                <w:noProof/>
                <w:sz w:val="20"/>
              </w:rPr>
              <w:t>Vuosi</w:t>
            </w:r>
            <w:r>
              <w:rPr>
                <w:noProof/>
                <w:sz w:val="22"/>
              </w:rPr>
              <w:br/>
            </w:r>
            <w:r>
              <w:rPr>
                <w:b/>
                <w:noProof/>
                <w:sz w:val="20"/>
              </w:rPr>
              <w:t>2023</w:t>
            </w:r>
          </w:p>
        </w:tc>
        <w:tc>
          <w:tcPr>
            <w:tcW w:w="850" w:type="dxa"/>
          </w:tcPr>
          <w:p>
            <w:pPr>
              <w:jc w:val="center"/>
              <w:rPr>
                <w:b/>
                <w:noProof/>
                <w:sz w:val="20"/>
              </w:rPr>
            </w:pPr>
            <w:r>
              <w:rPr>
                <w:noProof/>
                <w:sz w:val="20"/>
              </w:rPr>
              <w:t>Vuosi</w:t>
            </w:r>
            <w:r>
              <w:rPr>
                <w:noProof/>
                <w:sz w:val="22"/>
              </w:rPr>
              <w:br/>
            </w:r>
            <w:r>
              <w:rPr>
                <w:b/>
                <w:noProof/>
                <w:sz w:val="20"/>
              </w:rPr>
              <w:t>2024</w:t>
            </w:r>
          </w:p>
        </w:tc>
        <w:tc>
          <w:tcPr>
            <w:tcW w:w="3005" w:type="dxa"/>
            <w:vAlign w:val="center"/>
          </w:tcPr>
          <w:p>
            <w:pPr>
              <w:jc w:val="center"/>
              <w:rPr>
                <w:b/>
                <w:noProof/>
                <w:sz w:val="20"/>
              </w:rPr>
            </w:pPr>
            <w:r>
              <w:rPr>
                <w:b/>
                <w:noProof/>
                <w:sz w:val="20"/>
              </w:rPr>
              <w:t>YHTEENSÄ</w:t>
            </w:r>
          </w:p>
        </w:tc>
      </w:tr>
      <w:tr>
        <w:tc>
          <w:tcPr>
            <w:tcW w:w="3960" w:type="dxa"/>
            <w:vMerge w:val="restart"/>
            <w:shd w:val="clear" w:color="auto" w:fill="C0C0C0"/>
            <w:vAlign w:val="center"/>
          </w:tcPr>
          <w:p>
            <w:pPr>
              <w:jc w:val="center"/>
              <w:rPr>
                <w:b/>
                <w:noProof/>
                <w:sz w:val="22"/>
              </w:rPr>
            </w:pPr>
            <w:r>
              <w:rPr>
                <w:noProof/>
                <w:sz w:val="22"/>
              </w:rPr>
              <w:t>Monivuotisen rahoituskehyksen</w:t>
            </w:r>
            <w:r>
              <w:rPr>
                <w:b/>
                <w:noProof/>
                <w:sz w:val="22"/>
              </w:rPr>
              <w:t xml:space="preserve"> </w:t>
            </w:r>
            <w:r>
              <w:rPr>
                <w:noProof/>
                <w:sz w:val="22"/>
              </w:rPr>
              <w:br/>
            </w:r>
            <w:r>
              <w:rPr>
                <w:b/>
                <w:noProof/>
                <w:sz w:val="22"/>
              </w:rPr>
              <w:t xml:space="preserve"> OTSAKKEISIIN 1–5 kuuluvat </w:t>
            </w:r>
            <w:r>
              <w:rPr>
                <w:b/>
                <w:noProof/>
                <w:sz w:val="22"/>
              </w:rPr>
              <w:br/>
              <w:t xml:space="preserve">määrärahat YHTEENSÄ </w:t>
            </w:r>
          </w:p>
        </w:tc>
        <w:tc>
          <w:tcPr>
            <w:tcW w:w="2094" w:type="dxa"/>
            <w:gridSpan w:val="2"/>
            <w:vAlign w:val="center"/>
          </w:tcPr>
          <w:p>
            <w:pPr>
              <w:rPr>
                <w:noProof/>
                <w:sz w:val="14"/>
              </w:rPr>
            </w:pPr>
            <w:r>
              <w:rPr>
                <w:noProof/>
                <w:sz w:val="18"/>
              </w:rPr>
              <w:t>Sitoumukset</w:t>
            </w:r>
          </w:p>
        </w:tc>
        <w:tc>
          <w:tcPr>
            <w:tcW w:w="827" w:type="dxa"/>
            <w:vAlign w:val="center"/>
          </w:tcPr>
          <w:p>
            <w:pPr>
              <w:spacing w:before="60" w:after="60"/>
              <w:jc w:val="right"/>
              <w:rPr>
                <w:b/>
                <w:noProof/>
                <w:sz w:val="20"/>
              </w:rPr>
            </w:pPr>
            <w:r>
              <w:rPr>
                <w:b/>
                <w:noProof/>
                <w:sz w:val="20"/>
              </w:rPr>
              <w:t>0,06</w:t>
            </w:r>
          </w:p>
        </w:tc>
        <w:tc>
          <w:tcPr>
            <w:tcW w:w="909"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99" w:type="dxa"/>
            <w:vAlign w:val="center"/>
          </w:tcPr>
          <w:p>
            <w:pPr>
              <w:spacing w:before="60" w:after="60"/>
              <w:jc w:val="right"/>
              <w:rPr>
                <w:b/>
                <w:noProof/>
                <w:sz w:val="20"/>
              </w:rPr>
            </w:pPr>
            <w:r>
              <w:rPr>
                <w:b/>
                <w:noProof/>
                <w:sz w:val="20"/>
              </w:rPr>
              <w:t>0,072</w:t>
            </w:r>
          </w:p>
        </w:tc>
        <w:tc>
          <w:tcPr>
            <w:tcW w:w="850" w:type="dxa"/>
            <w:vAlign w:val="center"/>
          </w:tcPr>
          <w:p>
            <w:pPr>
              <w:spacing w:before="60" w:after="60"/>
              <w:jc w:val="right"/>
              <w:rPr>
                <w:b/>
                <w:noProof/>
                <w:sz w:val="20"/>
              </w:rPr>
            </w:pPr>
            <w:r>
              <w:rPr>
                <w:b/>
                <w:noProof/>
                <w:sz w:val="20"/>
              </w:rPr>
              <w:t>0,012</w:t>
            </w:r>
          </w:p>
        </w:tc>
        <w:tc>
          <w:tcPr>
            <w:tcW w:w="3005" w:type="dxa"/>
            <w:vAlign w:val="center"/>
          </w:tcPr>
          <w:p>
            <w:pPr>
              <w:spacing w:before="60" w:after="60"/>
              <w:jc w:val="right"/>
              <w:rPr>
                <w:b/>
                <w:noProof/>
                <w:sz w:val="20"/>
              </w:rPr>
            </w:pPr>
            <w:r>
              <w:rPr>
                <w:b/>
                <w:noProof/>
                <w:sz w:val="20"/>
              </w:rPr>
              <w:t>0,360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Maksut</w:t>
            </w:r>
          </w:p>
        </w:tc>
        <w:tc>
          <w:tcPr>
            <w:tcW w:w="827" w:type="dxa"/>
            <w:vAlign w:val="center"/>
          </w:tcPr>
          <w:p>
            <w:pPr>
              <w:spacing w:before="60" w:after="60"/>
              <w:jc w:val="right"/>
              <w:rPr>
                <w:b/>
                <w:noProof/>
                <w:sz w:val="20"/>
              </w:rPr>
            </w:pPr>
            <w:r>
              <w:rPr>
                <w:b/>
                <w:noProof/>
                <w:sz w:val="20"/>
              </w:rPr>
              <w:t>0,06</w:t>
            </w:r>
          </w:p>
        </w:tc>
        <w:tc>
          <w:tcPr>
            <w:tcW w:w="909"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99" w:type="dxa"/>
            <w:vAlign w:val="center"/>
          </w:tcPr>
          <w:p>
            <w:pPr>
              <w:spacing w:before="60" w:after="60"/>
              <w:jc w:val="right"/>
              <w:rPr>
                <w:b/>
                <w:noProof/>
                <w:sz w:val="20"/>
              </w:rPr>
            </w:pPr>
            <w:r>
              <w:rPr>
                <w:b/>
                <w:noProof/>
                <w:sz w:val="20"/>
              </w:rPr>
              <w:t>0,072</w:t>
            </w:r>
          </w:p>
        </w:tc>
        <w:tc>
          <w:tcPr>
            <w:tcW w:w="850" w:type="dxa"/>
            <w:vAlign w:val="center"/>
          </w:tcPr>
          <w:p>
            <w:pPr>
              <w:spacing w:before="60" w:after="60"/>
              <w:jc w:val="right"/>
              <w:rPr>
                <w:b/>
                <w:noProof/>
                <w:sz w:val="20"/>
              </w:rPr>
            </w:pPr>
            <w:r>
              <w:rPr>
                <w:b/>
                <w:noProof/>
                <w:sz w:val="20"/>
              </w:rPr>
              <w:t>0,012</w:t>
            </w:r>
          </w:p>
        </w:tc>
        <w:tc>
          <w:tcPr>
            <w:tcW w:w="3005" w:type="dxa"/>
            <w:vAlign w:val="center"/>
          </w:tcPr>
          <w:p>
            <w:pPr>
              <w:spacing w:before="60" w:after="60"/>
              <w:jc w:val="right"/>
              <w:rPr>
                <w:b/>
                <w:noProof/>
                <w:sz w:val="20"/>
              </w:rPr>
            </w:pPr>
            <w:r>
              <w:rPr>
                <w:b/>
                <w:noProof/>
                <w:sz w:val="20"/>
              </w:rPr>
              <w:t>0,360</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Arvioidut vaikutukset toimintamäärärahoihin </w:t>
      </w:r>
    </w:p>
    <w:p>
      <w:pPr>
        <w:pStyle w:val="ListDash1"/>
        <w:rPr>
          <w:noProof/>
        </w:rPr>
      </w:pPr>
      <w:r>
        <w:rPr>
          <w:noProof/>
        </w:rPr>
        <w:sym w:font="Wingdings" w:char="F0FE"/>
      </w:r>
      <w:r>
        <w:rPr>
          <w:noProof/>
        </w:rPr>
        <w:tab/>
        <w:t xml:space="preserve">Ehdotus/aloite ei edellytä toimintamäärärahoja. </w:t>
      </w:r>
    </w:p>
    <w:p>
      <w:pPr>
        <w:rPr>
          <w:noProof/>
        </w:rPr>
      </w:pPr>
    </w:p>
    <w:p>
      <w:pPr>
        <w:jc w:val="center"/>
        <w:rPr>
          <w:noProof/>
          <w:sz w:val="20"/>
        </w:rPr>
      </w:pPr>
      <w:r>
        <w:rPr>
          <w:noProof/>
          <w:sz w:val="20"/>
        </w:rPr>
        <w:t>Maksusitoumusmäärärahat, milj. euroa (kolmen desimaalin tarkkuudella)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Tavoitteet ja tuotokset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Vuosi</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Vuosi</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Vuosi</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Vuosi</w:t>
            </w:r>
            <w:r>
              <w:rPr>
                <w:noProof/>
                <w:sz w:val="22"/>
              </w:rPr>
              <w:br/>
            </w:r>
            <w:r>
              <w:rPr>
                <w:b/>
                <w:noProof/>
                <w:sz w:val="18"/>
              </w:rPr>
              <w:t>N+3</w:t>
            </w:r>
          </w:p>
        </w:tc>
        <w:tc>
          <w:tcPr>
            <w:tcW w:w="3600" w:type="dxa"/>
            <w:gridSpan w:val="6"/>
            <w:vAlign w:val="center"/>
          </w:tcPr>
          <w:p>
            <w:pPr>
              <w:jc w:val="center"/>
              <w:rPr>
                <w:noProof/>
                <w:sz w:val="18"/>
                <w:szCs w:val="18"/>
              </w:rPr>
            </w:pPr>
            <w:r>
              <w:rPr>
                <w:noProof/>
                <w:sz w:val="18"/>
              </w:rPr>
              <w:t>ja näitä seuraavat vuodet (ilmoitetaan kaikki vuodet, joille ehdotuksen/aloitteen vaikutukset ulottuvat, ks. kohta 1.6)</w:t>
            </w:r>
          </w:p>
        </w:tc>
        <w:tc>
          <w:tcPr>
            <w:tcW w:w="1620" w:type="dxa"/>
            <w:gridSpan w:val="2"/>
            <w:tcBorders>
              <w:left w:val="nil"/>
              <w:bottom w:val="nil"/>
            </w:tcBorders>
            <w:vAlign w:val="center"/>
          </w:tcPr>
          <w:p>
            <w:pPr>
              <w:ind w:right="-29"/>
              <w:jc w:val="center"/>
              <w:rPr>
                <w:noProof/>
                <w:sz w:val="18"/>
                <w:szCs w:val="18"/>
              </w:rPr>
            </w:pPr>
            <w:r>
              <w:rPr>
                <w:b/>
                <w:noProof/>
                <w:sz w:val="18"/>
              </w:rPr>
              <w:t>YHTEENSÄ</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TUOTOKSET</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Tyyp</w:t>
            </w:r>
            <w:r>
              <w:rPr>
                <w:noProof/>
                <w:sz w:val="18"/>
              </w:rPr>
              <w:softHyphen/>
              <w:t>pi</w:t>
            </w:r>
            <w:r>
              <w:rPr>
                <w:rStyle w:val="FootnoteReference"/>
                <w:noProof/>
                <w:sz w:val="18"/>
              </w:rPr>
              <w:footnoteReference w:id="21"/>
            </w:r>
          </w:p>
          <w:p>
            <w:pPr>
              <w:spacing w:before="0" w:after="0"/>
              <w:jc w:val="center"/>
              <w:rPr>
                <w:noProof/>
                <w:sz w:val="18"/>
                <w:szCs w:val="18"/>
              </w:rPr>
            </w:pPr>
          </w:p>
        </w:tc>
        <w:tc>
          <w:tcPr>
            <w:tcW w:w="701" w:type="dxa"/>
            <w:vAlign w:val="center"/>
          </w:tcPr>
          <w:p>
            <w:pPr>
              <w:jc w:val="center"/>
              <w:rPr>
                <w:noProof/>
                <w:sz w:val="18"/>
                <w:szCs w:val="18"/>
              </w:rPr>
            </w:pPr>
            <w:r>
              <w:rPr>
                <w:noProof/>
                <w:sz w:val="18"/>
              </w:rPr>
              <w:t>Keskimäär. kustan</w:t>
            </w:r>
            <w:r>
              <w:rPr>
                <w:noProof/>
                <w:sz w:val="18"/>
              </w:rPr>
              <w:softHyphen/>
              <w:t>nukset</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Lukumäärä yh</w:t>
            </w:r>
            <w:r>
              <w:rPr>
                <w:noProof/>
                <w:sz w:val="18"/>
              </w:rPr>
              <w:softHyphen/>
              <w:t>teensä</w:t>
            </w:r>
          </w:p>
        </w:tc>
        <w:tc>
          <w:tcPr>
            <w:tcW w:w="900" w:type="dxa"/>
            <w:tcBorders>
              <w:left w:val="dashSmallGap" w:sz="4" w:space="0" w:color="auto"/>
            </w:tcBorders>
            <w:shd w:val="pct10" w:color="auto" w:fill="auto"/>
            <w:vAlign w:val="center"/>
          </w:tcPr>
          <w:p>
            <w:pPr>
              <w:jc w:val="center"/>
              <w:rPr>
                <w:noProof/>
                <w:sz w:val="18"/>
                <w:szCs w:val="18"/>
              </w:rPr>
            </w:pPr>
            <w:r>
              <w:rPr>
                <w:noProof/>
                <w:sz w:val="18"/>
              </w:rPr>
              <w:t>Kustan</w:t>
            </w:r>
            <w:r>
              <w:rPr>
                <w:noProof/>
                <w:sz w:val="18"/>
              </w:rPr>
              <w:softHyphen/>
              <w:t>nukset yhteensä</w:t>
            </w:r>
          </w:p>
        </w:tc>
      </w:tr>
      <w:tr>
        <w:trPr>
          <w:jc w:val="center"/>
        </w:trPr>
        <w:tc>
          <w:tcPr>
            <w:tcW w:w="2844" w:type="dxa"/>
            <w:gridSpan w:val="3"/>
            <w:vAlign w:val="center"/>
          </w:tcPr>
          <w:p>
            <w:pPr>
              <w:spacing w:before="60" w:after="60"/>
              <w:ind w:right="-29"/>
              <w:jc w:val="center"/>
              <w:rPr>
                <w:noProof/>
                <w:sz w:val="18"/>
                <w:szCs w:val="18"/>
              </w:rPr>
            </w:pPr>
            <w:r>
              <w:rPr>
                <w:noProof/>
                <w:sz w:val="18"/>
              </w:rPr>
              <w:t>ERITYISTAVOITE 1</w:t>
            </w:r>
            <w:r>
              <w:rPr>
                <w:rStyle w:val="FootnoteReference"/>
                <w:noProof/>
                <w:sz w:val="18"/>
              </w:rPr>
              <w:footnoteReference w:id="22"/>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tuotos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tuotos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tuotos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Välisumma erityistavoite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ERITYISTAVOITE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tuotos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Välisumma erityistavoite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KUSTANNUKSET YHTEENSÄ</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Arvioidut vaikutukset hallintomäärärahoihin</w:t>
      </w:r>
    </w:p>
    <w:p>
      <w:pPr>
        <w:pStyle w:val="ManualHeading4"/>
        <w:rPr>
          <w:noProof/>
        </w:rPr>
      </w:pPr>
      <w:r>
        <w:rPr>
          <w:noProof/>
        </w:rPr>
        <w:t>3.2.3.1.</w:t>
      </w:r>
      <w:r>
        <w:rPr>
          <w:noProof/>
        </w:rPr>
        <w:tab/>
        <w:t xml:space="preserve">Yhteenveto </w:t>
      </w:r>
    </w:p>
    <w:p>
      <w:pPr>
        <w:pStyle w:val="ListDash1"/>
        <w:rPr>
          <w:noProof/>
        </w:rPr>
      </w:pPr>
      <w:r>
        <w:rPr>
          <w:noProof/>
        </w:rPr>
        <w:sym w:font="Wingdings" w:char="F0A8"/>
      </w:r>
      <w:r>
        <w:rPr>
          <w:noProof/>
        </w:rPr>
        <w:tab/>
        <w:t xml:space="preserve">Ehdotus/aloite ei edellytä hallintomäärärahoja. </w:t>
      </w:r>
    </w:p>
    <w:p>
      <w:pPr>
        <w:pStyle w:val="ListDash1"/>
        <w:rPr>
          <w:noProof/>
        </w:rPr>
      </w:pPr>
      <w:r>
        <w:rPr>
          <w:noProof/>
        </w:rPr>
        <w:sym w:font="Wingdings" w:char="F0FE"/>
      </w:r>
      <w:r>
        <w:rPr>
          <w:noProof/>
        </w:rPr>
        <w:tab/>
        <w:t>Ehdotus/aloite edellyttää hallintomäärärahoja seuraavasti:</w:t>
      </w:r>
    </w:p>
    <w:p>
      <w:pPr>
        <w:pStyle w:val="Text1"/>
        <w:rPr>
          <w:noProof/>
        </w:rPr>
      </w:pPr>
    </w:p>
    <w:p>
      <w:pPr>
        <w:jc w:val="center"/>
        <w:rPr>
          <w:noProof/>
          <w:sz w:val="20"/>
        </w:rPr>
      </w:pPr>
      <w:r>
        <w:rPr>
          <w:noProof/>
          <w:sz w:val="20"/>
        </w:rPr>
        <w:t>milj. euroa (kolmen desimaalin tarkkuudella)</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Vuosi</w:t>
            </w:r>
            <w:r>
              <w:rPr>
                <w:noProof/>
                <w:sz w:val="22"/>
              </w:rPr>
              <w:br/>
            </w:r>
            <w:r>
              <w:rPr>
                <w:b/>
                <w:noProof/>
                <w:sz w:val="16"/>
              </w:rPr>
              <w:t>2019</w:t>
            </w:r>
            <w:r>
              <w:rPr>
                <w:rStyle w:val="FootnoteReference"/>
                <w:b/>
                <w:noProof/>
                <w:sz w:val="16"/>
              </w:rPr>
              <w:footnoteReference w:id="23"/>
            </w:r>
          </w:p>
        </w:tc>
        <w:tc>
          <w:tcPr>
            <w:tcW w:w="1080" w:type="dxa"/>
            <w:vAlign w:val="center"/>
          </w:tcPr>
          <w:p>
            <w:pPr>
              <w:spacing w:before="60" w:after="60" w:line="200" w:lineRule="exact"/>
              <w:jc w:val="center"/>
              <w:rPr>
                <w:noProof/>
                <w:sz w:val="16"/>
                <w:szCs w:val="16"/>
              </w:rPr>
            </w:pPr>
            <w:r>
              <w:rPr>
                <w:noProof/>
                <w:sz w:val="16"/>
              </w:rPr>
              <w:t>Vuosi</w:t>
            </w:r>
            <w:r>
              <w:rPr>
                <w:noProof/>
                <w:sz w:val="22"/>
              </w:rPr>
              <w:br/>
            </w:r>
            <w:r>
              <w:rPr>
                <w:b/>
                <w:noProof/>
                <w:sz w:val="16"/>
              </w:rPr>
              <w:t>2020</w:t>
            </w:r>
          </w:p>
        </w:tc>
        <w:tc>
          <w:tcPr>
            <w:tcW w:w="1080" w:type="dxa"/>
            <w:vAlign w:val="center"/>
          </w:tcPr>
          <w:p>
            <w:pPr>
              <w:spacing w:before="60" w:after="60" w:line="200" w:lineRule="exact"/>
              <w:jc w:val="center"/>
              <w:rPr>
                <w:noProof/>
                <w:sz w:val="16"/>
                <w:szCs w:val="16"/>
              </w:rPr>
            </w:pPr>
            <w:r>
              <w:rPr>
                <w:noProof/>
                <w:sz w:val="16"/>
              </w:rPr>
              <w:t>Vuosi</w:t>
            </w:r>
            <w:r>
              <w:rPr>
                <w:noProof/>
                <w:sz w:val="22"/>
              </w:rPr>
              <w:br/>
            </w:r>
            <w:r>
              <w:rPr>
                <w:b/>
                <w:noProof/>
                <w:sz w:val="16"/>
              </w:rPr>
              <w:t>2021</w:t>
            </w:r>
          </w:p>
        </w:tc>
        <w:tc>
          <w:tcPr>
            <w:tcW w:w="1080" w:type="dxa"/>
            <w:vAlign w:val="center"/>
          </w:tcPr>
          <w:p>
            <w:pPr>
              <w:spacing w:before="60" w:after="60" w:line="200" w:lineRule="exact"/>
              <w:jc w:val="center"/>
              <w:rPr>
                <w:noProof/>
                <w:sz w:val="16"/>
                <w:szCs w:val="16"/>
              </w:rPr>
            </w:pPr>
            <w:r>
              <w:rPr>
                <w:noProof/>
                <w:sz w:val="16"/>
              </w:rPr>
              <w:t>Vuosi</w:t>
            </w:r>
            <w:r>
              <w:rPr>
                <w:noProof/>
                <w:sz w:val="22"/>
              </w:rPr>
              <w:br/>
            </w:r>
            <w:r>
              <w:rPr>
                <w:b/>
                <w:noProof/>
                <w:sz w:val="16"/>
              </w:rPr>
              <w:t>2022</w:t>
            </w:r>
          </w:p>
        </w:tc>
        <w:tc>
          <w:tcPr>
            <w:tcW w:w="1080" w:type="dxa"/>
          </w:tcPr>
          <w:p>
            <w:pPr>
              <w:spacing w:before="60" w:after="60" w:line="200" w:lineRule="exact"/>
              <w:jc w:val="center"/>
              <w:rPr>
                <w:b/>
                <w:noProof/>
                <w:sz w:val="16"/>
              </w:rPr>
            </w:pPr>
            <w:r>
              <w:rPr>
                <w:noProof/>
                <w:sz w:val="16"/>
              </w:rPr>
              <w:t>Vuosi</w:t>
            </w:r>
            <w:r>
              <w:rPr>
                <w:noProof/>
                <w:sz w:val="22"/>
              </w:rPr>
              <w:br/>
            </w:r>
            <w:r>
              <w:rPr>
                <w:b/>
                <w:noProof/>
                <w:sz w:val="16"/>
              </w:rPr>
              <w:t>2023</w:t>
            </w:r>
          </w:p>
        </w:tc>
        <w:tc>
          <w:tcPr>
            <w:tcW w:w="1080" w:type="dxa"/>
          </w:tcPr>
          <w:p>
            <w:pPr>
              <w:spacing w:before="60" w:after="60" w:line="200" w:lineRule="exact"/>
              <w:jc w:val="center"/>
              <w:rPr>
                <w:b/>
                <w:noProof/>
                <w:sz w:val="16"/>
              </w:rPr>
            </w:pPr>
            <w:r>
              <w:rPr>
                <w:noProof/>
                <w:sz w:val="16"/>
              </w:rPr>
              <w:t>Vuosi</w:t>
            </w:r>
            <w:r>
              <w:rPr>
                <w:noProof/>
                <w:sz w:val="22"/>
              </w:rPr>
              <w:br/>
            </w:r>
            <w:r>
              <w:rPr>
                <w:b/>
                <w:noProof/>
                <w:sz w:val="16"/>
              </w:rPr>
              <w:t>2024</w:t>
            </w:r>
          </w:p>
        </w:tc>
        <w:tc>
          <w:tcPr>
            <w:tcW w:w="1080" w:type="dxa"/>
            <w:vAlign w:val="center"/>
          </w:tcPr>
          <w:p>
            <w:pPr>
              <w:spacing w:before="60" w:after="60" w:line="200" w:lineRule="exact"/>
              <w:jc w:val="center"/>
              <w:rPr>
                <w:b/>
                <w:noProof/>
                <w:sz w:val="16"/>
                <w:szCs w:val="16"/>
              </w:rPr>
            </w:pPr>
            <w:r>
              <w:rPr>
                <w:b/>
                <w:noProof/>
                <w:sz w:val="16"/>
              </w:rPr>
              <w:t>YHTEENSÄ</w:t>
            </w:r>
          </w:p>
        </w:tc>
      </w:tr>
    </w:tbl>
    <w:p>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Monivuotisen rahoituskehyksen</w:t>
            </w:r>
            <w:r>
              <w:rPr>
                <w:noProof/>
                <w:sz w:val="22"/>
              </w:rPr>
              <w:br/>
            </w:r>
            <w:r>
              <w:rPr>
                <w:b/>
                <w:noProof/>
                <w:sz w:val="16"/>
              </w:rPr>
              <w:t>OTSAKE 5</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Henkilöresurssit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Muut hallintomenot </w:t>
            </w: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Monivuotisen rahoituskehyksen</w:t>
            </w:r>
            <w:r>
              <w:rPr>
                <w:noProof/>
                <w:sz w:val="22"/>
              </w:rPr>
              <w:br/>
            </w:r>
            <w:r>
              <w:rPr>
                <w:b/>
                <w:noProof/>
                <w:sz w:val="16"/>
              </w:rPr>
              <w:t xml:space="preserve">OTSAKE 5, välisumma </w:t>
            </w: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r>
    </w:tbl>
    <w:p>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Monivuotisen rahoituskehyksen</w:t>
            </w:r>
            <w:r>
              <w:rPr>
                <w:noProof/>
                <w:sz w:val="22"/>
              </w:rPr>
              <w:br/>
            </w:r>
            <w:r>
              <w:rPr>
                <w:b/>
                <w:noProof/>
                <w:sz w:val="16"/>
              </w:rPr>
              <w:t>OTSAKKEESEEN 5 sisältymättömät</w:t>
            </w:r>
            <w:r>
              <w:rPr>
                <w:rStyle w:val="FootnoteReference"/>
                <w:b/>
                <w:noProof/>
                <w:sz w:val="16"/>
              </w:rPr>
              <w:footnoteReference w:id="24"/>
            </w:r>
            <w:r>
              <w:rPr>
                <w:b/>
                <w:noProof/>
                <w:sz w:val="16"/>
              </w:rPr>
              <w:t xml:space="preserve">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Henkilöresurssit </w:t>
            </w:r>
          </w:p>
        </w:tc>
        <w:tc>
          <w:tcPr>
            <w:tcW w:w="1080" w:type="dxa"/>
            <w:vAlign w:val="center"/>
          </w:tcPr>
          <w:p>
            <w:pPr>
              <w:pStyle w:val="Default"/>
              <w:jc w:val="right"/>
              <w:rPr>
                <w:noProof/>
                <w:sz w:val="20"/>
                <w:szCs w:val="20"/>
              </w:rPr>
            </w:pPr>
            <w:r>
              <w:rPr>
                <w:b/>
                <w:noProof/>
                <w:sz w:val="20"/>
              </w:rPr>
              <w:t>0,050</w:t>
            </w:r>
          </w:p>
        </w:tc>
        <w:tc>
          <w:tcPr>
            <w:tcW w:w="1080" w:type="dxa"/>
            <w:vAlign w:val="center"/>
          </w:tcPr>
          <w:p>
            <w:pPr>
              <w:pStyle w:val="Default"/>
              <w:jc w:val="right"/>
              <w:rPr>
                <w:noProof/>
                <w:sz w:val="20"/>
                <w:szCs w:val="20"/>
              </w:rPr>
            </w:pPr>
            <w:r>
              <w:rPr>
                <w:b/>
                <w:noProof/>
                <w:sz w:val="20"/>
              </w:rPr>
              <w:t>0,060</w:t>
            </w:r>
          </w:p>
        </w:tc>
        <w:tc>
          <w:tcPr>
            <w:tcW w:w="1080" w:type="dxa"/>
            <w:vAlign w:val="center"/>
          </w:tcPr>
          <w:p>
            <w:pPr>
              <w:pStyle w:val="Default"/>
              <w:jc w:val="right"/>
              <w:rPr>
                <w:noProof/>
                <w:sz w:val="20"/>
                <w:szCs w:val="20"/>
              </w:rPr>
            </w:pPr>
            <w:r>
              <w:rPr>
                <w:b/>
                <w:noProof/>
                <w:sz w:val="20"/>
              </w:rPr>
              <w:t>0,060</w:t>
            </w:r>
          </w:p>
        </w:tc>
        <w:tc>
          <w:tcPr>
            <w:tcW w:w="1080" w:type="dxa"/>
            <w:vAlign w:val="center"/>
          </w:tcPr>
          <w:p>
            <w:pPr>
              <w:pStyle w:val="Default"/>
              <w:jc w:val="right"/>
              <w:rPr>
                <w:b/>
                <w:bCs/>
                <w:noProof/>
                <w:sz w:val="20"/>
                <w:szCs w:val="20"/>
              </w:rPr>
            </w:pPr>
            <w:r>
              <w:rPr>
                <w:b/>
                <w:noProof/>
                <w:sz w:val="20"/>
              </w:rPr>
              <w:t>0,060</w:t>
            </w:r>
          </w:p>
        </w:tc>
        <w:tc>
          <w:tcPr>
            <w:tcW w:w="1080" w:type="dxa"/>
            <w:vAlign w:val="center"/>
          </w:tcPr>
          <w:p>
            <w:pPr>
              <w:pStyle w:val="Default"/>
              <w:jc w:val="right"/>
              <w:rPr>
                <w:b/>
                <w:noProof/>
                <w:sz w:val="20"/>
                <w:szCs w:val="20"/>
              </w:rPr>
            </w:pPr>
            <w:r>
              <w:rPr>
                <w:b/>
                <w:noProof/>
                <w:sz w:val="20"/>
              </w:rPr>
              <w:t>0,060</w:t>
            </w:r>
          </w:p>
        </w:tc>
        <w:tc>
          <w:tcPr>
            <w:tcW w:w="1080" w:type="dxa"/>
            <w:vAlign w:val="center"/>
          </w:tcPr>
          <w:p>
            <w:pPr>
              <w:pStyle w:val="Default"/>
              <w:jc w:val="right"/>
              <w:rPr>
                <w:b/>
                <w:noProof/>
                <w:sz w:val="20"/>
                <w:szCs w:val="20"/>
              </w:rPr>
            </w:pPr>
            <w:r>
              <w:rPr>
                <w:b/>
                <w:noProof/>
                <w:sz w:val="20"/>
              </w:rPr>
              <w:t>0,010</w:t>
            </w:r>
          </w:p>
        </w:tc>
        <w:tc>
          <w:tcPr>
            <w:tcW w:w="1080" w:type="dxa"/>
            <w:vAlign w:val="center"/>
          </w:tcPr>
          <w:p>
            <w:pPr>
              <w:pStyle w:val="Default"/>
              <w:jc w:val="right"/>
              <w:rPr>
                <w:b/>
                <w:noProof/>
                <w:sz w:val="20"/>
                <w:szCs w:val="20"/>
              </w:rPr>
            </w:pPr>
            <w:r>
              <w:rPr>
                <w:b/>
                <w:noProof/>
                <w:sz w:val="20"/>
              </w:rPr>
              <w:t>0,300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Muut </w:t>
            </w:r>
            <w:r>
              <w:rPr>
                <w:noProof/>
                <w:sz w:val="22"/>
              </w:rPr>
              <w:br/>
            </w:r>
            <w:r>
              <w:rPr>
                <w:noProof/>
                <w:sz w:val="16"/>
              </w:rPr>
              <w:t>hallintomenot</w:t>
            </w:r>
          </w:p>
        </w:tc>
        <w:tc>
          <w:tcPr>
            <w:tcW w:w="1080" w:type="dxa"/>
            <w:vAlign w:val="center"/>
          </w:tcPr>
          <w:p>
            <w:pPr>
              <w:spacing w:before="60" w:after="60" w:line="200" w:lineRule="exact"/>
              <w:jc w:val="right"/>
              <w:rPr>
                <w:noProof/>
                <w:sz w:val="16"/>
                <w:szCs w:val="16"/>
              </w:rPr>
            </w:pPr>
            <w:r>
              <w:rPr>
                <w:b/>
                <w:noProof/>
                <w:sz w:val="20"/>
              </w:rPr>
              <w:t>0,010</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0,002</w:t>
            </w:r>
          </w:p>
        </w:tc>
        <w:tc>
          <w:tcPr>
            <w:tcW w:w="1080" w:type="dxa"/>
            <w:vAlign w:val="center"/>
          </w:tcPr>
          <w:p>
            <w:pPr>
              <w:spacing w:before="60" w:after="60" w:line="200" w:lineRule="exact"/>
              <w:jc w:val="right"/>
              <w:rPr>
                <w:b/>
                <w:noProof/>
                <w:sz w:val="16"/>
                <w:szCs w:val="16"/>
              </w:rPr>
            </w:pPr>
            <w:r>
              <w:rPr>
                <w:b/>
                <w:noProof/>
                <w:sz w:val="20"/>
              </w:rPr>
              <w:t>0,060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Monivuotisen rahoituskehyksen </w:t>
            </w:r>
            <w:r>
              <w:rPr>
                <w:noProof/>
                <w:sz w:val="22"/>
              </w:rPr>
              <w:br/>
            </w:r>
            <w:r>
              <w:rPr>
                <w:b/>
                <w:noProof/>
                <w:sz w:val="16"/>
              </w:rPr>
              <w:t>OTSAKKEESEEN 5 sisältymättömät,</w:t>
            </w:r>
            <w:r>
              <w:rPr>
                <w:noProof/>
                <w:sz w:val="22"/>
              </w:rPr>
              <w:br/>
            </w:r>
            <w:r>
              <w:rPr>
                <w:b/>
                <w:noProof/>
                <w:sz w:val="16"/>
              </w:rPr>
              <w:t xml:space="preserve">välisumma </w:t>
            </w:r>
          </w:p>
        </w:tc>
        <w:tc>
          <w:tcPr>
            <w:tcW w:w="1080" w:type="dxa"/>
            <w:vAlign w:val="center"/>
          </w:tcPr>
          <w:p>
            <w:pPr>
              <w:pStyle w:val="Default"/>
              <w:jc w:val="right"/>
              <w:rPr>
                <w:noProof/>
                <w:sz w:val="20"/>
                <w:szCs w:val="20"/>
              </w:rPr>
            </w:pPr>
            <w:r>
              <w:rPr>
                <w:b/>
                <w:noProof/>
                <w:sz w:val="20"/>
              </w:rPr>
              <w:t>0,060</w:t>
            </w:r>
          </w:p>
        </w:tc>
        <w:tc>
          <w:tcPr>
            <w:tcW w:w="1080" w:type="dxa"/>
            <w:vAlign w:val="center"/>
          </w:tcPr>
          <w:p>
            <w:pPr>
              <w:pStyle w:val="Default"/>
              <w:jc w:val="right"/>
              <w:rPr>
                <w:noProof/>
                <w:sz w:val="20"/>
                <w:szCs w:val="20"/>
              </w:rPr>
            </w:pPr>
            <w:r>
              <w:rPr>
                <w:b/>
                <w:noProof/>
                <w:sz w:val="20"/>
              </w:rPr>
              <w:t>0,072</w:t>
            </w:r>
          </w:p>
        </w:tc>
        <w:tc>
          <w:tcPr>
            <w:tcW w:w="1080" w:type="dxa"/>
            <w:vAlign w:val="center"/>
          </w:tcPr>
          <w:p>
            <w:pPr>
              <w:pStyle w:val="Default"/>
              <w:jc w:val="right"/>
              <w:rPr>
                <w:noProof/>
                <w:sz w:val="20"/>
                <w:szCs w:val="20"/>
              </w:rPr>
            </w:pPr>
            <w:r>
              <w:rPr>
                <w:b/>
                <w:noProof/>
                <w:sz w:val="20"/>
              </w:rPr>
              <w:t>0,072</w:t>
            </w:r>
          </w:p>
        </w:tc>
        <w:tc>
          <w:tcPr>
            <w:tcW w:w="1080" w:type="dxa"/>
            <w:vAlign w:val="center"/>
          </w:tcPr>
          <w:p>
            <w:pPr>
              <w:pStyle w:val="Default"/>
              <w:jc w:val="right"/>
              <w:rPr>
                <w:b/>
                <w:bCs/>
                <w:noProof/>
                <w:sz w:val="20"/>
                <w:szCs w:val="20"/>
              </w:rPr>
            </w:pPr>
            <w:r>
              <w:rPr>
                <w:b/>
                <w:noProof/>
                <w:sz w:val="20"/>
              </w:rPr>
              <w:t>0,072</w:t>
            </w:r>
          </w:p>
        </w:tc>
        <w:tc>
          <w:tcPr>
            <w:tcW w:w="1080" w:type="dxa"/>
            <w:vAlign w:val="center"/>
          </w:tcPr>
          <w:p>
            <w:pPr>
              <w:pStyle w:val="Default"/>
              <w:jc w:val="right"/>
              <w:rPr>
                <w:b/>
                <w:noProof/>
                <w:sz w:val="20"/>
                <w:szCs w:val="20"/>
              </w:rPr>
            </w:pPr>
            <w:r>
              <w:rPr>
                <w:b/>
                <w:noProof/>
                <w:sz w:val="20"/>
              </w:rPr>
              <w:t>0,072</w:t>
            </w:r>
          </w:p>
        </w:tc>
        <w:tc>
          <w:tcPr>
            <w:tcW w:w="1080" w:type="dxa"/>
            <w:vAlign w:val="center"/>
          </w:tcPr>
          <w:p>
            <w:pPr>
              <w:pStyle w:val="Default"/>
              <w:jc w:val="right"/>
              <w:rPr>
                <w:b/>
                <w:noProof/>
                <w:sz w:val="20"/>
                <w:szCs w:val="20"/>
              </w:rPr>
            </w:pPr>
            <w:r>
              <w:rPr>
                <w:b/>
                <w:noProof/>
                <w:sz w:val="20"/>
              </w:rPr>
              <w:t>0,012</w:t>
            </w:r>
          </w:p>
        </w:tc>
        <w:tc>
          <w:tcPr>
            <w:tcW w:w="1080" w:type="dxa"/>
            <w:vAlign w:val="center"/>
          </w:tcPr>
          <w:p>
            <w:pPr>
              <w:pStyle w:val="Default"/>
              <w:jc w:val="right"/>
              <w:rPr>
                <w:b/>
                <w:noProof/>
                <w:sz w:val="20"/>
                <w:szCs w:val="20"/>
              </w:rPr>
            </w:pPr>
            <w:r>
              <w:rPr>
                <w:b/>
                <w:noProof/>
                <w:sz w:val="20"/>
              </w:rPr>
              <w:t>0,360</w:t>
            </w:r>
          </w:p>
        </w:tc>
      </w:tr>
    </w:tbl>
    <w:p>
      <w:pPr>
        <w:spacing w:line="200" w:lineRule="exact"/>
        <w:rPr>
          <w:noProof/>
          <w:sz w:val="16"/>
          <w:szCs w:val="16"/>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YHTEENSÄ</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0,060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0,012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highlight w:val="yellow"/>
              </w:rPr>
            </w:pPr>
            <w:r>
              <w:rPr>
                <w:b/>
                <w:noProof/>
                <w:sz w:val="20"/>
              </w:rPr>
              <w:t>0,360</w:t>
            </w:r>
          </w:p>
        </w:tc>
      </w:tr>
    </w:tbl>
    <w:p>
      <w:pPr>
        <w:rPr>
          <w:noProof/>
          <w:sz w:val="18"/>
        </w:rPr>
      </w:pPr>
      <w:r>
        <w:rPr>
          <w:noProof/>
          <w:sz w:val="18"/>
        </w:rPr>
        <w:t>Henkilöresursseja ja muita hallintomenoja koskeva määrärahatarve katetaan toimen hallinnointiin jo osoitetuilla pääosaston määrärahoilla ja/tai pääosastossa toteutettujen uudelleenjärjestelyjen tuloksena saaduilla määrärahoilla sekä tarvittaessa sellaisilla lisäresursseilla, jotka toimea hallinnoiva pääosasto voi saada käyttöönsä vuotuisessa määrärahojen jakomenettelyssä talousarvion puitteissa.</w:t>
      </w:r>
    </w:p>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p>
    <w:p>
      <w:pPr>
        <w:pStyle w:val="ManualHeading4"/>
        <w:rPr>
          <w:bCs/>
          <w:noProof/>
          <w:szCs w:val="24"/>
        </w:rPr>
      </w:pPr>
      <w:r>
        <w:rPr>
          <w:noProof/>
        </w:rPr>
        <w:t>3.2.3.2.</w:t>
      </w:r>
      <w:r>
        <w:rPr>
          <w:noProof/>
        </w:rPr>
        <w:tab/>
        <w:t>Henkilöresurssien arvioitu tarve</w:t>
      </w:r>
    </w:p>
    <w:p>
      <w:pPr>
        <w:pStyle w:val="ListDash1"/>
        <w:rPr>
          <w:noProof/>
        </w:rPr>
      </w:pPr>
      <w:r>
        <w:rPr>
          <w:noProof/>
        </w:rPr>
        <w:sym w:font="Wingdings" w:char="F0A8"/>
      </w:r>
      <w:r>
        <w:rPr>
          <w:noProof/>
        </w:rPr>
        <w:tab/>
        <w:t xml:space="preserve">Ehdotus/aloite ei edellytä henkilöresursseja. </w:t>
      </w:r>
    </w:p>
    <w:p>
      <w:pPr>
        <w:pStyle w:val="ListDash1"/>
        <w:rPr>
          <w:noProof/>
        </w:rPr>
      </w:pPr>
      <w:r>
        <w:rPr>
          <w:noProof/>
        </w:rPr>
        <w:sym w:font="Wingdings" w:char="F0FE"/>
      </w:r>
      <w:r>
        <w:rPr>
          <w:noProof/>
        </w:rPr>
        <w:tab/>
        <w:t>Ehdotus/aloite edellyttää henkilöresursseja seuraavasti:</w:t>
      </w:r>
    </w:p>
    <w:p>
      <w:pPr>
        <w:spacing w:after="60"/>
        <w:jc w:val="right"/>
        <w:rPr>
          <w:i/>
          <w:noProof/>
          <w:sz w:val="20"/>
        </w:rPr>
      </w:pPr>
      <w:r>
        <w:rPr>
          <w:i/>
          <w:noProof/>
          <w:sz w:val="20"/>
        </w:rPr>
        <w:t>Arvio kokoaikaiseksi henkilöstöksi muutettuna</w:t>
      </w:r>
    </w:p>
    <w:tbl>
      <w:tblPr>
        <w:tblW w:w="467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72"/>
        <w:gridCol w:w="2002"/>
        <w:gridCol w:w="601"/>
        <w:gridCol w:w="839"/>
        <w:gridCol w:w="841"/>
        <w:gridCol w:w="721"/>
        <w:gridCol w:w="636"/>
        <w:gridCol w:w="321"/>
        <w:gridCol w:w="956"/>
      </w:tblGrid>
      <w:tr>
        <w:trPr>
          <w:trHeight w:val="289"/>
          <w:jc w:val="center"/>
        </w:trPr>
        <w:tc>
          <w:tcPr>
            <w:tcW w:w="2171" w:type="pct"/>
            <w:gridSpan w:val="2"/>
            <w:shd w:val="clear" w:color="auto" w:fill="auto"/>
          </w:tcPr>
          <w:p>
            <w:pPr>
              <w:pStyle w:val="Text1"/>
              <w:spacing w:before="40" w:after="40"/>
              <w:ind w:left="0"/>
              <w:jc w:val="center"/>
              <w:rPr>
                <w:i/>
                <w:noProof/>
                <w:sz w:val="16"/>
                <w:szCs w:val="16"/>
              </w:rPr>
            </w:pPr>
          </w:p>
        </w:tc>
        <w:tc>
          <w:tcPr>
            <w:tcW w:w="346" w:type="pct"/>
            <w:shd w:val="clear" w:color="auto" w:fill="auto"/>
            <w:vAlign w:val="center"/>
          </w:tcPr>
          <w:p>
            <w:pPr>
              <w:spacing w:before="20" w:after="20"/>
              <w:jc w:val="center"/>
              <w:rPr>
                <w:noProof/>
                <w:sz w:val="16"/>
                <w:szCs w:val="16"/>
              </w:rPr>
            </w:pPr>
            <w:r>
              <w:rPr>
                <w:noProof/>
                <w:sz w:val="16"/>
              </w:rPr>
              <w:t>Vuosi</w:t>
            </w:r>
            <w:r>
              <w:rPr>
                <w:noProof/>
                <w:sz w:val="22"/>
              </w:rPr>
              <w:br/>
            </w:r>
            <w:r>
              <w:rPr>
                <w:b/>
                <w:noProof/>
                <w:sz w:val="16"/>
              </w:rPr>
              <w:t>2019</w:t>
            </w:r>
          </w:p>
        </w:tc>
        <w:tc>
          <w:tcPr>
            <w:tcW w:w="483" w:type="pct"/>
            <w:shd w:val="clear" w:color="auto" w:fill="auto"/>
            <w:vAlign w:val="center"/>
          </w:tcPr>
          <w:p>
            <w:pPr>
              <w:spacing w:before="20" w:after="20"/>
              <w:jc w:val="center"/>
              <w:rPr>
                <w:noProof/>
                <w:sz w:val="16"/>
                <w:szCs w:val="16"/>
              </w:rPr>
            </w:pPr>
            <w:r>
              <w:rPr>
                <w:noProof/>
                <w:sz w:val="16"/>
              </w:rPr>
              <w:t>Vuosi</w:t>
            </w:r>
            <w:r>
              <w:rPr>
                <w:noProof/>
                <w:sz w:val="22"/>
              </w:rPr>
              <w:br/>
            </w:r>
            <w:r>
              <w:rPr>
                <w:b/>
                <w:noProof/>
                <w:sz w:val="16"/>
              </w:rPr>
              <w:t>2020</w:t>
            </w:r>
          </w:p>
        </w:tc>
        <w:tc>
          <w:tcPr>
            <w:tcW w:w="484" w:type="pct"/>
            <w:shd w:val="clear" w:color="auto" w:fill="auto"/>
            <w:vAlign w:val="center"/>
          </w:tcPr>
          <w:p>
            <w:pPr>
              <w:spacing w:before="20" w:after="20"/>
              <w:jc w:val="center"/>
              <w:rPr>
                <w:noProof/>
                <w:sz w:val="16"/>
                <w:szCs w:val="16"/>
              </w:rPr>
            </w:pPr>
            <w:r>
              <w:rPr>
                <w:noProof/>
                <w:sz w:val="16"/>
              </w:rPr>
              <w:t>Vuosi</w:t>
            </w:r>
          </w:p>
          <w:p>
            <w:pPr>
              <w:spacing w:before="20" w:after="20"/>
              <w:jc w:val="center"/>
              <w:rPr>
                <w:noProof/>
                <w:sz w:val="16"/>
                <w:szCs w:val="16"/>
              </w:rPr>
            </w:pPr>
            <w:r>
              <w:rPr>
                <w:b/>
                <w:noProof/>
                <w:sz w:val="16"/>
              </w:rPr>
              <w:t>2021</w:t>
            </w:r>
          </w:p>
        </w:tc>
        <w:tc>
          <w:tcPr>
            <w:tcW w:w="415" w:type="pct"/>
            <w:shd w:val="clear" w:color="auto" w:fill="auto"/>
            <w:vAlign w:val="center"/>
          </w:tcPr>
          <w:p>
            <w:pPr>
              <w:spacing w:before="20" w:after="20"/>
              <w:jc w:val="center"/>
              <w:rPr>
                <w:noProof/>
                <w:sz w:val="16"/>
                <w:szCs w:val="16"/>
              </w:rPr>
            </w:pPr>
            <w:r>
              <w:rPr>
                <w:noProof/>
                <w:sz w:val="16"/>
              </w:rPr>
              <w:t>Vuosi</w:t>
            </w:r>
          </w:p>
          <w:p>
            <w:pPr>
              <w:spacing w:before="20" w:after="20"/>
              <w:jc w:val="center"/>
              <w:rPr>
                <w:noProof/>
                <w:sz w:val="16"/>
                <w:szCs w:val="16"/>
              </w:rPr>
            </w:pPr>
            <w:r>
              <w:rPr>
                <w:b/>
                <w:noProof/>
                <w:sz w:val="16"/>
              </w:rPr>
              <w:t>2022</w:t>
            </w:r>
          </w:p>
        </w:tc>
        <w:tc>
          <w:tcPr>
            <w:tcW w:w="551" w:type="pct"/>
            <w:gridSpan w:val="2"/>
            <w:vAlign w:val="center"/>
          </w:tcPr>
          <w:p>
            <w:pPr>
              <w:spacing w:before="20" w:after="20"/>
              <w:jc w:val="center"/>
              <w:rPr>
                <w:noProof/>
                <w:sz w:val="16"/>
                <w:szCs w:val="16"/>
              </w:rPr>
            </w:pPr>
            <w:r>
              <w:rPr>
                <w:noProof/>
                <w:sz w:val="16"/>
              </w:rPr>
              <w:t>Vuosi</w:t>
            </w:r>
          </w:p>
          <w:p>
            <w:pPr>
              <w:jc w:val="center"/>
              <w:rPr>
                <w:b/>
                <w:noProof/>
                <w:sz w:val="16"/>
              </w:rPr>
            </w:pPr>
            <w:r>
              <w:rPr>
                <w:b/>
                <w:noProof/>
                <w:sz w:val="16"/>
              </w:rPr>
              <w:t>2023</w:t>
            </w:r>
          </w:p>
        </w:tc>
        <w:tc>
          <w:tcPr>
            <w:tcW w:w="551" w:type="pct"/>
            <w:shd w:val="clear" w:color="auto" w:fill="auto"/>
            <w:vAlign w:val="center"/>
          </w:tcPr>
          <w:p>
            <w:pPr>
              <w:spacing w:before="20" w:after="20"/>
              <w:jc w:val="center"/>
              <w:rPr>
                <w:noProof/>
                <w:sz w:val="16"/>
                <w:szCs w:val="16"/>
              </w:rPr>
            </w:pPr>
            <w:r>
              <w:rPr>
                <w:noProof/>
                <w:sz w:val="16"/>
              </w:rPr>
              <w:t>Vuosi</w:t>
            </w:r>
          </w:p>
          <w:p>
            <w:pPr>
              <w:jc w:val="center"/>
              <w:rPr>
                <w:b/>
                <w:noProof/>
                <w:sz w:val="16"/>
                <w:szCs w:val="16"/>
              </w:rPr>
            </w:pPr>
            <w:r>
              <w:rPr>
                <w:b/>
                <w:noProof/>
                <w:sz w:val="16"/>
              </w:rPr>
              <w:t>2024</w:t>
            </w:r>
          </w:p>
        </w:tc>
      </w:tr>
      <w:tr>
        <w:trPr>
          <w:trHeight w:val="289"/>
          <w:jc w:val="center"/>
        </w:trPr>
        <w:tc>
          <w:tcPr>
            <w:tcW w:w="3483" w:type="pct"/>
            <w:gridSpan w:val="5"/>
            <w:shd w:val="clear" w:color="auto" w:fill="auto"/>
          </w:tcPr>
          <w:p>
            <w:pPr>
              <w:spacing w:before="20" w:after="20"/>
              <w:rPr>
                <w:noProof/>
                <w:sz w:val="16"/>
                <w:szCs w:val="16"/>
              </w:rPr>
            </w:pPr>
            <w:r>
              <w:rPr>
                <w:b/>
                <w:noProof/>
                <w:sz w:val="16"/>
              </w:rPr>
              <w:sym w:font="Wingdings" w:char="F09F"/>
            </w:r>
            <w:r>
              <w:rPr>
                <w:b/>
                <w:noProof/>
                <w:sz w:val="16"/>
              </w:rPr>
              <w:t xml:space="preserve"> Henkilöstötaulukkoon sisältyvät virat/toimet (virkamiehet ja väliaikaiset toimihenkilöt)</w:t>
            </w:r>
          </w:p>
        </w:tc>
        <w:tc>
          <w:tcPr>
            <w:tcW w:w="415" w:type="pct"/>
            <w:shd w:val="clear" w:color="auto" w:fill="auto"/>
            <w:vAlign w:val="center"/>
          </w:tcPr>
          <w:p>
            <w:pPr>
              <w:spacing w:before="20" w:after="20"/>
              <w:jc w:val="center"/>
              <w:rPr>
                <w:noProof/>
                <w:sz w:val="16"/>
                <w:szCs w:val="16"/>
              </w:rPr>
            </w:pPr>
          </w:p>
        </w:tc>
        <w:tc>
          <w:tcPr>
            <w:tcW w:w="551" w:type="pct"/>
            <w:gridSpan w:val="2"/>
          </w:tcPr>
          <w:p>
            <w:pPr>
              <w:jc w:val="center"/>
              <w:rPr>
                <w:noProof/>
                <w:sz w:val="16"/>
                <w:szCs w:val="16"/>
              </w:rPr>
            </w:pPr>
          </w:p>
        </w:tc>
        <w:tc>
          <w:tcPr>
            <w:tcW w:w="551" w:type="pct"/>
            <w:shd w:val="clear" w:color="auto" w:fill="auto"/>
            <w:vAlign w:val="center"/>
          </w:tcPr>
          <w:p>
            <w:pPr>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(päätoimipaikka ja komission edustustot EU:ssa)</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(edustustot EU:n ulkopuolella)</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08 01 05 01 (epäsuora tutkimustoiminta)</w:t>
            </w:r>
          </w:p>
        </w:tc>
        <w:tc>
          <w:tcPr>
            <w:tcW w:w="346" w:type="pct"/>
            <w:shd w:val="clear" w:color="auto" w:fill="auto"/>
            <w:vAlign w:val="center"/>
          </w:tcPr>
          <w:p>
            <w:pPr>
              <w:spacing w:beforeLines="20" w:before="48" w:afterLines="20" w:after="48"/>
              <w:jc w:val="center"/>
              <w:rPr>
                <w:noProof/>
                <w:sz w:val="16"/>
                <w:szCs w:val="16"/>
              </w:rPr>
            </w:pPr>
            <w:r>
              <w:rPr>
                <w:noProof/>
                <w:sz w:val="16"/>
              </w:rPr>
              <w:t>0,4</w:t>
            </w:r>
          </w:p>
        </w:tc>
        <w:tc>
          <w:tcPr>
            <w:tcW w:w="483" w:type="pct"/>
            <w:shd w:val="clear" w:color="auto" w:fill="auto"/>
            <w:vAlign w:val="center"/>
          </w:tcPr>
          <w:p>
            <w:pPr>
              <w:spacing w:beforeLines="20" w:before="48" w:afterLines="20" w:after="48"/>
              <w:jc w:val="center"/>
              <w:rPr>
                <w:noProof/>
                <w:sz w:val="16"/>
                <w:szCs w:val="16"/>
              </w:rPr>
            </w:pPr>
            <w:r>
              <w:rPr>
                <w:noProof/>
                <w:sz w:val="16"/>
              </w:rPr>
              <w:t>0,5</w:t>
            </w:r>
          </w:p>
        </w:tc>
        <w:tc>
          <w:tcPr>
            <w:tcW w:w="484" w:type="pct"/>
            <w:shd w:val="clear" w:color="auto" w:fill="auto"/>
            <w:vAlign w:val="center"/>
          </w:tcPr>
          <w:p>
            <w:pPr>
              <w:spacing w:beforeLines="20" w:before="48" w:afterLines="20" w:after="48"/>
              <w:jc w:val="center"/>
              <w:rPr>
                <w:noProof/>
                <w:sz w:val="16"/>
                <w:szCs w:val="16"/>
              </w:rPr>
            </w:pPr>
            <w:r>
              <w:rPr>
                <w:noProof/>
                <w:sz w:val="16"/>
              </w:rPr>
              <w:t>0,5</w:t>
            </w:r>
          </w:p>
        </w:tc>
        <w:tc>
          <w:tcPr>
            <w:tcW w:w="415" w:type="pct"/>
            <w:shd w:val="clear" w:color="auto" w:fill="auto"/>
            <w:vAlign w:val="center"/>
          </w:tcPr>
          <w:p>
            <w:pPr>
              <w:spacing w:beforeLines="20" w:before="48" w:afterLines="20" w:after="48"/>
              <w:jc w:val="center"/>
              <w:rPr>
                <w:noProof/>
                <w:sz w:val="16"/>
                <w:szCs w:val="16"/>
              </w:rPr>
            </w:pPr>
            <w:r>
              <w:rPr>
                <w:noProof/>
                <w:sz w:val="16"/>
              </w:rPr>
              <w:t>0,5</w:t>
            </w:r>
          </w:p>
        </w:tc>
        <w:tc>
          <w:tcPr>
            <w:tcW w:w="551" w:type="pct"/>
            <w:gridSpan w:val="2"/>
          </w:tcPr>
          <w:p>
            <w:pPr>
              <w:spacing w:beforeLines="20" w:before="48" w:afterLines="20" w:after="48"/>
              <w:jc w:val="center"/>
              <w:rPr>
                <w:noProof/>
                <w:sz w:val="16"/>
                <w:szCs w:val="16"/>
              </w:rPr>
            </w:pPr>
            <w:r>
              <w:rPr>
                <w:noProof/>
                <w:sz w:val="16"/>
              </w:rPr>
              <w:t>0,5</w:t>
            </w:r>
          </w:p>
        </w:tc>
        <w:tc>
          <w:tcPr>
            <w:tcW w:w="551" w:type="pct"/>
            <w:shd w:val="clear" w:color="auto" w:fill="auto"/>
            <w:vAlign w:val="center"/>
          </w:tcPr>
          <w:p>
            <w:pPr>
              <w:spacing w:beforeLines="20" w:before="48" w:afterLines="20" w:after="48"/>
              <w:jc w:val="center"/>
              <w:rPr>
                <w:noProof/>
                <w:sz w:val="16"/>
                <w:szCs w:val="16"/>
              </w:rPr>
            </w:pPr>
            <w:r>
              <w:rPr>
                <w:noProof/>
                <w:sz w:val="16"/>
              </w:rPr>
              <w:t>0,1</w:t>
            </w: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(suora tutkimustoiminta)</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gridAfter w:val="2"/>
          <w:wAfter w:w="736" w:type="pct"/>
          <w:trHeight w:val="248"/>
          <w:jc w:val="center"/>
        </w:trPr>
        <w:tc>
          <w:tcPr>
            <w:tcW w:w="3483"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Ulkopuolinen henkilöstö (kokoaikaiseksi muutettuna)</w:t>
            </w:r>
            <w:r>
              <w:rPr>
                <w:rStyle w:val="FootnoteReference"/>
                <w:b/>
                <w:noProof/>
                <w:sz w:val="16"/>
              </w:rPr>
              <w:footnoteReference w:id="25"/>
            </w:r>
          </w:p>
          <w:p>
            <w:pPr>
              <w:pStyle w:val="Text1"/>
              <w:spacing w:before="0" w:after="0"/>
              <w:ind w:left="0"/>
              <w:jc w:val="left"/>
              <w:rPr>
                <w:noProof/>
                <w:sz w:val="16"/>
                <w:szCs w:val="16"/>
              </w:rPr>
            </w:pPr>
          </w:p>
        </w:tc>
        <w:tc>
          <w:tcPr>
            <w:tcW w:w="781" w:type="pct"/>
            <w:gridSpan w:val="2"/>
          </w:tcPr>
          <w:p>
            <w:pPr>
              <w:pStyle w:val="Text1"/>
              <w:spacing w:before="60" w:after="60"/>
              <w:ind w:left="0"/>
              <w:jc w:val="left"/>
              <w:rPr>
                <w:b/>
                <w:noProof/>
                <w:sz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(kokonaismäärärahoista katettavat sopimussuhteiset toimihenkilöt, kansalliset asiantuntijat ja vuokrahenkilöstö)</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(sopimussuhteiset ja paikalliset toimihenkilöt, kansalliset asiantuntijat, vuokrahenkilöstö ja nuoremmat asiantuntijat EU:n ulkopuolisissa edustustoissa)</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1019"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6"/>
            </w:r>
          </w:p>
          <w:p>
            <w:pPr>
              <w:pStyle w:val="Text1"/>
              <w:spacing w:beforeLines="20" w:before="48" w:afterLines="20" w:after="48"/>
              <w:ind w:left="136"/>
              <w:jc w:val="left"/>
              <w:rPr>
                <w:b/>
                <w:noProof/>
                <w:sz w:val="16"/>
                <w:szCs w:val="16"/>
              </w:rPr>
            </w:pPr>
          </w:p>
        </w:tc>
        <w:tc>
          <w:tcPr>
            <w:tcW w:w="1151" w:type="pct"/>
            <w:shd w:val="clear" w:color="auto" w:fill="auto"/>
            <w:vAlign w:val="center"/>
          </w:tcPr>
          <w:p>
            <w:pPr>
              <w:pStyle w:val="Text1"/>
              <w:spacing w:beforeLines="20" w:before="48" w:afterLines="20" w:after="48"/>
              <w:ind w:left="136"/>
              <w:jc w:val="left"/>
              <w:rPr>
                <w:b/>
                <w:noProof/>
                <w:sz w:val="16"/>
                <w:szCs w:val="16"/>
              </w:rPr>
            </w:pPr>
            <w:r>
              <w:rPr>
                <w:noProof/>
                <w:sz w:val="16"/>
              </w:rPr>
              <w:t>- päätoimipaikassa</w:t>
            </w:r>
          </w:p>
          <w:p>
            <w:pPr>
              <w:pStyle w:val="Text1"/>
              <w:spacing w:beforeLines="20" w:before="48" w:afterLines="20" w:after="48"/>
              <w:ind w:left="136"/>
              <w:jc w:val="left"/>
              <w:rPr>
                <w:b/>
                <w:noProof/>
                <w:sz w:val="16"/>
                <w:szCs w:val="16"/>
              </w:rPr>
            </w:pPr>
          </w:p>
        </w:tc>
        <w:tc>
          <w:tcPr>
            <w:tcW w:w="346" w:type="pct"/>
            <w:shd w:val="clear" w:color="auto" w:fill="auto"/>
            <w:vAlign w:val="center"/>
          </w:tcPr>
          <w:p>
            <w:pPr>
              <w:pStyle w:val="Text1"/>
              <w:spacing w:beforeLines="20" w:before="48" w:afterLines="20" w:after="48"/>
              <w:ind w:left="0"/>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1019" w:type="pct"/>
            <w:vMerge/>
            <w:shd w:val="clear" w:color="auto" w:fill="auto"/>
            <w:vAlign w:val="center"/>
          </w:tcPr>
          <w:p>
            <w:pPr>
              <w:pStyle w:val="Text1"/>
              <w:spacing w:beforeLines="20" w:before="48" w:afterLines="20" w:after="48"/>
              <w:ind w:left="136"/>
              <w:jc w:val="left"/>
              <w:rPr>
                <w:b/>
                <w:noProof/>
                <w:sz w:val="16"/>
                <w:szCs w:val="16"/>
              </w:rPr>
            </w:pPr>
          </w:p>
        </w:tc>
        <w:tc>
          <w:tcPr>
            <w:tcW w:w="1151"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EU:n ulkop. edustustoissa </w:t>
            </w:r>
          </w:p>
        </w:tc>
        <w:tc>
          <w:tcPr>
            <w:tcW w:w="346" w:type="pct"/>
            <w:shd w:val="clear" w:color="auto" w:fill="auto"/>
            <w:vAlign w:val="center"/>
          </w:tcPr>
          <w:p>
            <w:pPr>
              <w:pStyle w:val="Text1"/>
              <w:spacing w:beforeLines="20" w:before="48" w:afterLines="20" w:after="48"/>
              <w:ind w:left="0"/>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(epäsuora tutkimustoiminta: sopimussuhteiset toimihenkilöt, kansalliset asiantuntijat ja vuokrahenkilöstö)</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(suora tutkimustoiminta: sopimussuhteiset toimihenkilöt, kansalliset asiantuntijat ja vuokrahenkilöstö)</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Muu budjettikohta (mikä?)</w:t>
            </w:r>
          </w:p>
        </w:tc>
        <w:tc>
          <w:tcPr>
            <w:tcW w:w="34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8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8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51" w:type="pct"/>
            <w:gridSpan w:val="2"/>
            <w:tcBorders>
              <w:bottom w:val="double" w:sz="4" w:space="0" w:color="auto"/>
            </w:tcBorders>
          </w:tcPr>
          <w:p>
            <w:pPr>
              <w:spacing w:beforeLines="20" w:before="48" w:afterLines="20" w:after="48"/>
              <w:jc w:val="center"/>
              <w:rPr>
                <w:noProof/>
                <w:sz w:val="16"/>
                <w:szCs w:val="16"/>
              </w:rPr>
            </w:pPr>
          </w:p>
        </w:tc>
        <w:tc>
          <w:tcPr>
            <w:tcW w:w="551"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YHTEENSÄ</w:t>
            </w:r>
          </w:p>
        </w:tc>
        <w:tc>
          <w:tcPr>
            <w:tcW w:w="346"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0,4</w:t>
            </w:r>
          </w:p>
        </w:tc>
        <w:tc>
          <w:tcPr>
            <w:tcW w:w="483"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0,5</w:t>
            </w:r>
          </w:p>
        </w:tc>
        <w:tc>
          <w:tcPr>
            <w:tcW w:w="484"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0,5</w:t>
            </w:r>
          </w:p>
        </w:tc>
        <w:tc>
          <w:tcPr>
            <w:tcW w:w="415"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0,5</w:t>
            </w:r>
          </w:p>
        </w:tc>
        <w:tc>
          <w:tcPr>
            <w:tcW w:w="551" w:type="pct"/>
            <w:gridSpan w:val="2"/>
            <w:tcBorders>
              <w:top w:val="double" w:sz="4" w:space="0" w:color="auto"/>
            </w:tcBorders>
          </w:tcPr>
          <w:p>
            <w:pPr>
              <w:spacing w:beforeLines="20" w:before="48" w:afterLines="20" w:after="48"/>
              <w:jc w:val="center"/>
              <w:rPr>
                <w:b/>
                <w:noProof/>
                <w:sz w:val="16"/>
                <w:szCs w:val="16"/>
              </w:rPr>
            </w:pPr>
            <w:r>
              <w:rPr>
                <w:noProof/>
                <w:sz w:val="16"/>
              </w:rPr>
              <w:t>0,5</w:t>
            </w:r>
          </w:p>
        </w:tc>
        <w:tc>
          <w:tcPr>
            <w:tcW w:w="551"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0,1</w:t>
            </w:r>
          </w:p>
        </w:tc>
      </w:tr>
    </w:tbl>
    <w:p>
      <w:pPr>
        <w:pStyle w:val="Text1"/>
        <w:spacing w:before="60" w:after="60"/>
        <w:ind w:left="851"/>
        <w:rPr>
          <w:noProof/>
          <w:sz w:val="18"/>
          <w:szCs w:val="18"/>
        </w:rPr>
      </w:pPr>
      <w:r>
        <w:rPr>
          <w:b/>
          <w:noProof/>
          <w:sz w:val="18"/>
        </w:rPr>
        <w:t>XX</w:t>
      </w:r>
      <w:r>
        <w:rPr>
          <w:noProof/>
          <w:sz w:val="18"/>
        </w:rPr>
        <w:t xml:space="preserve"> viittaa kyseessä olevaan toimintalohkoon eli talousarvion osastoon.</w:t>
      </w:r>
    </w:p>
    <w:p>
      <w:pPr>
        <w:pStyle w:val="Text1"/>
        <w:rPr>
          <w:noProof/>
          <w:sz w:val="18"/>
          <w:szCs w:val="18"/>
        </w:rPr>
      </w:pPr>
      <w:r>
        <w:rPr>
          <w:noProof/>
          <w:sz w:val="18"/>
        </w:rPr>
        <w:t>Henkilöresurssien tarve katetaan toimen hallinnointiin jo osoitetulla pääosaston henkilöstöllä ja/tai pääosastossa toteutettujen henkilöstön uudelleenjärjestelyjen tuloksena saadulla henkilöstöllä sekä tarvittaessa sellaisilla lisäresursseilla, jotka toimea hallinnoiva pääosasto voi saada käyttöönsä vuotuisessa määrärahojen jakomenettelyssä talousarvion puitteissa.</w:t>
      </w:r>
    </w:p>
    <w:p>
      <w:pPr>
        <w:rPr>
          <w:noProof/>
          <w:sz w:val="20"/>
        </w:rPr>
      </w:pPr>
      <w:r>
        <w:rPr>
          <w:noProof/>
          <w:sz w:val="20"/>
        </w:rPr>
        <w:t>Kuvaus henkilöstön tehtävistä:</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Virkamiehet ja väliaikaiset toimihenkilöt</w:t>
            </w:r>
          </w:p>
        </w:tc>
        <w:tc>
          <w:tcPr>
            <w:tcW w:w="7200" w:type="dxa"/>
          </w:tcPr>
          <w:p>
            <w:pPr>
              <w:rPr>
                <w:noProof/>
                <w:sz w:val="20"/>
              </w:rPr>
            </w:pPr>
            <w:r>
              <w:rPr>
                <w:noProof/>
                <w:sz w:val="20"/>
              </w:rPr>
              <w:t>Sopimuksen 6 artiklan b alakohdan nojalla perustetun yhteisen neuvoa-antavan ryhmän kokousten valmistelu ja hallinnointi sekä sopimuksen toiminnan ja täytäntöönpanon seuranta.</w:t>
            </w:r>
          </w:p>
          <w:p>
            <w:pPr>
              <w:rPr>
                <w:noProof/>
                <w:sz w:val="20"/>
              </w:rPr>
            </w:pPr>
            <w:r>
              <w:rPr>
                <w:noProof/>
                <w:sz w:val="20"/>
              </w:rPr>
              <w:t>Laskelmat tehdään suhteellisesti ottaen huomioon sopimuksen kesto.</w:t>
            </w:r>
          </w:p>
        </w:tc>
      </w:tr>
      <w:tr>
        <w:tc>
          <w:tcPr>
            <w:tcW w:w="3240" w:type="dxa"/>
          </w:tcPr>
          <w:p>
            <w:pPr>
              <w:spacing w:before="60" w:after="60"/>
              <w:rPr>
                <w:noProof/>
                <w:sz w:val="20"/>
              </w:rPr>
            </w:pPr>
            <w:r>
              <w:rPr>
                <w:noProof/>
                <w:sz w:val="20"/>
              </w:rPr>
              <w:t>Ulkopuolinen henkilöstö</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Yhteensopivuus nykyisen monivuotisen rahoituskehyksen kanssa </w:t>
      </w:r>
    </w:p>
    <w:p>
      <w:pPr>
        <w:pStyle w:val="ListDash1"/>
        <w:rPr>
          <w:noProof/>
        </w:rPr>
      </w:pPr>
      <w:r>
        <w:rPr>
          <w:noProof/>
        </w:rPr>
        <w:sym w:font="Wingdings" w:char="F0FE"/>
      </w:r>
      <w:r>
        <w:rPr>
          <w:noProof/>
        </w:rPr>
        <w:tab/>
        <w:t>Ehdotus/aloite on nykyisen monivuotisen rahoituskehyksen mukainen.</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Monivuotinen rahoituskehys 2021–2027 on vielä hyväksyttävä Euroopan parlamentissa ja neuvostossa.</w:t>
      </w:r>
    </w:p>
    <w:p>
      <w:pPr>
        <w:rPr>
          <w:noProof/>
        </w:rPr>
      </w:pPr>
    </w:p>
    <w:p>
      <w:pPr>
        <w:pStyle w:val="ManualHeading3"/>
        <w:rPr>
          <w:bCs/>
          <w:noProof/>
          <w:szCs w:val="24"/>
        </w:rPr>
      </w:pPr>
      <w:r>
        <w:rPr>
          <w:noProof/>
        </w:rPr>
        <w:t>3.2.5.</w:t>
      </w:r>
      <w:r>
        <w:rPr>
          <w:noProof/>
        </w:rPr>
        <w:tab/>
        <w:t xml:space="preserve">Ulkopuolisten tahojen rahoitusosuudet </w:t>
      </w:r>
    </w:p>
    <w:p>
      <w:pPr>
        <w:pStyle w:val="ListDash1"/>
        <w:rPr>
          <w:noProof/>
        </w:rPr>
      </w:pPr>
      <w:r>
        <w:rPr>
          <w:noProof/>
        </w:rPr>
        <w:sym w:font="Wingdings" w:char="F0FE"/>
      </w:r>
      <w:r>
        <w:rPr>
          <w:noProof/>
        </w:rPr>
        <w:t xml:space="preserve"> Ehdotuksen/aloitteen rahoittamiseen ei osallistu ulkopuolisia tahoja. </w:t>
      </w:r>
    </w:p>
    <w:p>
      <w:pPr>
        <w:rPr>
          <w:noProof/>
        </w:rPr>
      </w:pPr>
    </w:p>
    <w:p>
      <w:pPr>
        <w:jc w:val="right"/>
        <w:rPr>
          <w:noProof/>
          <w:sz w:val="20"/>
        </w:rPr>
      </w:pPr>
      <w:r>
        <w:rPr>
          <w:noProof/>
          <w:sz w:val="20"/>
        </w:rPr>
        <w:t>Määrärahat, milj. euroa (kolmen desimaalin tarkkuudella)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Vuosi</w:t>
            </w:r>
            <w:r>
              <w:rPr>
                <w:noProof/>
                <w:sz w:val="22"/>
              </w:rPr>
              <w:br/>
            </w:r>
            <w:r>
              <w:rPr>
                <w:b/>
                <w:noProof/>
                <w:sz w:val="20"/>
              </w:rPr>
              <w:t>N</w:t>
            </w:r>
          </w:p>
        </w:tc>
        <w:tc>
          <w:tcPr>
            <w:tcW w:w="964" w:type="dxa"/>
            <w:vAlign w:val="center"/>
          </w:tcPr>
          <w:p>
            <w:pPr>
              <w:jc w:val="center"/>
              <w:rPr>
                <w:noProof/>
                <w:sz w:val="20"/>
              </w:rPr>
            </w:pPr>
            <w:r>
              <w:rPr>
                <w:noProof/>
                <w:sz w:val="20"/>
              </w:rPr>
              <w:t>Vuosi</w:t>
            </w:r>
            <w:r>
              <w:rPr>
                <w:noProof/>
                <w:sz w:val="22"/>
              </w:rPr>
              <w:br/>
            </w:r>
            <w:r>
              <w:rPr>
                <w:b/>
                <w:noProof/>
                <w:sz w:val="20"/>
              </w:rPr>
              <w:t>N+1</w:t>
            </w:r>
          </w:p>
        </w:tc>
        <w:tc>
          <w:tcPr>
            <w:tcW w:w="964" w:type="dxa"/>
            <w:vAlign w:val="center"/>
          </w:tcPr>
          <w:p>
            <w:pPr>
              <w:jc w:val="center"/>
              <w:rPr>
                <w:noProof/>
                <w:sz w:val="20"/>
              </w:rPr>
            </w:pPr>
            <w:r>
              <w:rPr>
                <w:noProof/>
                <w:sz w:val="20"/>
              </w:rPr>
              <w:t>Vuosi</w:t>
            </w:r>
            <w:r>
              <w:rPr>
                <w:noProof/>
                <w:sz w:val="22"/>
              </w:rPr>
              <w:br/>
            </w:r>
            <w:r>
              <w:rPr>
                <w:b/>
                <w:noProof/>
                <w:sz w:val="20"/>
              </w:rPr>
              <w:t>N+2</w:t>
            </w:r>
          </w:p>
        </w:tc>
        <w:tc>
          <w:tcPr>
            <w:tcW w:w="964" w:type="dxa"/>
            <w:vAlign w:val="center"/>
          </w:tcPr>
          <w:p>
            <w:pPr>
              <w:jc w:val="center"/>
              <w:rPr>
                <w:noProof/>
                <w:sz w:val="20"/>
              </w:rPr>
            </w:pPr>
            <w:r>
              <w:rPr>
                <w:noProof/>
                <w:sz w:val="20"/>
              </w:rPr>
              <w:t>Vuosi</w:t>
            </w:r>
            <w:r>
              <w:rPr>
                <w:noProof/>
                <w:sz w:val="22"/>
              </w:rPr>
              <w:br/>
            </w:r>
            <w:r>
              <w:rPr>
                <w:b/>
                <w:noProof/>
                <w:sz w:val="20"/>
              </w:rPr>
              <w:t>N+3</w:t>
            </w:r>
          </w:p>
        </w:tc>
        <w:tc>
          <w:tcPr>
            <w:tcW w:w="2892" w:type="dxa"/>
            <w:gridSpan w:val="3"/>
            <w:vAlign w:val="center"/>
          </w:tcPr>
          <w:p>
            <w:pPr>
              <w:jc w:val="center"/>
              <w:rPr>
                <w:b/>
                <w:noProof/>
                <w:sz w:val="20"/>
              </w:rPr>
            </w:pPr>
            <w:r>
              <w:rPr>
                <w:noProof/>
                <w:sz w:val="20"/>
              </w:rPr>
              <w:t>ja näitä seuraavat vuodet (ilmoitetaan kaikki vuodet, joille ehdotuksen/aloitteen vaikutukset ulottuvat, ks. kohta 1.6)</w:t>
            </w:r>
          </w:p>
        </w:tc>
        <w:tc>
          <w:tcPr>
            <w:tcW w:w="1158" w:type="dxa"/>
            <w:vAlign w:val="center"/>
          </w:tcPr>
          <w:p>
            <w:pPr>
              <w:spacing w:before="60" w:after="60"/>
              <w:jc w:val="center"/>
              <w:rPr>
                <w:noProof/>
                <w:sz w:val="20"/>
              </w:rPr>
            </w:pPr>
            <w:r>
              <w:rPr>
                <w:noProof/>
                <w:sz w:val="20"/>
              </w:rPr>
              <w:t>Yhteensä</w:t>
            </w:r>
          </w:p>
        </w:tc>
      </w:tr>
      <w:tr>
        <w:trPr>
          <w:cantSplit/>
        </w:trPr>
        <w:tc>
          <w:tcPr>
            <w:tcW w:w="2340" w:type="dxa"/>
          </w:tcPr>
          <w:p>
            <w:pPr>
              <w:rPr>
                <w:noProof/>
                <w:sz w:val="22"/>
              </w:rPr>
            </w:pPr>
            <w:r>
              <w:rPr>
                <w:noProof/>
                <w:sz w:val="20"/>
              </w:rPr>
              <w:t>Rahoitukseen osallistuva taho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Yhteisrahoituksella katettavat määrärahat YHTEENSÄ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t>3.3.</w:t>
      </w:r>
      <w:r>
        <w:rPr>
          <w:noProof/>
        </w:rPr>
        <w:tab/>
        <w:t xml:space="preserve">Arvioidut vaikutukset tuloihin </w:t>
      </w:r>
    </w:p>
    <w:p>
      <w:pPr>
        <w:pStyle w:val="ListDash1"/>
        <w:rPr>
          <w:noProof/>
        </w:rPr>
      </w:pPr>
      <w:r>
        <w:rPr>
          <w:noProof/>
        </w:rPr>
        <w:sym w:font="Wingdings" w:char="F0FE"/>
      </w:r>
      <w:r>
        <w:rPr>
          <w:noProof/>
        </w:rPr>
        <w:tab/>
        <w:t>Ehdotuksella/aloitteella ei ole vaikutuksia tuloihin.</w:t>
      </w:r>
    </w:p>
    <w:p>
      <w:pPr>
        <w:rPr>
          <w:noProof/>
        </w:rPr>
      </w:pPr>
    </w:p>
    <w:p>
      <w:pPr>
        <w:jc w:val="center"/>
        <w:rPr>
          <w:i/>
          <w:noProof/>
          <w:sz w:val="20"/>
        </w:rPr>
      </w:pPr>
      <w:r>
        <w:rPr>
          <w:noProof/>
        </w:rPr>
        <w:t>milj. euroa (kolmen desimaalin tarkkuudella)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Tulopuolen budjettikohta:</w:t>
            </w:r>
          </w:p>
        </w:tc>
        <w:tc>
          <w:tcPr>
            <w:tcW w:w="1276" w:type="dxa"/>
            <w:vMerge w:val="restart"/>
            <w:vAlign w:val="center"/>
          </w:tcPr>
          <w:p>
            <w:pPr>
              <w:jc w:val="center"/>
              <w:rPr>
                <w:noProof/>
                <w:sz w:val="18"/>
              </w:rPr>
            </w:pPr>
            <w:r>
              <w:rPr>
                <w:noProof/>
                <w:sz w:val="18"/>
              </w:rPr>
              <w:t>Käytettävissä olevat määrärahat kuluvana varainhoito</w:t>
            </w:r>
            <w:r>
              <w:rPr>
                <w:noProof/>
                <w:sz w:val="18"/>
              </w:rPr>
              <w:softHyphen/>
              <w:t>vuonna</w:t>
            </w:r>
          </w:p>
        </w:tc>
        <w:tc>
          <w:tcPr>
            <w:tcW w:w="7200" w:type="dxa"/>
            <w:gridSpan w:val="7"/>
            <w:vAlign w:val="center"/>
          </w:tcPr>
          <w:p>
            <w:pPr>
              <w:jc w:val="center"/>
              <w:rPr>
                <w:noProof/>
                <w:sz w:val="18"/>
              </w:rPr>
            </w:pPr>
            <w:r>
              <w:rPr>
                <w:noProof/>
                <w:sz w:val="18"/>
              </w:rPr>
              <w:t>Ehdotuksen/aloitteen vaikutus</w:t>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Vuosi</w:t>
            </w:r>
            <w:r>
              <w:rPr>
                <w:noProof/>
                <w:sz w:val="22"/>
              </w:rPr>
              <w:br/>
            </w:r>
            <w:r>
              <w:rPr>
                <w:b/>
                <w:noProof/>
                <w:sz w:val="18"/>
              </w:rPr>
              <w:t>N</w:t>
            </w:r>
          </w:p>
        </w:tc>
        <w:tc>
          <w:tcPr>
            <w:tcW w:w="900" w:type="dxa"/>
            <w:vAlign w:val="center"/>
          </w:tcPr>
          <w:p>
            <w:pPr>
              <w:jc w:val="center"/>
              <w:rPr>
                <w:noProof/>
                <w:sz w:val="18"/>
              </w:rPr>
            </w:pPr>
            <w:r>
              <w:rPr>
                <w:noProof/>
                <w:sz w:val="18"/>
              </w:rPr>
              <w:t>Vuosi</w:t>
            </w:r>
            <w:r>
              <w:rPr>
                <w:noProof/>
                <w:sz w:val="22"/>
              </w:rPr>
              <w:br/>
            </w:r>
            <w:r>
              <w:rPr>
                <w:b/>
                <w:noProof/>
                <w:sz w:val="18"/>
              </w:rPr>
              <w:t>N+1</w:t>
            </w:r>
          </w:p>
        </w:tc>
        <w:tc>
          <w:tcPr>
            <w:tcW w:w="900" w:type="dxa"/>
            <w:vAlign w:val="center"/>
          </w:tcPr>
          <w:p>
            <w:pPr>
              <w:jc w:val="center"/>
              <w:rPr>
                <w:noProof/>
                <w:sz w:val="18"/>
              </w:rPr>
            </w:pPr>
            <w:r>
              <w:rPr>
                <w:noProof/>
                <w:sz w:val="18"/>
              </w:rPr>
              <w:t>Vuosi</w:t>
            </w:r>
            <w:r>
              <w:rPr>
                <w:noProof/>
                <w:sz w:val="22"/>
              </w:rPr>
              <w:br/>
            </w:r>
            <w:r>
              <w:rPr>
                <w:b/>
                <w:noProof/>
                <w:sz w:val="18"/>
              </w:rPr>
              <w:t>N+2</w:t>
            </w:r>
          </w:p>
        </w:tc>
        <w:tc>
          <w:tcPr>
            <w:tcW w:w="1080" w:type="dxa"/>
            <w:vAlign w:val="center"/>
          </w:tcPr>
          <w:p>
            <w:pPr>
              <w:jc w:val="center"/>
              <w:rPr>
                <w:noProof/>
                <w:sz w:val="18"/>
              </w:rPr>
            </w:pPr>
            <w:r>
              <w:rPr>
                <w:noProof/>
                <w:sz w:val="18"/>
              </w:rPr>
              <w:t>Vuosi</w:t>
            </w:r>
            <w:r>
              <w:rPr>
                <w:noProof/>
                <w:sz w:val="22"/>
              </w:rPr>
              <w:br/>
            </w:r>
            <w:r>
              <w:rPr>
                <w:b/>
                <w:noProof/>
                <w:sz w:val="18"/>
              </w:rPr>
              <w:t>N+3</w:t>
            </w:r>
          </w:p>
        </w:tc>
        <w:tc>
          <w:tcPr>
            <w:tcW w:w="3240" w:type="dxa"/>
            <w:gridSpan w:val="3"/>
            <w:vAlign w:val="center"/>
          </w:tcPr>
          <w:p>
            <w:pPr>
              <w:jc w:val="center"/>
              <w:rPr>
                <w:b/>
                <w:noProof/>
                <w:sz w:val="18"/>
              </w:rPr>
            </w:pPr>
            <w:r>
              <w:rPr>
                <w:noProof/>
                <w:sz w:val="18"/>
              </w:rPr>
              <w:t>ja näitä seuraavat vuodet (ilmoitetaan kaikki vuodet, joille ehdotuksen/aloitteen vaikutukset ulottuvat, ks. kohta 1.6)</w:t>
            </w:r>
          </w:p>
        </w:tc>
      </w:tr>
      <w:tr>
        <w:trPr>
          <w:trHeight w:val="388"/>
        </w:trPr>
        <w:tc>
          <w:tcPr>
            <w:tcW w:w="2144" w:type="dxa"/>
            <w:vAlign w:val="center"/>
          </w:tcPr>
          <w:p>
            <w:pPr>
              <w:spacing w:before="40" w:after="40"/>
              <w:rPr>
                <w:noProof/>
                <w:sz w:val="18"/>
              </w:rPr>
            </w:pPr>
            <w:r>
              <w:rPr>
                <w:noProof/>
                <w:sz w:val="18"/>
              </w:rPr>
              <w:t>Momentti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Vastaava(t) menopuolen budjettikohta (budjettikohdat) käyttötarkoitukseensa sidottujen sekalaisten tulojen tapauksessa:</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Selvitys tuloihin kohdistuvan vaikutuksen laskentamenetelmästä</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EYVL L 299, 28.11.2000, s. 15.</w:t>
      </w:r>
    </w:p>
  </w:footnote>
  <w:footnote w:id="2">
    <w:p>
      <w:pPr>
        <w:pStyle w:val="FootnoteText"/>
      </w:pPr>
      <w:r>
        <w:rPr>
          <w:rStyle w:val="FootnoteReference"/>
        </w:rPr>
        <w:footnoteRef/>
      </w:r>
      <w:r>
        <w:tab/>
        <w:t>Neuvoston päätös 2003/798/EY (EUVL L 229, 18.11.2003, s. 20).</w:t>
      </w:r>
    </w:p>
  </w:footnote>
  <w:footnote w:id="3">
    <w:p>
      <w:pPr>
        <w:pStyle w:val="FootnoteText"/>
      </w:pPr>
      <w:r>
        <w:rPr>
          <w:rStyle w:val="FootnoteReference"/>
        </w:rPr>
        <w:footnoteRef/>
      </w:r>
      <w:r>
        <w:tab/>
        <w:t>Neuvoston päätös 2009/313/EY (EUVL L 92, 4.4.2009, s. 3).</w:t>
      </w:r>
    </w:p>
  </w:footnote>
  <w:footnote w:id="4">
    <w:p>
      <w:pPr>
        <w:pStyle w:val="FootnoteText"/>
      </w:pPr>
      <w:r>
        <w:rPr>
          <w:rStyle w:val="FootnoteReference"/>
        </w:rPr>
        <w:footnoteRef/>
      </w:r>
      <w:r>
        <w:tab/>
        <w:t>Neuvoston päätös 2014/50/EU (EUVL L 32, 1.2.2014, s. 1).</w:t>
      </w:r>
    </w:p>
  </w:footnote>
  <w:footnote w:id="5">
    <w:p>
      <w:pPr>
        <w:pStyle w:val="FootnoteText"/>
      </w:pPr>
      <w:r>
        <w:rPr>
          <w:rStyle w:val="FootnoteReference"/>
        </w:rPr>
        <w:footnoteRef/>
      </w:r>
      <w:r>
        <w:tab/>
      </w:r>
      <w:r>
        <w:rPr>
          <w:i/>
        </w:rPr>
        <w:t>EU:n kansainvälisen tutkimus- ja innovaatioyhteistyön vahvistaminen ja keskittäminen: strateginen lähestymistapa</w:t>
      </w:r>
      <w:r>
        <w:t xml:space="preserve">, COM(2012) 497. </w:t>
      </w:r>
    </w:p>
  </w:footnote>
  <w:footnote w:id="6">
    <w:p>
      <w:pPr>
        <w:pStyle w:val="FootnoteText"/>
      </w:pPr>
      <w:r>
        <w:rPr>
          <w:rStyle w:val="FootnoteReference"/>
        </w:rPr>
        <w:footnoteRef/>
      </w:r>
      <w:r>
        <w:tab/>
        <w:t>Neuvoston päätös 2000/742/EY, tehty 16 päivänä marraskuuta 2000, Euroopan yhteisön ja Venäjän federaation hallituksen välisen tiede- ja teknologiayhteistyötä koskevan sopimuksen tekemisestä (EYVL L 299, 28.11.2000, s. 14).</w:t>
      </w:r>
    </w:p>
  </w:footnote>
  <w:footnote w:id="7">
    <w:p>
      <w:pPr>
        <w:pStyle w:val="FootnoteText"/>
      </w:pPr>
      <w:r>
        <w:rPr>
          <w:rStyle w:val="FootnoteReference"/>
        </w:rPr>
        <w:footnoteRef/>
      </w:r>
      <w:r>
        <w:tab/>
        <w:t>Neuvoston päätös 2003/798/EY, tehty 5 päivänä kesäkuuta 2003, sopimuksesta, jolla uusitaan Euroopan yhteisön ja Venäjän federaation hallituksen välinen tiede- ja teknologiayhteistyötä koskeva sopimus (EUVL L 229, 18.11.2003, s. 20).</w:t>
      </w:r>
    </w:p>
  </w:footnote>
  <w:footnote w:id="8">
    <w:p>
      <w:pPr>
        <w:pStyle w:val="FootnoteText"/>
      </w:pPr>
      <w:r>
        <w:rPr>
          <w:rStyle w:val="FootnoteReference"/>
        </w:rPr>
        <w:footnoteRef/>
      </w:r>
      <w:r>
        <w:tab/>
        <w:t>Neuvoston päätös 2009/313/EY, tehty 30 päivänä maaliskuuta 2009, Euroopan yhteisön ja Venäjän federaation hallituksen välisen tiede- ja teknologiayhteistyötä koskevan sopimuksen uusimisesta (EUVL L 92, 4.4.2009, s. 3).</w:t>
      </w:r>
    </w:p>
  </w:footnote>
  <w:footnote w:id="9">
    <w:p>
      <w:pPr>
        <w:pStyle w:val="FootnoteText"/>
      </w:pPr>
      <w:r>
        <w:rPr>
          <w:rStyle w:val="FootnoteReference"/>
        </w:rPr>
        <w:footnoteRef/>
      </w:r>
      <w:r>
        <w:tab/>
        <w:t>Neuvoston päätös 2014/50/EU, annettu 20 päivänä tammikuuta 2014, Euroopan yhteisön ja Venäjän federaation hallituksen välisen tiede- ja teknologiayhteistyötä koskevan sopimuksen uusimisesta (EUVL L 32, 1.2.2014, s. 1).</w:t>
      </w:r>
    </w:p>
  </w:footnote>
  <w:footnote w:id="10">
    <w:p>
      <w:pPr>
        <w:pStyle w:val="FootnoteText"/>
      </w:pPr>
      <w:r>
        <w:rPr>
          <w:rStyle w:val="FootnoteReference"/>
        </w:rPr>
        <w:footnoteRef/>
      </w:r>
      <w:r>
        <w:tab/>
        <w:t>www.sanctionsmap.eu. Pakotekartta on tietotekninen väline, jossa luetellaan rajoittavia toimenpiteitä koskevat järjestelyt. Rajoittavat toimenpiteet vahvistetaan EUVL:ssä julkaistavissa säädöksissä. Jos ilmenee eroavaisuuksia, EUVL on ensisijainen.</w:t>
      </w:r>
    </w:p>
  </w:footnote>
  <w:footnote w:id="11">
    <w:p>
      <w:pPr>
        <w:pStyle w:val="FootnoteText"/>
        <w:rPr>
          <w:szCs w:val="24"/>
        </w:rPr>
      </w:pPr>
      <w:r>
        <w:rPr>
          <w:rStyle w:val="FootnoteReference"/>
        </w:rPr>
        <w:footnoteRef/>
      </w:r>
      <w:r>
        <w:tab/>
        <w:t>ABM: toimintoperusteinen johtaminen; ABB: toimintoperusteinen budjetointi.</w:t>
      </w:r>
    </w:p>
  </w:footnote>
  <w:footnote w:id="12">
    <w:p>
      <w:pPr>
        <w:pStyle w:val="FootnoteText"/>
      </w:pPr>
      <w:r>
        <w:rPr>
          <w:rStyle w:val="FootnoteReference"/>
        </w:rPr>
        <w:footnoteRef/>
      </w:r>
      <w:r>
        <w:tab/>
        <w:t>Horisontti 2020 -puiteohjelmaan verrattuna on lisätty pääosastot CLIMA ja MARE seuraavaa monivuotista rahoituskehystä koskevan komission ehdotuksen (Horisontti Eurooppa -puiteohjelma) perusteella, joka on vielä hyväksyttävä.</w:t>
      </w:r>
    </w:p>
  </w:footnote>
  <w:footnote w:id="13">
    <w:p>
      <w:pPr>
        <w:pStyle w:val="FootnoteText"/>
        <w:rPr>
          <w:szCs w:val="24"/>
        </w:rPr>
      </w:pPr>
      <w:r>
        <w:rPr>
          <w:rStyle w:val="FootnoteReference"/>
        </w:rPr>
        <w:footnoteRef/>
      </w:r>
      <w:r>
        <w:tab/>
        <w:t xml:space="preserve">Kuvaukset eri hallinnointitavoista ja viittaukset varainhoitoasetukseen ovat saatavilla budjettipääosaston verkkosivuilla osoitteessa: </w:t>
      </w:r>
      <w:hyperlink r:id="rId1">
        <w:r>
          <w:rPr>
            <w:rStyle w:val="Hyperlink"/>
            <w:sz w:val="18"/>
          </w:rPr>
          <w:t>http://www.cc.cec/budg/man/budgmanag/budgmanag_en.html</w:t>
        </w:r>
      </w:hyperlink>
    </w:p>
  </w:footnote>
  <w:footnote w:id="14">
    <w:p>
      <w:pPr>
        <w:pStyle w:val="FootnoteText"/>
        <w:ind w:left="709" w:hanging="709"/>
      </w:pPr>
      <w:r>
        <w:rPr>
          <w:rStyle w:val="FootnoteReference"/>
        </w:rPr>
        <w:footnoteRef/>
      </w:r>
      <w:r>
        <w:tab/>
        <w:t>Määrärahat kaudelle 2021–2024 (monivuotinen rahoituskehys 2021–2027) ja asiaan liittyvä oikeusperusta on vielä hyväksyttävä Euroopan parlamentissa ja neuvostossa, ja budjettivallan käyttäjän on vielä hyväksyttävä vuoden 2019 talousarvioesitys.</w:t>
      </w:r>
    </w:p>
  </w:footnote>
  <w:footnote w:id="15">
    <w:p>
      <w:pPr>
        <w:pStyle w:val="FootnoteText"/>
        <w:rPr>
          <w:szCs w:val="24"/>
        </w:rPr>
      </w:pPr>
      <w:r>
        <w:rPr>
          <w:rStyle w:val="FootnoteReference"/>
        </w:rPr>
        <w:footnoteRef/>
      </w:r>
      <w:r>
        <w:tab/>
        <w:t>JM = jaksotetut määrärahat; EI-JM = jaksottamattomat määrärahat.</w:t>
      </w:r>
    </w:p>
  </w:footnote>
  <w:footnote w:id="16">
    <w:p>
      <w:pPr>
        <w:pStyle w:val="FootnoteText"/>
        <w:rPr>
          <w:szCs w:val="24"/>
        </w:rPr>
      </w:pPr>
      <w:r>
        <w:rPr>
          <w:rStyle w:val="FootnoteReference"/>
        </w:rPr>
        <w:footnoteRef/>
      </w:r>
      <w:r>
        <w:tab/>
        <w:t xml:space="preserve">EFTA: Euroopan vapaakauppaliitto. </w:t>
      </w:r>
    </w:p>
  </w:footnote>
  <w:footnote w:id="17">
    <w:p>
      <w:pPr>
        <w:pStyle w:val="FootnoteText"/>
        <w:rPr>
          <w:szCs w:val="24"/>
        </w:rPr>
      </w:pPr>
      <w:r>
        <w:rPr>
          <w:rStyle w:val="FootnoteReference"/>
        </w:rPr>
        <w:footnoteRef/>
      </w:r>
      <w:r>
        <w:tab/>
        <w:t>Ehdokasmaat ja soveltuvin osin Länsi-Balkanin mahdolliset ehdokasmaat.</w:t>
      </w:r>
    </w:p>
  </w:footnote>
  <w:footnote w:id="18">
    <w:p>
      <w:pPr>
        <w:pStyle w:val="FootnoteText"/>
        <w:rPr>
          <w:szCs w:val="24"/>
        </w:rPr>
      </w:pPr>
      <w:r>
        <w:rPr>
          <w:rStyle w:val="FootnoteReference"/>
        </w:rPr>
        <w:footnoteRef/>
      </w:r>
      <w:r>
        <w:tab/>
        <w:t>Vuosi 2019 on ehdotuksen/aloitteen toteutuksen aloitusvuosi. Vuosien 2019 ja 2024 määrät vastaavat vastaavasti kymmentä kuukautta ja kahta kuukautta.</w:t>
      </w:r>
    </w:p>
  </w:footnote>
  <w:footnote w:id="19">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20">
    <w:p>
      <w:pPr>
        <w:pStyle w:val="FootnoteText"/>
        <w:rPr>
          <w:szCs w:val="24"/>
        </w:rPr>
      </w:pPr>
      <w:r>
        <w:rPr>
          <w:rStyle w:val="FootnoteReference"/>
        </w:rPr>
        <w:footnoteRef/>
      </w:r>
      <w:r>
        <w:tab/>
        <w:t>Vuosi 2019 on ehdotuksen/aloitteen toteutuksen aloitusvuosi. Vuosien 2019 ja 2024 määrät vastaavat vastaavasti kymmentä kuukautta ja kahta kuukautta.</w:t>
      </w:r>
    </w:p>
  </w:footnote>
  <w:footnote w:id="21">
    <w:p>
      <w:pPr>
        <w:pStyle w:val="FootnoteText"/>
        <w:rPr>
          <w:szCs w:val="24"/>
        </w:rPr>
      </w:pPr>
      <w:r>
        <w:rPr>
          <w:rStyle w:val="FootnoteReference"/>
        </w:rPr>
        <w:footnoteRef/>
      </w:r>
      <w:r>
        <w:tab/>
        <w:t>Tuotokset ovat tuloksena olevia tuotteita ja palveluita (esim. rahoitettujen opiskelijavaihtojen määrä tai rakennetut tiekilometrit).</w:t>
      </w:r>
    </w:p>
  </w:footnote>
  <w:footnote w:id="22">
    <w:p>
      <w:pPr>
        <w:pStyle w:val="FootnoteText"/>
        <w:rPr>
          <w:szCs w:val="24"/>
        </w:rPr>
      </w:pPr>
      <w:r>
        <w:rPr>
          <w:rStyle w:val="FootnoteReference"/>
        </w:rPr>
        <w:footnoteRef/>
      </w:r>
      <w:r>
        <w:tab/>
        <w:t xml:space="preserve">Kuten kuvattu kohdassa 1.4.2 ”Erityistavoitteet”. </w:t>
      </w:r>
    </w:p>
  </w:footnote>
  <w:footnote w:id="23">
    <w:p>
      <w:pPr>
        <w:pStyle w:val="FootnoteText"/>
        <w:rPr>
          <w:szCs w:val="24"/>
        </w:rPr>
      </w:pPr>
      <w:r>
        <w:rPr>
          <w:rStyle w:val="FootnoteReference"/>
        </w:rPr>
        <w:footnoteRef/>
      </w:r>
      <w:r>
        <w:tab/>
        <w:t>Vuosi 2019 on ehdotuksen/aloitteen toteutuksen aloitusvuosi. Vuosien 2019 ja 2024 määrät vastaavat vastaavasti kymmentä kuukautta ja kahta kuukautta.</w:t>
      </w:r>
    </w:p>
  </w:footnote>
  <w:footnote w:id="24">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25">
    <w:p>
      <w:pPr>
        <w:pStyle w:val="FootnoteText"/>
        <w:rPr>
          <w:szCs w:val="24"/>
        </w:rPr>
      </w:pPr>
      <w:r>
        <w:rPr>
          <w:rStyle w:val="FootnoteReference"/>
        </w:rPr>
        <w:footnoteRef/>
      </w:r>
      <w:r>
        <w:tab/>
        <w:t xml:space="preserve">AC = sopimussuhteiset toimihenkilöt; AL = paikalliset toimihenkilöt; END = kansalliset asiantuntijat; INT = vuokrahenkilöstö; JED = nuoremmat asiantuntijat EU:n ulkopuolisissa edustustoissa. </w:t>
      </w:r>
    </w:p>
  </w:footnote>
  <w:footnote w:id="26">
    <w:p>
      <w:pPr>
        <w:pStyle w:val="FootnoteText"/>
        <w:rPr>
          <w:szCs w:val="24"/>
        </w:rPr>
      </w:pPr>
      <w:r>
        <w:rPr>
          <w:rStyle w:val="FootnoteReference"/>
        </w:rPr>
        <w:footnoteRef/>
      </w:r>
      <w:r>
        <w:tab/>
        <w:t>Toimintamäärärahoista katettavan ulkopuolisen henkilöstön enimmäismäärä (entiset BA-budjettikohdat).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AB40A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5623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D4C29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5DBC706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454A2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012C2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3"/>
  </w:num>
  <w:num w:numId="5">
    <w:abstractNumId w:val="20"/>
  </w:num>
  <w:num w:numId="6">
    <w:abstractNumId w:val="5"/>
  </w:num>
  <w:num w:numId="7">
    <w:abstractNumId w:val="4"/>
  </w:num>
  <w:num w:numId="8">
    <w:abstractNumId w:val="3"/>
  </w:num>
  <w:num w:numId="9">
    <w:abstractNumId w:val="2"/>
  </w:num>
  <w:num w:numId="10">
    <w:abstractNumId w:val="1"/>
  </w:num>
  <w:num w:numId="11">
    <w:abstractNumId w:val="0"/>
  </w:num>
  <w:num w:numId="12">
    <w:abstractNumId w:val="19"/>
  </w:num>
  <w:num w:numId="13">
    <w:abstractNumId w:val="11"/>
  </w:num>
  <w:num w:numId="14">
    <w:abstractNumId w:val="22"/>
  </w:num>
  <w:num w:numId="15">
    <w:abstractNumId w:val="10"/>
  </w:num>
  <w:num w:numId="16">
    <w:abstractNumId w:val="12"/>
  </w:num>
  <w:num w:numId="17">
    <w:abstractNumId w:val="8"/>
  </w:num>
  <w:num w:numId="18">
    <w:abstractNumId w:val="21"/>
  </w:num>
  <w:num w:numId="19">
    <w:abstractNumId w:val="7"/>
  </w:num>
  <w:num w:numId="20">
    <w:abstractNumId w:val="13"/>
  </w:num>
  <w:num w:numId="21">
    <w:abstractNumId w:val="17"/>
  </w:num>
  <w:num w:numId="22">
    <w:abstractNumId w:val="18"/>
  </w:num>
  <w:num w:numId="23">
    <w:abstractNumId w:val="9"/>
  </w:num>
  <w:num w:numId="24">
    <w:abstractNumId w:val="16"/>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hideSpellingErrors/>
  <w:hideGrammaticalErrors/>
  <w:attachedTemplate r:id="rId1"/>
  <w:revisionView w:markup="0"/>
  <w:defaultTabStop w:val="720"/>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1 10:20:5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20"/>
    <w:docVar w:name="DQCResult_UnknownFonts" w:val="0;0"/>
    <w:docVar w:name="DQCResult_UnknownStyles" w:val="0;0"/>
    <w:docVar w:name="DQCStatus" w:val="Green"/>
    <w:docVar w:name="DQCVersion" w:val="3"/>
    <w:docVar w:name="DQCWithWarnings" w:val="0"/>
    <w:docVar w:name="FigNum" w:val="1"/>
    <w:docVar w:name="LW_CORRIGENDUM" w:val="&lt;UNUSED&gt;"/>
    <w:docVar w:name="LW_COVERPAGE_EXISTS" w:val="True"/>
    <w:docVar w:name="LW_COVERPAGE_GUID" w:val="23C9A2C8-7379-4C46-BCD5-0FFADF65FF39"/>
    <w:docVar w:name="LW_COVERPAGE_TYPE" w:val="1"/>
    <w:docVar w:name="LW_CROSSREFERENCE" w:val="&lt;UNUSED&gt;"/>
    <w:docVar w:name="LW_DocType" w:val="COM"/>
    <w:docVar w:name="LW_EMISSION" w:val="18.1.2019"/>
    <w:docVar w:name="LW_EMISSION_ISODATE" w:val="2019-01-18"/>
    <w:docVar w:name="LW_EMISSION_LOCATION" w:val="BRX"/>
    <w:docVar w:name="LW_EMISSION_PREFIX" w:val="Bryssel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005"/>
    <w:docVar w:name="LW_REF.II.NEW.CP_YEAR" w:val="2019"/>
    <w:docVar w:name="LW_REF.INST.NEW" w:val="COM"/>
    <w:docVar w:name="LW_REF.INST.NEW_ADOPTED" w:val="final"/>
    <w:docVar w:name="LW_REF.INST.NEW_TEXT" w:val="(2019) 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Euroopan yhteisön ja Venäjän federaation hallituksen välisen tiede- ja teknologiayhteistyötä koskevan sopimuksen uusimisesta "/>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fi-FI"/>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fi-FI"/>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BD709-2401-4C60-8B0A-B7C314A0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14</Pages>
  <Words>3060</Words>
  <Characters>25466</Characters>
  <Application>Microsoft Office Word</Application>
  <DocSecurity>0</DocSecurity>
  <Lines>1414</Lines>
  <Paragraphs>606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2018-11-29T15:19:00Z</cp:lastPrinted>
  <dcterms:created xsi:type="dcterms:W3CDTF">2018-12-19T14:21:00Z</dcterms:created>
  <dcterms:modified xsi:type="dcterms:W3CDTF">2019-01-11T09:20:00Z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