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A851A30-4143-4AE2-BA67-F367335D5468" style="width:451.1pt;height:337.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 xml:space="preserve">AZ AJÁNLÁS HÁTTERE </w:t>
      </w:r>
    </w:p>
    <w:p>
      <w:pPr>
        <w:pStyle w:val="ManualHeading2"/>
        <w:rPr>
          <w:noProof/>
        </w:rPr>
      </w:pPr>
      <w:r>
        <w:rPr>
          <w:noProof/>
        </w:rPr>
        <w:t>•</w:t>
      </w:r>
      <w:r>
        <w:rPr>
          <w:noProof/>
        </w:rPr>
        <w:tab/>
        <w:t>Az ajánlás okai és céljai</w:t>
      </w:r>
    </w:p>
    <w:p>
      <w:pPr>
        <w:spacing w:before="100" w:beforeAutospacing="1" w:after="100" w:afterAutospacing="1"/>
        <w:rPr>
          <w:noProof/>
        </w:rPr>
      </w:pPr>
      <w:r>
        <w:rPr>
          <w:noProof/>
        </w:rPr>
        <w:t xml:space="preserve">Az Európai Bizottság elnöke és az Amerikai Egyesült Államok elnöke 2018. július 25-én megállapodásra jutott az Egyesült Államok és az Európai Unió közötti kereskedelmi kapcsolatok új szakaszának elindításáról, amelynek célja a kereskedelem megkönnyítése és a kereskedelmi feszültségek eszkalálódásának elkerülése. A közös nyilatkozat egy végrehajtó munkacsoport létrehozását irányozta elő, amely többek között fontolóra veszi az adminisztratív akadályok és költségek csökkentésére irányuló intézkedéseket, ugyanakkor megőrzi mindkét oldal magas szintű védelmét. </w:t>
      </w:r>
    </w:p>
    <w:p>
      <w:pPr>
        <w:spacing w:before="100" w:beforeAutospacing="1" w:after="100" w:afterAutospacing="1"/>
        <w:rPr>
          <w:noProof/>
        </w:rPr>
      </w:pPr>
      <w:r>
        <w:rPr>
          <w:noProof/>
        </w:rPr>
        <w:t>Ez az Egyesült Államokkal folytatandó tárgyalások megkezdésére irányuló ajánlás az Európai Unió és az Egyesült Államok közötti, a szabályozási kérdésekkel és a szabályozást támogató szabványok használatával kapcsolatos együttműködés javítását célzó szélesebb körű intézkedéscsomag részét képezi. Az ajánlás tárgyalási irányelvek tervezetéről rendelkezik a kereskedelem megkönnyítése és ezáltal az ipari áruk Európai Unió és Egyesült Államok közötti kereskedelmének a megfelelőségértékelés költségeinek kölcsönös és kiegyensúlyozott csökkentése révén történő fokozása érdekében.</w:t>
      </w:r>
    </w:p>
    <w:p>
      <w:pPr>
        <w:spacing w:before="100" w:beforeAutospacing="1" w:after="100" w:afterAutospacing="1"/>
        <w:rPr>
          <w:noProof/>
        </w:rPr>
      </w:pPr>
      <w:r>
        <w:rPr>
          <w:noProof/>
        </w:rPr>
        <w:t xml:space="preserve">Az EU és az USA a világ legnagyobb és leginkább integrált gazdasága, amelyek hosszú és közös kereskedelmi múlttal és hasonló gazdasági fejlettségi szinttel rendelkeznek. Az Egyesült Államok az ipari termékek uniós kivitelének elsődleges exportpiaca, és az EU-ba irányuló ipari termékek második legnagyobb exportőre (Kína után). Az EU–USA árukereskedelem 2017-ben 633 milliárd EUR-t tett ki, amely elsősorban ipari termékek kereskedelmét jelentette (598 milliárd EUR értékben, amely főként 166 milliárd EUR értékű gép- és berendezéskereskedelemből állt). Közel 4,7 millió uniós munkahely hozható összefüggésbe az USA-ba irányuló exportra való termeléssel. Az USA-val folytatott árukereskedelmünk legnagyobb részét (az uniós kivitel 94 %-át és a behozatal 95 %-át) az ipari termékek teszik ki. Az EU–USA árukereskedelem folyamatosan növekedett az elmúlt tíz évben. E jelentős kereskedelmi forgalom fényében az Atlanti-óceán mindkét partján tevékenykedő gazdasági szereplők jelentős előnyre tesznek szert a párhuzamos vizsgálati, a felügyeleti és tanúsítási követelmények megszüntetésének köszönhetően, ami csökkenti a vállalatok számára az érintett piacainkhoz való hozzáférés költségeit. </w:t>
      </w:r>
    </w:p>
    <w:p>
      <w:pPr>
        <w:spacing w:before="100" w:beforeAutospacing="1" w:after="100" w:afterAutospacing="1"/>
        <w:rPr>
          <w:noProof/>
        </w:rPr>
      </w:pPr>
      <w:r>
        <w:rPr>
          <w:noProof/>
        </w:rPr>
        <w:t xml:space="preserve">Az Európai Unió és az Egyesült Államok megfelelőségértékelési gyakorlatai annak biztosítására szolgálnak, hogy a gyártók csak akkor hozhassanak forgalomba egy terméket, ha az megfelel valamennyi vonatkozó követelménynek annak biztosítása érdekében, hogy a nem biztonságos vagy más módon nem megfelelő termékek ne kerüljenek be egymás piacára. Ezek magukban foglalhatják a vizsgálatot, a felügyeletet és a tanúsítást. A megfelelőségértékelés megközelítései közötti különbségek a termékek biztonságának szükségszerű javítása nélkül további költségeket, valamint hosszadalmas és összetett adminisztratív folyamatokat eredményezhetnek. A kötelező harmadik fél általi megfelelőségértékelés esetében (az Egyesült Államokban az esetek mintegy 70 %-ában) megkönnyítheti a kereskedelmet annak lehetővé tétele, hogy az exportőrök a termékek kivitele szerinti országban az alkalmazandó szabályoknak való megfelelés bizonyítására a behozatal szerinti országban igazolást kérjenek. E lehetőség csak bizonyos ágazatok esetében létezik a meglévő, az EU és az USA között 1998-ban kötött kölcsönös elismerési megállapodás értelmében, amely nem működik megfelelően az összes érintett ágazatban. A megfelelőségértékelés költségei így jelentősek </w:t>
      </w:r>
      <w:r>
        <w:rPr>
          <w:noProof/>
        </w:rPr>
        <w:lastRenderedPageBreak/>
        <w:t xml:space="preserve">lehetnek az uniós export számára, különösen az olyan kulcsfontosságú ágazatokban, mint a gépek és berendezések gyártása. </w:t>
      </w:r>
    </w:p>
    <w:p>
      <w:pPr>
        <w:rPr>
          <w:noProof/>
        </w:rPr>
      </w:pPr>
      <w:r>
        <w:rPr>
          <w:noProof/>
        </w:rPr>
        <w:t>A megfelelőségértékelés költségeinek csökkentése számottevő gazdasági előnyökkel járhat, különösen a kis- és középvállalkozások (kkv-k) számára, amelyeket e költségek aránytalanul súlyosan érintenek. Méretükből adódóan gyakran sokkal nehezebb a kkv-k számára megbirkózni a kereskedelmi akadályokkal, mint a nagyobb cégek esetében. Gyakran nem rendelkeznek elegendő kapacitással és/vagy erőforrással a termékkövetelmények és az alkalmazandó megfelelőségértékelési eljárások tekintetében fennálló különbségek kezelésére, továbbá nehézséget okoz számukra a szükséges információk megszerzése. A megfelelőségértékeléssel kapcsolatos akadályok számának csökkentése ezért különösen előnyös lehet a feldolgozóiparban működő exportáló kkv-k számára. A kkv-k valószínűleg arányaiban többet nyernek a kereskedelmi költségek csökkenésével. A kereskedelmi költségek e csökkentése alkalmanként döntő befolyással lehet arra, hogy egyáltalán sor kerül-e az exportra vagy sem.</w:t>
      </w:r>
    </w:p>
    <w:p>
      <w:pPr>
        <w:pBdr>
          <w:top w:val="nil"/>
          <w:left w:val="nil"/>
          <w:bottom w:val="nil"/>
          <w:right w:val="nil"/>
          <w:between w:val="nil"/>
          <w:bar w:val="nil"/>
        </w:pBdr>
        <w:spacing w:before="0" w:after="240"/>
        <w:rPr>
          <w:noProof/>
        </w:rPr>
      </w:pPr>
      <w:r>
        <w:rPr>
          <w:noProof/>
        </w:rPr>
        <w:t xml:space="preserve">A megfelelőségértékelési eredmények elfogadásának megkönnyítéséhez nemzetközi megállapodásra van szükség, hogy a vonatkozó követelmények teljesülése esetén lehetővé tegyék az Unió területén nem letelepedett megfelelőségértékelő szervezetek számára, hogy tanúsíthassák, egy adott termék megfelel-e a vonatkozó uniós jogszabályoknak. Ez az ajánlás ezért javasolja az Egyesült Államokkal való tárgyalások megkezdését a célból, hogy az Atlanti-óceán mindkét partján csökkenjenek a gazdasági szereplőket érintő megfelelőségértékelési költségek. Ennek módja, hogy megállapodnak az exportáló Fél területén található megfelelőségértékelő testületek által elvégzett megfelelőségértékelés eredményeinek az importáló Fél területén található megfelelőségértékelő testületek által történő – azok technikai követelményeinek megfelelő – elfogadásáról. </w:t>
      </w:r>
    </w:p>
    <w:p>
      <w:pPr>
        <w:pStyle w:val="ManualHeading2"/>
        <w:rPr>
          <w:noProof/>
        </w:rPr>
      </w:pPr>
      <w:r>
        <w:rPr>
          <w:noProof/>
        </w:rPr>
        <w:t>•</w:t>
      </w:r>
      <w:r>
        <w:rPr>
          <w:noProof/>
        </w:rPr>
        <w:tab/>
        <w:t>Összhang a szabályozási terület jelenlegi rendelkezéseivel</w:t>
      </w:r>
    </w:p>
    <w:p>
      <w:pPr>
        <w:pBdr>
          <w:top w:val="nil"/>
          <w:left w:val="nil"/>
          <w:bottom w:val="nil"/>
          <w:right w:val="nil"/>
          <w:between w:val="nil"/>
          <w:bar w:val="nil"/>
        </w:pBdr>
        <w:spacing w:before="0" w:after="240"/>
        <w:rPr>
          <w:noProof/>
        </w:rPr>
      </w:pPr>
      <w:r>
        <w:rPr>
          <w:noProof/>
        </w:rPr>
        <w:t>Ezen ajánlás hatálya a 2018. július 25-i közös nyilatkozat részének végrehajtására korlátozódik annak érdekében, hogy a megfelelőségértékelés eredményeinek elfogadása révén javítsa az árukereskedelmet, ugyanakkor biztosítsa a magas szintű védelem teljes körű fenntartását. A cél a kereskedelem megkönnyítése és az EU és az USA közötti kereskedelmi feszültségek enyhítése, és ez teljes mértékben összhangban áll az Európai Unióról szóló szerződéssel (EUSZ), amely kimondja, hogy az Unió mozdítsa elő valamennyi ország bekapcsolódását a világgazdaságba, egyebek mellett a nemzetközi kereskedelemben érvényesülő korlátozások fokozatos megszüntetése révén</w:t>
      </w:r>
      <w:r>
        <w:rPr>
          <w:rStyle w:val="FootnoteReference"/>
          <w:noProof/>
        </w:rPr>
        <w:footnoteReference w:id="1"/>
      </w:r>
      <w:r>
        <w:rPr>
          <w:noProof/>
        </w:rPr>
        <w:t xml:space="preserve">. </w:t>
      </w:r>
    </w:p>
    <w:p>
      <w:pPr>
        <w:pStyle w:val="ManualHeading2"/>
        <w:rPr>
          <w:noProof/>
        </w:rPr>
      </w:pPr>
      <w:r>
        <w:rPr>
          <w:noProof/>
        </w:rPr>
        <w:t>•</w:t>
      </w:r>
      <w:r>
        <w:rPr>
          <w:noProof/>
        </w:rPr>
        <w:tab/>
        <w:t>Összhang az Unió egyéb szakpolitikáival</w:t>
      </w:r>
    </w:p>
    <w:p>
      <w:pPr>
        <w:pBdr>
          <w:top w:val="nil"/>
          <w:left w:val="nil"/>
          <w:bottom w:val="nil"/>
          <w:right w:val="nil"/>
          <w:between w:val="nil"/>
          <w:bar w:val="nil"/>
        </w:pBdr>
        <w:spacing w:before="0" w:after="240"/>
        <w:rPr>
          <w:noProof/>
        </w:rPr>
      </w:pPr>
      <w:r>
        <w:rPr>
          <w:noProof/>
        </w:rPr>
        <w:t xml:space="preserve">Az ajánlás összhangban áll más uniós szakpolitikákkal. </w:t>
      </w:r>
    </w:p>
    <w:p>
      <w:pPr>
        <w:pStyle w:val="ManualHeading1"/>
        <w:rPr>
          <w:noProof/>
        </w:rPr>
      </w:pPr>
      <w:r>
        <w:rPr>
          <w:noProof/>
        </w:rPr>
        <w:t>2.</w:t>
      </w:r>
      <w:r>
        <w:rPr>
          <w:noProof/>
        </w:rPr>
        <w:tab/>
        <w:t>JOGALAP, SZUBSZIDIARITÁS ÉS ARÁNYOSSÁG</w:t>
      </w:r>
    </w:p>
    <w:p>
      <w:pPr>
        <w:pStyle w:val="ManualHeading2"/>
        <w:rPr>
          <w:noProof/>
        </w:rPr>
      </w:pPr>
      <w:r>
        <w:rPr>
          <w:noProof/>
        </w:rPr>
        <w:tab/>
        <w:t>Jogalap</w:t>
      </w:r>
    </w:p>
    <w:p>
      <w:pPr>
        <w:pBdr>
          <w:top w:val="nil"/>
          <w:left w:val="nil"/>
          <w:bottom w:val="nil"/>
          <w:right w:val="nil"/>
          <w:between w:val="nil"/>
          <w:bar w:val="nil"/>
        </w:pBdr>
        <w:spacing w:before="0" w:after="240"/>
        <w:rPr>
          <w:noProof/>
        </w:rPr>
      </w:pPr>
      <w:r>
        <w:rPr>
          <w:noProof/>
        </w:rPr>
        <w:t>Az Európai Unió működéséről szóló Szerződés (EUMSZ) 207. cikke (3) és (4) bekezdésének első albekezdése, összefüggésben 218. cikke (3) és (4) bekezdésével.</w:t>
      </w:r>
    </w:p>
    <w:p>
      <w:pPr>
        <w:pStyle w:val="ManualHeading2"/>
        <w:rPr>
          <w:noProof/>
        </w:rPr>
      </w:pPr>
      <w:r>
        <w:rPr>
          <w:noProof/>
        </w:rPr>
        <w:lastRenderedPageBreak/>
        <w:tab/>
        <w:t xml:space="preserve">Szubszidiaritás (nem kizárólagos hatáskör esetén) </w:t>
      </w:r>
    </w:p>
    <w:p>
      <w:pPr>
        <w:pBdr>
          <w:top w:val="nil"/>
          <w:left w:val="nil"/>
          <w:bottom w:val="nil"/>
          <w:right w:val="nil"/>
          <w:between w:val="nil"/>
          <w:bar w:val="nil"/>
        </w:pBdr>
        <w:spacing w:before="0" w:after="240"/>
        <w:rPr>
          <w:noProof/>
        </w:rPr>
      </w:pPr>
      <w:r>
        <w:rPr>
          <w:noProof/>
        </w:rPr>
        <w:t>Az EUSZ 5. cikkének (3) bekezdése értelmében a szubszidiaritás elve nem alkalmazandó a kizárólagos uniós hatáskör alá tartozó területekre. A közös kereskedelempolitika szerepel az EUMSZ 3. cikkében felsorolt, az Unió kizárólagos hatáskörébe tartozó területek között. Ez a szakpolitika kiterjed a kereskedelmi megállapodásokról – többek között az EUMSZ. 207 cikkének megfelelően – folytatott tárgyalásokra is.</w:t>
      </w:r>
    </w:p>
    <w:p>
      <w:pPr>
        <w:pStyle w:val="ManualHeading2"/>
        <w:rPr>
          <w:noProof/>
        </w:rPr>
      </w:pPr>
      <w:r>
        <w:rPr>
          <w:noProof/>
        </w:rPr>
        <w:tab/>
        <w:t>Arányosság</w:t>
      </w:r>
    </w:p>
    <w:p>
      <w:pPr>
        <w:pBdr>
          <w:top w:val="nil"/>
          <w:left w:val="nil"/>
          <w:bottom w:val="nil"/>
          <w:right w:val="nil"/>
          <w:between w:val="nil"/>
          <w:bar w:val="nil"/>
        </w:pBdr>
        <w:spacing w:before="0" w:after="240"/>
        <w:rPr>
          <w:noProof/>
        </w:rPr>
      </w:pPr>
      <w:r>
        <w:rPr>
          <w:noProof/>
        </w:rPr>
        <w:t xml:space="preserve">A Bizottság ajánlása összhangban áll az arányosság elvével, és az Egyesült Államokkal fennálló kereskedelmi feszültségek enyhítésére irányuló célkitűzésünk fényében szükséges. </w:t>
      </w:r>
    </w:p>
    <w:p>
      <w:pPr>
        <w:pStyle w:val="ManualHeading2"/>
        <w:rPr>
          <w:noProof/>
        </w:rPr>
      </w:pPr>
      <w:r>
        <w:rPr>
          <w:noProof/>
        </w:rPr>
        <w:tab/>
        <w:t>A jogi aktus típusának megválasztása</w:t>
      </w:r>
    </w:p>
    <w:p>
      <w:pPr>
        <w:pBdr>
          <w:top w:val="nil"/>
          <w:left w:val="nil"/>
          <w:bottom w:val="nil"/>
          <w:right w:val="nil"/>
          <w:between w:val="nil"/>
          <w:bar w:val="nil"/>
        </w:pBdr>
        <w:spacing w:before="0" w:after="240"/>
        <w:rPr>
          <w:noProof/>
        </w:rPr>
      </w:pPr>
      <w:r>
        <w:rPr>
          <w:noProof/>
        </w:rPr>
        <w:t xml:space="preserve">Az Európai Unió Tanácsának határozata. </w:t>
      </w:r>
    </w:p>
    <w:p>
      <w:pPr>
        <w:pStyle w:val="ManualHeading1"/>
        <w:rPr>
          <w:noProof/>
        </w:rPr>
      </w:pPr>
      <w:r>
        <w:rPr>
          <w:noProof/>
        </w:rPr>
        <w:t>2.</w:t>
      </w:r>
      <w:r>
        <w:rPr>
          <w:noProof/>
        </w:rPr>
        <w:tab/>
        <w:t>AZ UTÓLAGOS ÉRTÉKELÉSEK, AZ ÉRDEKELT FELEKKEL FOLYTATOTT KONZULTÁCIÓK ÉS A HATÁSVIZSGÁLATOK EREDMÉNYEI</w:t>
      </w:r>
    </w:p>
    <w:p>
      <w:pPr>
        <w:pStyle w:val="ManualHeading2"/>
        <w:rPr>
          <w:noProof/>
        </w:rPr>
      </w:pPr>
      <w:r>
        <w:rPr>
          <w:noProof/>
        </w:rPr>
        <w:tab/>
        <w:t>A jelenleg hatályban lévő jogszabályok utólagos értékelése / célravezetőségi vizsgálata</w:t>
      </w:r>
    </w:p>
    <w:p>
      <w:pPr>
        <w:pBdr>
          <w:top w:val="nil"/>
          <w:left w:val="nil"/>
          <w:bottom w:val="nil"/>
          <w:right w:val="nil"/>
          <w:between w:val="nil"/>
          <w:bar w:val="nil"/>
        </w:pBdr>
        <w:spacing w:before="0" w:after="240"/>
        <w:rPr>
          <w:noProof/>
        </w:rPr>
      </w:pPr>
      <w:r>
        <w:rPr>
          <w:noProof/>
        </w:rPr>
        <w:t>Tárgytalan.</w:t>
      </w:r>
    </w:p>
    <w:p>
      <w:pPr>
        <w:pStyle w:val="ManualHeading2"/>
        <w:rPr>
          <w:noProof/>
        </w:rPr>
      </w:pPr>
      <w:r>
        <w:rPr>
          <w:noProof/>
        </w:rPr>
        <w:t>•</w:t>
      </w:r>
      <w:r>
        <w:rPr>
          <w:noProof/>
        </w:rPr>
        <w:tab/>
        <w:t>Az érdekelt felekkel folytatott konzultációk</w:t>
      </w:r>
    </w:p>
    <w:p>
      <w:pPr>
        <w:pBdr>
          <w:top w:val="nil"/>
          <w:left w:val="nil"/>
          <w:bottom w:val="nil"/>
          <w:right w:val="nil"/>
          <w:between w:val="nil"/>
          <w:bar w:val="nil"/>
        </w:pBdr>
        <w:spacing w:before="0" w:after="240"/>
        <w:rPr>
          <w:noProof/>
        </w:rPr>
      </w:pPr>
      <w:r>
        <w:rPr>
          <w:noProof/>
        </w:rPr>
        <w:t xml:space="preserve">2012 óta számos konzultációt folytattak az érdekelt felekkel meghallgatások és a civil társadalommal folytatott párbeszéd formájában, hogy mérlegeljék az EU–USA közötti szorosabb szabályozási együttműködésből fakadó esetleges előnyöket. E konzultációkra az Európai Parlamentben és az uniós tagállamokban vagy az általuk szervezett nyilvános vitákon felül került sor. </w:t>
      </w:r>
    </w:p>
    <w:p>
      <w:pPr>
        <w:pBdr>
          <w:top w:val="nil"/>
          <w:left w:val="nil"/>
          <w:bottom w:val="nil"/>
          <w:right w:val="nil"/>
          <w:between w:val="nil"/>
          <w:bar w:val="nil"/>
        </w:pBdr>
        <w:spacing w:before="0" w:after="240"/>
        <w:rPr>
          <w:noProof/>
        </w:rPr>
      </w:pPr>
      <w:r>
        <w:rPr>
          <w:noProof/>
        </w:rPr>
        <w:t>Ezen ajánlással összefüggésben hamarosan megindul az érdekelt felekkel folytatott, az Egyesült Államokkal folytatandó lehetséges szabályozási együttműködési kezdeményezésekről szóló konzultációk új köre, amely során közzéteszik az érdekelt felekkel folytatott konzultációra vonatkozó stratégiát meghatározó ütemtervet (lehetőség van arra, hogy az érdekelt felek egy négyhetes időszakon belül visszajelzést adjanak).</w:t>
      </w:r>
    </w:p>
    <w:p>
      <w:pPr>
        <w:pBdr>
          <w:top w:val="nil"/>
          <w:left w:val="nil"/>
          <w:bottom w:val="nil"/>
          <w:right w:val="nil"/>
          <w:between w:val="nil"/>
          <w:bar w:val="nil"/>
        </w:pBdr>
        <w:spacing w:before="0" w:after="240"/>
        <w:rPr>
          <w:noProof/>
        </w:rPr>
      </w:pPr>
      <w:r>
        <w:rPr>
          <w:noProof/>
        </w:rPr>
        <w:t xml:space="preserve">A konzultációk eredményeit egy rövid összefoglaló jelentés foglalja majd össze. A Bizottság az érdekelt felek főbb ajánlásaira is választ fog adni. A konzultáció nem korlátozódik majd a megfelelőségértékelés kérdésére, de az Egyesült Államokkal folytatandó más kezdeményezések azonosítására is irányul, amelyek jelentős előnyökkel járhatnak, miközben fenntartják – ha nem fokozzák – a védelem jelenlegi szintjét. </w:t>
      </w:r>
    </w:p>
    <w:p>
      <w:pPr>
        <w:pStyle w:val="ManualHeading2"/>
        <w:rPr>
          <w:noProof/>
        </w:rPr>
      </w:pPr>
      <w:r>
        <w:rPr>
          <w:noProof/>
        </w:rPr>
        <w:t>•</w:t>
      </w:r>
      <w:r>
        <w:rPr>
          <w:noProof/>
        </w:rPr>
        <w:tab/>
        <w:t>Szakértői vélemények beszerzése és felhasználása</w:t>
      </w:r>
    </w:p>
    <w:p>
      <w:pPr>
        <w:spacing w:before="0" w:after="240"/>
        <w:rPr>
          <w:noProof/>
        </w:rPr>
      </w:pPr>
      <w:r>
        <w:rPr>
          <w:noProof/>
        </w:rPr>
        <w:t xml:space="preserve">2012 óta a korábbi konzultációs tevékenységek során már jelentős szakértelem gyűlt össze a megfelelőségértékelésekkel kapcsolatos, az EU és az USA közötti szorosabb együttműködésből eredő esetleges előnyök tekintetében (lásd az alábbi weboldalon található hivatkozásokat és dokumentumokat: </w:t>
      </w:r>
      <w:hyperlink r:id="rId15" w:history="1">
        <w:r>
          <w:rPr>
            <w:rStyle w:val="Hyperlink"/>
            <w:noProof/>
          </w:rPr>
          <w:t>http://trade.ec.europa.eu/doclib/cfm/doclib_section.cfm?sec=146</w:t>
        </w:r>
      </w:hyperlink>
      <w:r>
        <w:rPr>
          <w:noProof/>
        </w:rPr>
        <w:t xml:space="preserve">). E szakértelmet azonban a fent említett, érdekelt felekkel folytatott új konzultációk összefüggésében frissíteni fogják. </w:t>
      </w:r>
    </w:p>
    <w:p>
      <w:pPr>
        <w:pStyle w:val="ManualHeading2"/>
        <w:rPr>
          <w:noProof/>
        </w:rPr>
      </w:pPr>
      <w:r>
        <w:rPr>
          <w:noProof/>
        </w:rPr>
        <w:lastRenderedPageBreak/>
        <w:t>•</w:t>
      </w:r>
      <w:r>
        <w:rPr>
          <w:noProof/>
        </w:rPr>
        <w:tab/>
        <w:t>Hatásvizsgálat</w:t>
      </w:r>
    </w:p>
    <w:p>
      <w:pPr>
        <w:spacing w:before="0" w:after="240"/>
        <w:rPr>
          <w:noProof/>
        </w:rPr>
      </w:pPr>
      <w:r>
        <w:rPr>
          <w:noProof/>
        </w:rPr>
        <w:t xml:space="preserve">Mivel politikai szempontból elengedhetetlen a gyors előrelépés annak érdekében, hogy az EU és az USA közötti kereskedelmi feszültségeket enyhüljenek, ezt hangoztatta a Bizottság elnöke az Egyesült Államok elnökével folytatott megbeszélést követően és ezt hagyta jóvá az Európai Tanács 2018. május 16-i szófiai nem hivatalos ülésén, továbbá eltekintettek a hivatalos hatásvizsgálati eljárástól annak érdekében, hogy a bizonyítékgyűjtés és az érdekelt felekkel folytatott konzultáció biztosításának arányosabb megközelítése érvényesüljön. Ez az arányos megközelítés azért is indokolt, mert az új megállapodás várhatóan nem gyakorol jelentős gazdasági, társadalmi vagy környezeti hatást az egyes termékágazatokra vonatkozó megfelelőségértékelés egyszerűsítéséből származó előnyökre. </w:t>
      </w:r>
    </w:p>
    <w:p>
      <w:pPr>
        <w:pStyle w:val="ManualHeading2"/>
        <w:rPr>
          <w:noProof/>
        </w:rPr>
      </w:pPr>
      <w:r>
        <w:rPr>
          <w:noProof/>
        </w:rPr>
        <w:t>•</w:t>
      </w:r>
      <w:r>
        <w:rPr>
          <w:noProof/>
        </w:rPr>
        <w:tab/>
        <w:t>Alapjogok</w:t>
      </w:r>
    </w:p>
    <w:p>
      <w:pPr>
        <w:pBdr>
          <w:top w:val="nil"/>
          <w:left w:val="nil"/>
          <w:bottom w:val="nil"/>
          <w:right w:val="nil"/>
          <w:between w:val="nil"/>
          <w:bar w:val="nil"/>
        </w:pBdr>
        <w:spacing w:before="0" w:after="240"/>
        <w:rPr>
          <w:noProof/>
        </w:rPr>
      </w:pPr>
      <w:r>
        <w:rPr>
          <w:noProof/>
        </w:rPr>
        <w:t xml:space="preserve">Az ajánlás összhangban áll az egyéb uniós szerződésekkel és az Európai Unió Alapjogi Chartájával. </w:t>
      </w:r>
    </w:p>
    <w:p>
      <w:pPr>
        <w:pStyle w:val="ManualHeading1"/>
        <w:rPr>
          <w:noProof/>
        </w:rPr>
      </w:pPr>
      <w:r>
        <w:rPr>
          <w:noProof/>
        </w:rPr>
        <w:t>3.</w:t>
      </w:r>
      <w:r>
        <w:rPr>
          <w:noProof/>
        </w:rPr>
        <w:tab/>
        <w:t>KÖLTSÉGVETÉSI VONZATOK</w:t>
      </w:r>
    </w:p>
    <w:p>
      <w:pPr>
        <w:pBdr>
          <w:top w:val="nil"/>
          <w:left w:val="nil"/>
          <w:bottom w:val="nil"/>
          <w:right w:val="nil"/>
          <w:between w:val="nil"/>
          <w:bar w:val="nil"/>
        </w:pBdr>
        <w:spacing w:before="0" w:after="240"/>
        <w:rPr>
          <w:noProof/>
        </w:rPr>
      </w:pPr>
      <w:r>
        <w:rPr>
          <w:noProof/>
        </w:rPr>
        <w:t>Az Egyesült Államok és az Európai Unió közötti, a megfelelőségértékelésről szóló megállapodás nem gyakorol kedvezőtlen hatást az Unió költségvetésére. Közvetett pozitív hatások a megnövekedett kereskedelmi áramlásokból várhatók.</w:t>
      </w:r>
    </w:p>
    <w:p>
      <w:pPr>
        <w:pStyle w:val="ManualHeading1"/>
        <w:rPr>
          <w:noProof/>
        </w:rPr>
      </w:pPr>
      <w:r>
        <w:rPr>
          <w:noProof/>
        </w:rPr>
        <w:t>4.</w:t>
      </w:r>
      <w:r>
        <w:rPr>
          <w:noProof/>
        </w:rPr>
        <w:tab/>
        <w:t>EGYÉB ELEMEK</w:t>
      </w:r>
    </w:p>
    <w:p>
      <w:pPr>
        <w:pStyle w:val="ManualHeading2"/>
        <w:rPr>
          <w:noProof/>
        </w:rPr>
      </w:pPr>
      <w:r>
        <w:rPr>
          <w:noProof/>
        </w:rPr>
        <w:t>•</w:t>
      </w:r>
      <w:r>
        <w:rPr>
          <w:noProof/>
        </w:rPr>
        <w:tab/>
        <w:t xml:space="preserve">Az eljárás ismertetése </w:t>
      </w:r>
    </w:p>
    <w:p>
      <w:pPr>
        <w:rPr>
          <w:noProof/>
        </w:rPr>
      </w:pPr>
      <w:r>
        <w:rPr>
          <w:noProof/>
        </w:rPr>
        <w:t xml:space="preserve">A Bizottság fog tárgyalni az EU nevében. A Bizottság javasolja, hogy az EUMSZ 218. cikke (4) bekezdésének megfelelően az Európai Unió Tanácsa a Kereskedelempolitikai Bizottságot jelölje ki azon bizottságként, amellyel a tárgyalások során egyeztetni kell. </w:t>
      </w:r>
    </w:p>
    <w:p>
      <w:pPr>
        <w:rPr>
          <w:noProof/>
        </w:rPr>
      </w:pPr>
      <w:r>
        <w:rPr>
          <w:noProof/>
        </w:rPr>
        <w:t xml:space="preserve">Az EUMSZ 218. cikke (10) bekezdésének megfelelően az Európai Parlamentet az eljárás minden szakaszában tájékoztatni fogják. </w:t>
      </w:r>
    </w:p>
    <w:p>
      <w:pPr>
        <w:rPr>
          <w:noProof/>
        </w:rPr>
      </w:pPr>
      <w:r>
        <w:rPr>
          <w:noProof/>
        </w:rPr>
        <w:t xml:space="preserve">A Bizottság közvetlenül az elfogadást követően nyilvánosan hozzáférhetővé teszi majd ezt az ajánlást és mellékletét. </w:t>
      </w:r>
    </w:p>
    <w:p>
      <w:pPr>
        <w:rPr>
          <w:noProof/>
        </w:rPr>
      </w:pPr>
      <w:r>
        <w:rPr>
          <w:noProof/>
        </w:rPr>
        <w:t xml:space="preserve">A Bizottság azt ajánlja, hogy a tárgyalási irányelveket a Tanács általi elfogadásukat követően haladéktalanul tegyék nyilvánossá.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Ajánlás</w:t>
      </w:r>
    </w:p>
    <w:p>
      <w:pPr>
        <w:pStyle w:val="Typedudocument"/>
        <w:rPr>
          <w:noProof/>
        </w:rPr>
      </w:pPr>
      <w:r>
        <w:rPr>
          <w:noProof/>
        </w:rPr>
        <w:t>A TANÁCS HATÁROZATA</w:t>
      </w:r>
    </w:p>
    <w:p>
      <w:pPr>
        <w:pStyle w:val="Titreobjet"/>
        <w:rPr>
          <w:noProof/>
        </w:rPr>
      </w:pPr>
      <w:r>
        <w:rPr>
          <w:noProof/>
        </w:rPr>
        <w:t xml:space="preserve">az Amerikai Egyesült Államokkal a megfelelőségértékelésről szóló megállapodásról folytatandó tárgyalások megkezdésére való felhatalmazásról </w:t>
      </w:r>
    </w:p>
    <w:p>
      <w:pPr>
        <w:pStyle w:val="Institutionquiagit"/>
        <w:rPr>
          <w:noProof/>
        </w:rPr>
      </w:pPr>
      <w:r>
        <w:rPr>
          <w:noProof/>
        </w:rPr>
        <w:t>AZ EURÓPAI UNIÓ TANÁCSA,</w:t>
      </w:r>
    </w:p>
    <w:p>
      <w:pPr>
        <w:rPr>
          <w:noProof/>
        </w:rPr>
      </w:pPr>
      <w:r>
        <w:rPr>
          <w:noProof/>
        </w:rPr>
        <w:t>tekintettel az Európai Unió működéséről szóló szerződésre és különösen annak 207. cikke (3) és (4) bekezdésének első albekezdésére, összefüggésben 218. cikke (3) és (4) bekezdésére,</w:t>
      </w:r>
    </w:p>
    <w:p>
      <w:pPr>
        <w:rPr>
          <w:noProof/>
        </w:rPr>
      </w:pPr>
      <w:r>
        <w:rPr>
          <w:noProof/>
        </w:rPr>
        <w:t>tekintettel az Európai Bizottság ajánlására,</w:t>
      </w:r>
    </w:p>
    <w:p>
      <w:pPr>
        <w:pStyle w:val="Formuledadoption"/>
        <w:rPr>
          <w:noProof/>
        </w:rPr>
      </w:pPr>
      <w:r>
        <w:rPr>
          <w:noProof/>
        </w:rPr>
        <w:t xml:space="preserve">ELFOGADTA EZT A HATÁROZATOT: </w:t>
      </w:r>
    </w:p>
    <w:p>
      <w:pPr>
        <w:pStyle w:val="Titrearticle"/>
        <w:rPr>
          <w:noProof/>
        </w:rPr>
      </w:pPr>
      <w:r>
        <w:rPr>
          <w:noProof/>
        </w:rPr>
        <w:t>1. cikk</w:t>
      </w:r>
    </w:p>
    <w:p>
      <w:pPr>
        <w:rPr>
          <w:noProof/>
        </w:rPr>
      </w:pPr>
      <w:r>
        <w:rPr>
          <w:noProof/>
        </w:rPr>
        <w:t xml:space="preserve">A Bizottság felhatalmazást kap arra, hogy az Európai Unió nevében tárgyalásokat kezdjen az Amerikai Egyesült Államokkal a megfelelőségértékelésről szóló megállapodásról. </w:t>
      </w:r>
    </w:p>
    <w:p>
      <w:pPr>
        <w:pStyle w:val="Titrearticle"/>
        <w:rPr>
          <w:noProof/>
        </w:rPr>
      </w:pPr>
      <w:r>
        <w:rPr>
          <w:noProof/>
        </w:rPr>
        <w:t>2. cikk</w:t>
      </w:r>
    </w:p>
    <w:p>
      <w:pPr>
        <w:rPr>
          <w:noProof/>
        </w:rPr>
      </w:pPr>
      <w:r>
        <w:rPr>
          <w:noProof/>
        </w:rPr>
        <w:t xml:space="preserve">A tárgyalásokat a mellékletben foglalt tanácsi tárgyalási irányelvek alapján kell lefolytatni. </w:t>
      </w:r>
    </w:p>
    <w:p>
      <w:pPr>
        <w:pStyle w:val="Titrearticle"/>
        <w:rPr>
          <w:noProof/>
        </w:rPr>
      </w:pPr>
      <w:r>
        <w:rPr>
          <w:noProof/>
        </w:rPr>
        <w:t>3. cikk</w:t>
      </w:r>
    </w:p>
    <w:p>
      <w:pPr>
        <w:rPr>
          <w:noProof/>
        </w:rPr>
      </w:pPr>
      <w:r>
        <w:rPr>
          <w:noProof/>
        </w:rPr>
        <w:t xml:space="preserve">A Bizottság a tárgyalásokat a(z) [a Tanács által beillesztendő különbizottság]-gal egyeztetve folytatja le. </w:t>
      </w:r>
    </w:p>
    <w:p>
      <w:pPr>
        <w:pStyle w:val="Titrearticle"/>
        <w:rPr>
          <w:noProof/>
        </w:rPr>
      </w:pPr>
      <w:r>
        <w:rPr>
          <w:noProof/>
        </w:rPr>
        <w:t>4. cikk</w:t>
      </w:r>
    </w:p>
    <w:p>
      <w:pPr>
        <w:keepNext/>
        <w:spacing w:before="360"/>
        <w:rPr>
          <w:noProof/>
        </w:rPr>
      </w:pPr>
      <w:r>
        <w:rPr>
          <w:noProof/>
        </w:rPr>
        <w:t>Ezt a határozatot és mellékletét az elfogadásukat követően azonnal hozzáférhetővé teszik a nyilvánosság számára.</w:t>
      </w:r>
    </w:p>
    <w:p>
      <w:pPr>
        <w:pStyle w:val="Titrearticle"/>
        <w:rPr>
          <w:noProof/>
        </w:rPr>
      </w:pPr>
      <w:r>
        <w:rPr>
          <w:noProof/>
        </w:rPr>
        <w:t>5. cikk</w:t>
      </w:r>
    </w:p>
    <w:p>
      <w:pPr>
        <w:rPr>
          <w:noProof/>
        </w:rPr>
      </w:pPr>
      <w:r>
        <w:rPr>
          <w:noProof/>
        </w:rPr>
        <w:t xml:space="preserve">Ennek a határozatnak a Bizottság a címzettje. </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Az EUSZ 21. cikke (2) bekezdésének e) pontja.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E092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4250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1AAEC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7ACB6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4DA7B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0E640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D271AA"/>
    <w:lvl w:ilvl="0">
      <w:start w:val="1"/>
      <w:numFmt w:val="decimal"/>
      <w:pStyle w:val="ListNumber"/>
      <w:lvlText w:val="%1."/>
      <w:lvlJc w:val="left"/>
      <w:pPr>
        <w:tabs>
          <w:tab w:val="num" w:pos="360"/>
        </w:tabs>
        <w:ind w:left="360" w:hanging="360"/>
      </w:pPr>
    </w:lvl>
  </w:abstractNum>
  <w:abstractNum w:abstractNumId="7">
    <w:nsid w:val="FFFFFF89"/>
    <w:multiLevelType w:val="singleLevel"/>
    <w:tmpl w:val="C5EC7E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1 08:12: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7A851A30-4143-4AE2-BA67-F367335D5468"/>
    <w:docVar w:name="LW_COVERPAGE_TYPE" w:val="1"/>
    <w:docVar w:name="LW_CROSSREFERENCE" w:val="&lt;UNUSED&gt;"/>
    <w:docVar w:name="LW_DocType" w:val="COM"/>
    <w:docVar w:name="LW_EMISSION" w:val="2019.1.18."/>
    <w:docVar w:name="LW_EMISSION_ISODATE" w:val="2019-01-18"/>
    <w:docVar w:name="LW_EMISSION_LOCATION" w:val="BRX"/>
    <w:docVar w:name="LW_EMISSION_PREFIX" w:val="Brüsszel,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Ajánlás"/>
    <w:docVar w:name="LW_SUPERTITRE" w:val="&lt;UNUSED&gt;"/>
    <w:docVar w:name="LW_TITRE.OBJ.CP" w:val="az Amerikai Egyesült Államokkal a megfelel\u337?ségértékelésr\u337?l szóló megállapodásról folytatandó tárgyalások megkezdésére való felhatalmazásról "/>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ade.ec.europa.eu/doclib/cfm/doclib_section.cfm?sec=146"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6</TotalTime>
  <Pages>6</Pages>
  <Words>1490</Words>
  <Characters>10778</Characters>
  <Application>Microsoft Office Word</Application>
  <DocSecurity>0</DocSecurity>
  <Lines>182</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2019-01-18T13:54:00Z</dcterms:created>
  <dcterms:modified xsi:type="dcterms:W3CDTF">2019-01-21T07:12:00Z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