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4" type="#_x0000_t75" alt="752ECF7B-505A-42F4-B32F-D51062BC1F66" style="width:450.4pt;height:361.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pStyle w:val="ListParagraph"/>
        <w:numPr>
          <w:ilvl w:val="0"/>
          <w:numId w:val="46"/>
        </w:numPr>
        <w:spacing w:afterLines="120" w:after="288" w:line="240" w:lineRule="auto"/>
        <w:jc w:val="both"/>
        <w:rPr>
          <w:rFonts w:ascii="Times New Roman" w:hAnsi="Times New Roman"/>
          <w:b/>
          <w:noProof/>
          <w:sz w:val="24"/>
          <w:szCs w:val="24"/>
        </w:rPr>
      </w:pPr>
      <w:bookmarkStart w:id="1" w:name="_GoBack"/>
      <w:bookmarkEnd w:id="1"/>
      <w:r>
        <w:rPr>
          <w:rFonts w:ascii="Times New Roman" w:hAnsi="Times New Roman"/>
          <w:b/>
          <w:noProof/>
          <w:sz w:val="24"/>
        </w:rPr>
        <w:lastRenderedPageBreak/>
        <w:t>Introducere</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Uniunea Europeană (UE) a adoptat în 2014 Regulamentul (UE) nr. 511/2014 privind măsurile de conformitate destinate utilizatorilor prevăzute în Protocolul de la Nagoya privind accesul la resursele genetice și împărțirea corectă și echitabilă a beneficiilor care rezultă din utilizarea acestora în Uniune</w:t>
      </w:r>
      <w:r>
        <w:rPr>
          <w:rStyle w:val="FootnoteReference"/>
          <w:rFonts w:ascii="Times New Roman" w:hAnsi="Times New Roman"/>
          <w:noProof/>
          <w:sz w:val="24"/>
          <w:u w:color="12282C"/>
        </w:rPr>
        <w:footnoteReference w:id="1"/>
      </w:r>
      <w:r>
        <w:rPr>
          <w:rFonts w:ascii="Times New Roman" w:hAnsi="Times New Roman"/>
          <w:noProof/>
          <w:sz w:val="24"/>
        </w:rPr>
        <w:t xml:space="preserve"> (denumit în continuare Regulamentul UE privind accesul și împărțirea beneficiilor sau regulamentul). Acesta transpune în ordinea juridică a UE măsurile de conformitate necesare în temeiul Protocolului de la Nagoya la Convenția privind diversitatea biologică</w:t>
      </w:r>
      <w:r>
        <w:rPr>
          <w:rStyle w:val="FootnoteReference"/>
          <w:rFonts w:ascii="Times New Roman" w:hAnsi="Times New Roman"/>
          <w:noProof/>
          <w:sz w:val="24"/>
        </w:rPr>
        <w:footnoteReference w:id="2"/>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Regulamentul UE privind accesul și împărțirea beneficiilor stabilește obligații pentru utilizatorii de resurse genetice și cunoștințe tradiționale asociate cu resursele genetice în cadrul Uniunii</w:t>
      </w:r>
      <w:r>
        <w:rPr>
          <w:rStyle w:val="FootnoteReference"/>
          <w:rFonts w:ascii="Times New Roman" w:hAnsi="Times New Roman"/>
          <w:noProof/>
          <w:sz w:val="24"/>
        </w:rPr>
        <w:footnoteReference w:id="3"/>
      </w:r>
      <w:r>
        <w:rPr>
          <w:rFonts w:ascii="Times New Roman" w:hAnsi="Times New Roman"/>
          <w:noProof/>
          <w:sz w:val="24"/>
        </w:rPr>
        <w:t>. Acesta impune tuturor utilizatorilor să exercite diligența necesară pentru a se asigura că accesul la resursele genetice și la cunoștințele tradiționale asociate cu resursele genetice utilizate a fost obținut în conformitate cu cerințele legale și că, după caz, beneficiile sunt împărțite în mod corect și echitabil în condiții convenite de comun acord. Toți utilizatorii trebuie să caute, să păstreze și să transfere utilizatorilor ulteriori anumite informații relevante pentru accesul și împărțirea beneficiilor. Utilizatorii trebuie să declare și să furnizeze dovezi că au exercitat diligența necesară (prin completarea unei declarații privind diligența necesară) la două puncte de control identificate în regulament (unul în etapa primirii de fonduri pentru cercetare, situație în care cercetarea implică utilizarea de resurse genetice sau de cunoștințe tradiționale asociate cu resursele genetice și celălalt în etapa de dezvoltare finală a produsului). Autoritățile competente desemnate de statele membre trebuie să verifice dacă utilizatorii respectă obligațiile care le revin în temeiul regulamentului. De asemenea, statele membre trebuie să asigure faptul că încălcarea normelor de către utilizatori se pedepsește prin sancțiuni eficace, proporționale și cu efect de descurajare.</w:t>
      </w:r>
    </w:p>
    <w:p>
      <w:pPr>
        <w:spacing w:afterLines="120" w:after="288" w:line="240" w:lineRule="auto"/>
        <w:jc w:val="both"/>
        <w:rPr>
          <w:rFonts w:ascii="Times New Roman" w:eastAsia="Times New Roman" w:hAnsi="Times New Roman"/>
          <w:noProof/>
          <w:sz w:val="24"/>
          <w:szCs w:val="24"/>
          <w:vertAlign w:val="superscript"/>
        </w:rPr>
      </w:pPr>
      <w:r>
        <w:rPr>
          <w:rFonts w:ascii="Times New Roman" w:hAnsi="Times New Roman"/>
          <w:noProof/>
          <w:sz w:val="24"/>
        </w:rPr>
        <w:t>Regulamentul UE privind accesul și împărțirea beneficiilor a intrat în vigoare la 9 iunie 2014 și se aplică din 12 octombrie 2014. O serie de dispoziții importante din regulament au intrat în vigoare un an mai târziu</w:t>
      </w:r>
      <w:r>
        <w:rPr>
          <w:rStyle w:val="FootnoteReference"/>
          <w:rFonts w:ascii="Times New Roman" w:hAnsi="Times New Roman"/>
          <w:noProof/>
          <w:sz w:val="24"/>
        </w:rPr>
        <w:footnoteReference w:id="4"/>
      </w:r>
      <w:r>
        <w:rPr>
          <w:rFonts w:ascii="Times New Roman" w:hAnsi="Times New Roman"/>
          <w:noProof/>
          <w:sz w:val="24"/>
        </w:rPr>
        <w:t>. Regulamentul de punere în aplicare (UE) 2015/1866 al Comisiei a intrat în vigoare la 9 noiembrie 2015 în ceea ce privește registrul colecțiilor, monitorizarea respectării normelor de către utilizatori și cele mai bune practici</w:t>
      </w:r>
      <w:r>
        <w:rPr>
          <w:rFonts w:ascii="Times New Roman" w:hAnsi="Times New Roman"/>
          <w:noProof/>
          <w:sz w:val="24"/>
          <w:vertAlign w:val="superscript"/>
        </w:rPr>
        <w:footnoteReference w:id="5"/>
      </w:r>
      <w:r>
        <w:rPr>
          <w:rFonts w:ascii="Times New Roman" w:hAnsi="Times New Roman"/>
          <w:noProof/>
          <w:sz w:val="24"/>
        </w:rPr>
        <w:t xml:space="preserve">. </w:t>
      </w:r>
    </w:p>
    <w:p>
      <w:pPr>
        <w:tabs>
          <w:tab w:val="left" w:pos="2268"/>
        </w:tabs>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Articolul 16 alineatul (1) din Regulamentul UE privind accesul și împărțirea beneficiilor impune statelor membre să transmită Comisiei un raport privind aplicarea regulamentului sus-menționat până la 11 iunie 2017 și, ulterior, la intervale de cinci ani, cu excepția cazului în care se stabilește un interval alternativ pentru rapoarte, în conformitate cu articolul 29 din Protocolul de la Nagoya. Prima reuniune a părților la Protocolul de la Nagoya a solicitat părților să transmită un raport național provizoriu privind punerea în aplicare a protocolului, în conformitate cu articolul 29 din protocol, cu douăsprezece luni înainte de cea de a treia reuniune a părților, așadar cel târziu la 1 noiembrie 2017</w:t>
      </w:r>
      <w:r>
        <w:rPr>
          <w:rStyle w:val="FootnoteReference"/>
          <w:rFonts w:ascii="Times New Roman" w:hAnsi="Times New Roman"/>
          <w:noProof/>
          <w:sz w:val="24"/>
        </w:rPr>
        <w:footnoteReference w:id="6"/>
      </w:r>
      <w:r>
        <w:rPr>
          <w:rFonts w:ascii="Times New Roman" w:hAnsi="Times New Roman"/>
          <w:noProof/>
          <w:sz w:val="24"/>
        </w:rPr>
        <w:t xml:space="preserve">. În conformitate cu acest termen­limită, majoritatea statelor membre au transmis rapoartele până în noiembrie 2017. </w:t>
      </w:r>
      <w:r>
        <w:rPr>
          <w:rFonts w:ascii="Times New Roman" w:hAnsi="Times New Roman"/>
          <w:noProof/>
          <w:sz w:val="24"/>
        </w:rPr>
        <w:lastRenderedPageBreak/>
        <w:t xml:space="preserve">Unsprezece state membre au transmis rapoartele ulterior (ultimul raport a fost primit în septembrie 2018). </w:t>
      </w:r>
    </w:p>
    <w:p>
      <w:pPr>
        <w:spacing w:afterLines="120" w:after="288" w:line="240" w:lineRule="auto"/>
        <w:jc w:val="both"/>
        <w:rPr>
          <w:rFonts w:ascii="Times New Roman" w:hAnsi="Times New Roman"/>
          <w:noProof/>
          <w:sz w:val="24"/>
          <w:szCs w:val="24"/>
        </w:rPr>
      </w:pPr>
      <w:r>
        <w:rPr>
          <w:rFonts w:ascii="Times New Roman" w:hAnsi="Times New Roman"/>
          <w:noProof/>
          <w:sz w:val="24"/>
        </w:rPr>
        <w:t>Prezentul raport respectă articolul 16 alineatul (2) din Regulamentul UE privind accesul și împărțirea beneficiilor, conform căruia, în termen de cel mult un an de la expirarea termenului de prezentare a rapoartelor naționale, Comisia va prezenta Parlamentului European și Consiliului un raport privind aplicarea regulamentului, inclusiv o primă evaluare a eficienței prezentului regulament. Raportul se bazează pe informațiile provenite din rapoartele naționale prezentate de toate cele 28 de state membre</w:t>
      </w:r>
      <w:r>
        <w:rPr>
          <w:rStyle w:val="FootnoteReference"/>
          <w:rFonts w:ascii="Times New Roman" w:hAnsi="Times New Roman"/>
          <w:noProof/>
          <w:sz w:val="24"/>
        </w:rPr>
        <w:footnoteReference w:id="7"/>
      </w:r>
      <w:r>
        <w:rPr>
          <w:rFonts w:ascii="Times New Roman" w:hAnsi="Times New Roman"/>
          <w:noProof/>
          <w:sz w:val="24"/>
        </w:rPr>
        <w:t xml:space="preserve"> Comisiei, dar și pe alte informații disponibile.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Raportul se referă la primii trei ani ai aplicării Regulamentului UE privind accesul și împărțirea beneficiilor, însemnând perioada cuprinsă între octombrie 2014 și august 2017, care este redusă la doi ani de aplicare în cazul dispozițiilor referitoare la diligența necesară (articolul 4), monitorizarea respectării de către utilizatori (articolul 7) și controalele respectării de către utilizatori (articolul 9). </w:t>
      </w:r>
    </w:p>
    <w:p>
      <w:pPr>
        <w:spacing w:afterLines="120" w:after="288" w:line="240" w:lineRule="auto"/>
        <w:jc w:val="both"/>
        <w:rPr>
          <w:noProof/>
        </w:rPr>
      </w:pPr>
      <w:r>
        <w:rPr>
          <w:rFonts w:ascii="Times New Roman" w:hAnsi="Times New Roman"/>
          <w:b/>
          <w:noProof/>
          <w:sz w:val="24"/>
        </w:rPr>
        <w:t>2</w:t>
      </w:r>
      <w:r>
        <w:rPr>
          <w:rFonts w:ascii="Times New Roman" w:hAnsi="Times New Roman"/>
          <w:noProof/>
          <w:sz w:val="24"/>
        </w:rPr>
        <w:t xml:space="preserve">. </w:t>
      </w:r>
      <w:r>
        <w:rPr>
          <w:rFonts w:ascii="Times New Roman" w:hAnsi="Times New Roman"/>
          <w:b/>
          <w:noProof/>
          <w:sz w:val="24"/>
        </w:rPr>
        <w:t xml:space="preserve">Punerea în aplicare a Regulamentului UE privind accesul și împărțirea beneficiilor </w:t>
      </w:r>
    </w:p>
    <w:p>
      <w:pPr>
        <w:pStyle w:val="Standa2"/>
        <w:spacing w:afterLines="120" w:after="288" w:line="240" w:lineRule="auto"/>
        <w:jc w:val="both"/>
        <w:outlineLvl w:val="0"/>
        <w:rPr>
          <w:rFonts w:ascii="Times New Roman" w:hAnsi="Times New Roman"/>
          <w:b/>
          <w:noProof/>
          <w:sz w:val="24"/>
          <w:szCs w:val="24"/>
        </w:rPr>
      </w:pPr>
      <w:r>
        <w:rPr>
          <w:rFonts w:ascii="Times New Roman" w:hAnsi="Times New Roman"/>
          <w:b/>
          <w:noProof/>
          <w:sz w:val="24"/>
        </w:rPr>
        <w:t xml:space="preserve">2.1. Structuri și resurse instituționale </w:t>
      </w:r>
    </w:p>
    <w:p>
      <w:pPr>
        <w:spacing w:afterLines="120" w:after="288" w:line="240" w:lineRule="auto"/>
        <w:jc w:val="both"/>
        <w:rPr>
          <w:rFonts w:ascii="Times New Roman" w:eastAsia="Times New Roman" w:hAnsi="Times New Roman"/>
          <w:noProof/>
          <w:sz w:val="24"/>
          <w:szCs w:val="24"/>
        </w:rPr>
      </w:pPr>
      <w:r>
        <w:rPr>
          <w:rFonts w:ascii="Times New Roman" w:hAnsi="Times New Roman"/>
          <w:b/>
          <w:noProof/>
          <w:sz w:val="24"/>
        </w:rPr>
        <w:t xml:space="preserve">2.1.2 Desemnarea autorităților competente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Articolul 6 alineatul (1) din Regulamentul UE privind accesul și împărțirea beneficiilor impune statelor membre să desemneze autorități competente (AC) naționale până la data intrării în vigoare a regulamentului. 22 de state membre au raportat faptul că au desemnat AC responsabile de aplicarea regulamentului</w:t>
      </w:r>
      <w:r>
        <w:rPr>
          <w:rStyle w:val="FootnoteReference"/>
          <w:rFonts w:ascii="Times New Roman" w:hAnsi="Times New Roman"/>
          <w:noProof/>
          <w:sz w:val="24"/>
        </w:rPr>
        <w:footnoteReference w:id="8"/>
      </w:r>
      <w:r>
        <w:rPr>
          <w:rFonts w:ascii="Times New Roman" w:hAnsi="Times New Roman"/>
          <w:noProof/>
          <w:sz w:val="24"/>
        </w:rPr>
        <w:t>. În conformitate cu cerințele Regulamentului UE privind accesul și împărțirea beneficiilor, AC dețin responsabilitatea îndeplinirii următoarelor sarcini:</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să primească declarațiile privind diligența necesară în temeiul articolului 7 alineatul (1) și alineatul (2);</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să transmită informații Centrului pentru schimbul de informații privind accesul și împărțirea beneficiilor (ABSCH)</w:t>
      </w:r>
      <w:r>
        <w:rPr>
          <w:rStyle w:val="FootnoteReference"/>
          <w:rFonts w:ascii="Times New Roman" w:hAnsi="Times New Roman"/>
          <w:noProof/>
          <w:sz w:val="24"/>
        </w:rPr>
        <w:footnoteReference w:id="9"/>
      </w:r>
      <w:r>
        <w:rPr>
          <w:rFonts w:ascii="Times New Roman" w:hAnsi="Times New Roman"/>
          <w:noProof/>
          <w:sz w:val="24"/>
        </w:rPr>
        <w:t xml:space="preserve"> în temeiul articolului 7 litera (3);</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să efectueze controale în conformitate cu articolul 9;  </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să recunoască și să verifice colecțiile înregistrate în temeiul articolului 5;</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să coopereze cu țări terțe în temeiul articolului 7 alineatul (3);</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să aplice măsuri complementare în temeiul articolului 13 (sensibilizare, activități de formare, orientare pentru utilizatori etc.).</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Unele state membre au optat ca o singură instituție să se ocupe de funcțiile enumerate anterior, altele au distribuit aceste funcții între mai multe instituții sau agenții. În unele cazuri, AC sunt asistate de alte agenții, organizații și/sau autorități (de exemplu, controalele sunt frecvent alocate unor inspectorate)</w:t>
      </w:r>
      <w:r>
        <w:rPr>
          <w:rStyle w:val="FootnoteReference"/>
          <w:rFonts w:ascii="Times New Roman" w:hAnsi="Times New Roman"/>
          <w:noProof/>
          <w:sz w:val="24"/>
        </w:rPr>
        <w:footnoteReference w:id="10"/>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6 state membre au raportat că nu au desemnat încă AC</w:t>
      </w:r>
      <w:r>
        <w:rPr>
          <w:rStyle w:val="FootnoteReference"/>
          <w:rFonts w:ascii="Times New Roman" w:hAnsi="Times New Roman"/>
          <w:noProof/>
          <w:sz w:val="24"/>
        </w:rPr>
        <w:footnoteReference w:id="11"/>
      </w:r>
      <w:r>
        <w:rPr>
          <w:rFonts w:ascii="Times New Roman" w:hAnsi="Times New Roman"/>
          <w:noProof/>
          <w:sz w:val="24"/>
        </w:rPr>
        <w:t xml:space="preserve">, pe de altă parte, toate au informat Comisia că adoptarea actului oficial de desemnare era în derulare.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În ceea ce privește dificultățile legate de crearea structurii instituționale pentru punerea în aplicare a regulamentului, unele state membre au semnalat faptul că una dintre provocările majore rezultă din structurile constituționale specifice, care distribuie competențele privind mediul între mai multe administrații la niveluri diferite (de exemplu: administrații regionale, provincii sau guvernul federal). În aceste cazuri, identificarea AC a necesitat discuții îndelungate</w:t>
      </w:r>
      <w:r>
        <w:rPr>
          <w:rStyle w:val="FootnoteReference"/>
          <w:rFonts w:ascii="Times New Roman" w:hAnsi="Times New Roman"/>
          <w:noProof/>
          <w:sz w:val="24"/>
        </w:rPr>
        <w:footnoteReference w:id="12"/>
      </w:r>
      <w:r>
        <w:rPr>
          <w:rFonts w:ascii="Times New Roman" w:hAnsi="Times New Roman"/>
          <w:noProof/>
          <w:sz w:val="24"/>
        </w:rPr>
        <w:t>. Altele au semnalat că administrațiile și agențiile au manifestat uneori reticență în asumarea noilor sarcini impuse prin Regulamentul UE privind accesul și împărțirea beneficiilor. Evaluarea și identificarea autorităților responsabile adecvate, dar și stabilirea mecanismelor de cooperare între diferitele instituții implicate au fost de asemenea invocate ca provocări</w:t>
      </w:r>
      <w:r>
        <w:rPr>
          <w:rStyle w:val="FootnoteReference"/>
          <w:rFonts w:ascii="Times New Roman" w:hAnsi="Times New Roman"/>
          <w:noProof/>
          <w:sz w:val="24"/>
        </w:rPr>
        <w:footnoteReference w:id="13"/>
      </w:r>
      <w:r>
        <w:rPr>
          <w:rFonts w:ascii="Times New Roman" w:hAnsi="Times New Roman"/>
          <w:noProof/>
          <w:sz w:val="24"/>
        </w:rPr>
        <w:t>. În cele din urmă, un număr mai mic au evidențiat faptul că lipsa de cunoștințe și expertiză în privința accesului și a împărțirii beneficiilor este de asemenea o provocare, mai ales având în vedere natura inovatoare a regulamentului</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2.1.3 Resurse umane și financiare</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Situația resurselor umane și financiare disponibile pentru punerea în aplicare și executarea Regulamentului UE privind accesul și împărțirea beneficiilor în statele membre este pronunțat inegală. În ceea ce privește resursele umane, acestea variază de la absența completă a personalului care să lucreze la punerea în aplicare a regulamentului la o echipă de 5 membri care se ocupă numai de acest aspect. Adesea statele membre se bazează pe personalul deja existent care îndeplinește în același timp alte sarcini</w:t>
      </w:r>
      <w:r>
        <w:rPr>
          <w:rStyle w:val="FootnoteReference"/>
          <w:rFonts w:ascii="Times New Roman" w:hAnsi="Times New Roman"/>
          <w:noProof/>
          <w:sz w:val="24"/>
        </w:rPr>
        <w:footnoteReference w:id="15"/>
      </w:r>
      <w:r>
        <w:rPr>
          <w:rFonts w:ascii="Times New Roman" w:hAnsi="Times New Roman"/>
          <w:noProof/>
          <w:sz w:val="24"/>
        </w:rPr>
        <w:t>. Numai 2 state membre au raportat că dispun de personal suficient care să se ocupe exclusiv de punerea în aplicare a regulamentului</w:t>
      </w:r>
      <w:r>
        <w:rPr>
          <w:rStyle w:val="FootnoteReference"/>
          <w:rFonts w:ascii="Times New Roman" w:hAnsi="Times New Roman"/>
          <w:noProof/>
          <w:sz w:val="24"/>
        </w:rPr>
        <w:footnoteReference w:id="16"/>
      </w:r>
      <w:r>
        <w:rPr>
          <w:rFonts w:ascii="Times New Roman" w:hAnsi="Times New Roman"/>
          <w:noProof/>
          <w:sz w:val="24"/>
        </w:rPr>
        <w:t>. În cele din urmă, 2 state membre au raportat că nu dispun deloc de personal care să se ocupe de regulament</w:t>
      </w:r>
      <w:r>
        <w:rPr>
          <w:rStyle w:val="FootnoteReference"/>
          <w:rFonts w:ascii="Times New Roman" w:hAnsi="Times New Roman"/>
          <w:noProof/>
          <w:sz w:val="24"/>
        </w:rPr>
        <w:footnoteReference w:id="17"/>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r>
        <w:rPr>
          <w:noProof/>
          <w:lang w:val="en-GB" w:eastAsia="en-GB" w:bidi="ar-SA"/>
        </w:rPr>
        <w:drawing>
          <wp:inline distT="0" distB="0" distL="0" distR="0">
            <wp:extent cx="5698932" cy="3125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9125" cy="3126078"/>
                    </a:xfrm>
                    <a:prstGeom prst="rect">
                      <a:avLst/>
                    </a:prstGeom>
                    <a:noFill/>
                    <a:ln>
                      <a:noFill/>
                    </a:ln>
                  </pic:spPr>
                </pic:pic>
              </a:graphicData>
            </a:graphic>
          </wp:inline>
        </w:drawing>
      </w:r>
    </w:p>
    <w:p>
      <w:pPr>
        <w:spacing w:afterLines="120" w:after="288" w:line="240" w:lineRule="auto"/>
        <w:jc w:val="both"/>
        <w:rPr>
          <w:rFonts w:ascii="Times New Roman" w:eastAsia="Times New Roman" w:hAnsi="Times New Roman"/>
          <w:b/>
          <w:noProof/>
          <w:sz w:val="24"/>
          <w:szCs w:val="24"/>
        </w:rPr>
      </w:pPr>
      <w:r>
        <w:rPr>
          <w:rFonts w:ascii="Times New Roman" w:hAnsi="Times New Roman"/>
          <w:noProof/>
          <w:sz w:val="24"/>
        </w:rPr>
        <w:t>În ceea ce privește resursele financiare (în afară de costurile asociate cu personalul), 14 state membre au raportat că dispun de un buget pentru activități precum:</w:t>
      </w:r>
      <w:r>
        <w:rPr>
          <w:rFonts w:ascii="Times New Roman" w:hAnsi="Times New Roman"/>
          <w:noProof/>
          <w:sz w:val="24"/>
          <w:vertAlign w:val="subscript"/>
        </w:rPr>
        <w:t xml:space="preserve"> </w:t>
      </w:r>
      <w:r>
        <w:rPr>
          <w:rFonts w:ascii="Times New Roman" w:hAnsi="Times New Roman"/>
          <w:noProof/>
          <w:sz w:val="24"/>
        </w:rPr>
        <w:t>cooperarea, sensibilizarea, consolidarea capacităților, raportarea; în medie, bugetele anuale sunt limitate, variind aproximativ între 1 500 și 60 000 EUR, foarte puține țări raportând bugete de 100 000 EUR sau mai mari.</w:t>
      </w:r>
      <w:r>
        <w:rPr>
          <w:noProof/>
        </w:rPr>
        <w:br w:type="page"/>
      </w:r>
    </w:p>
    <w:p>
      <w:pPr>
        <w:spacing w:afterLines="120" w:after="288" w:line="240" w:lineRule="auto"/>
        <w:jc w:val="both"/>
        <w:outlineLvl w:val="0"/>
        <w:rPr>
          <w:rFonts w:ascii="Times New Roman" w:eastAsia="Times New Roman" w:hAnsi="Times New Roman"/>
          <w:noProof/>
          <w:sz w:val="24"/>
          <w:szCs w:val="24"/>
        </w:rPr>
      </w:pPr>
      <w:r>
        <w:rPr>
          <w:rFonts w:ascii="Times New Roman" w:hAnsi="Times New Roman"/>
          <w:b/>
          <w:noProof/>
          <w:sz w:val="24"/>
        </w:rPr>
        <w:t>2.2</w:t>
      </w:r>
      <w:r>
        <w:rPr>
          <w:rFonts w:ascii="Times New Roman" w:hAnsi="Times New Roman"/>
          <w:noProof/>
          <w:sz w:val="24"/>
        </w:rPr>
        <w:t xml:space="preserve"> </w:t>
      </w:r>
      <w:r>
        <w:rPr>
          <w:rFonts w:ascii="Times New Roman" w:hAnsi="Times New Roman"/>
          <w:b/>
          <w:noProof/>
          <w:sz w:val="24"/>
        </w:rPr>
        <w:t>Măsuri administrative: monitorizare și controale ale respectării de către utilizatori a obligațiilor lor</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2.2.1 Monitorizarea respectării de către utilizatori a obligațiilor lor (puncte de control în temeiul articolului 7)</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În temeiul articolului 7 alineatul (1) din Regulamentul UE privind accesul și împărțirea beneficiilor, statele membre trebuie să solicite tuturor beneficiarilor de fonduri pentru cercetare care presupun utilizarea de resurse genetice și cunoștințe tradiționale asociate cu resursele genetice să declare că exercită diligența necesară în conformitate cu articolul 4 (așa­numitul prim punct de control). 14 state membre</w:t>
      </w:r>
      <w:r>
        <w:rPr>
          <w:rStyle w:val="FootnoteReference"/>
          <w:rFonts w:ascii="Times New Roman" w:hAnsi="Times New Roman"/>
          <w:noProof/>
          <w:sz w:val="24"/>
        </w:rPr>
        <w:footnoteReference w:id="18"/>
      </w:r>
      <w:r>
        <w:rPr>
          <w:rFonts w:ascii="Times New Roman" w:hAnsi="Times New Roman"/>
          <w:noProof/>
          <w:sz w:val="24"/>
        </w:rPr>
        <w:t xml:space="preserve"> au raportat faptul că au adoptat măsuri în acest scop, printre care se numără: </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un anunț pe site-ul web;</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o lege sau o altă măsură legislativă;</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 xml:space="preserve">o solicitare directă; </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o combinație de măsuri diferite: o dispoziție legală și o solicitare directă sau un anunț pe site-ul web și o solicitare directă.</w:t>
      </w:r>
    </w:p>
    <w:p>
      <w:pPr>
        <w:spacing w:before="100" w:beforeAutospacing="1" w:afterLines="120" w:after="288" w:line="240" w:lineRule="auto"/>
        <w:jc w:val="both"/>
        <w:rPr>
          <w:rFonts w:ascii="Times New Roman" w:hAnsi="Times New Roman"/>
          <w:noProof/>
          <w:sz w:val="24"/>
          <w:szCs w:val="24"/>
          <w:u w:color="12282C"/>
        </w:rPr>
      </w:pPr>
      <w:r>
        <w:rPr>
          <w:rFonts w:ascii="Times New Roman" w:hAnsi="Times New Roman"/>
          <w:noProof/>
          <w:sz w:val="24"/>
          <w:u w:color="12282C"/>
        </w:rPr>
        <w:t>Comisia pune, de asemenea, în aplicare articolul 7 alineatul (1). Aplicația online din portalul Orizont 2020 include o alertă de a le impune solicitanților să depună declarații privind diligența necesară în cazul în care aplicația se referă la fonduri pentru o activitate de cercetare care presupune utilizarea de resurse genetice sau cunoștințe tradiționale asociate cu resursele genetice</w:t>
      </w:r>
      <w:r>
        <w:rPr>
          <w:rStyle w:val="FootnoteReference"/>
          <w:rFonts w:ascii="Times New Roman" w:hAnsi="Times New Roman"/>
          <w:noProof/>
          <w:sz w:val="24"/>
          <w:u w:color="12282C"/>
        </w:rPr>
        <w:footnoteReference w:id="19"/>
      </w:r>
      <w:r>
        <w:rPr>
          <w:rFonts w:ascii="Times New Roman" w:hAnsi="Times New Roman"/>
          <w:noProof/>
          <w:sz w:val="24"/>
          <w:u w:color="12282C"/>
        </w:rPr>
        <w:t xml:space="preserve">. </w:t>
      </w:r>
    </w:p>
    <w:p>
      <w:pPr>
        <w:spacing w:before="100" w:beforeAutospacing="1" w:afterLines="120" w:after="288" w:line="240" w:lineRule="auto"/>
        <w:jc w:val="both"/>
        <w:rPr>
          <w:rFonts w:ascii="Times New Roman" w:eastAsia="+mj-ea" w:hAnsi="Times New Roman"/>
          <w:bCs/>
          <w:noProof/>
          <w:sz w:val="24"/>
          <w:szCs w:val="24"/>
        </w:rPr>
      </w:pPr>
      <w:r>
        <w:rPr>
          <w:rFonts w:ascii="Times New Roman" w:hAnsi="Times New Roman"/>
          <w:noProof/>
          <w:sz w:val="24"/>
          <w:u w:color="12282C"/>
        </w:rPr>
        <w:t xml:space="preserve">În temeiul articolului 7 alineatul (2), utilizatorii trebuie să declare </w:t>
      </w:r>
      <w:r>
        <w:rPr>
          <w:rFonts w:ascii="Times New Roman" w:hAnsi="Times New Roman"/>
          <w:noProof/>
          <w:color w:val="000000"/>
          <w:sz w:val="24"/>
        </w:rPr>
        <w:t>în etapa de dezvoltare finală a unui produs dezvoltat prin utilizarea de resurse genetice sau cunoștințe tradiționale asociate cu resursele genetice</w:t>
      </w:r>
      <w:r>
        <w:rPr>
          <w:rFonts w:ascii="Times New Roman" w:hAnsi="Times New Roman"/>
          <w:noProof/>
          <w:sz w:val="24"/>
        </w:rPr>
        <w:t xml:space="preserve"> că au îndeplinit obligațiile în conformitate cu articolul 4 (așa-numitul al doilea punct de control). Utilizatorii trebuie să transmită numărul de referință al certificatului de conformitate recunoscut la nivel internațional sau, în absența unui astfel de certificat, informațiile relevante (cum ar fi punctul de acces și descrierea resursei genetice accesate). În ambele cazuri, utilizatorii trebuie să furnizeze informații privind stabilirea condițiilor convenite de comun acord, după caz.</w:t>
      </w:r>
    </w:p>
    <w:p>
      <w:pPr>
        <w:pStyle w:val="CommentText"/>
        <w:spacing w:afterLines="120" w:after="288" w:line="240" w:lineRule="auto"/>
        <w:jc w:val="both"/>
        <w:rPr>
          <w:rFonts w:ascii="Times New Roman" w:hAnsi="Times New Roman"/>
          <w:noProof/>
          <w:sz w:val="24"/>
          <w:szCs w:val="24"/>
        </w:rPr>
      </w:pPr>
      <w:r>
        <w:rPr>
          <w:rFonts w:ascii="Times New Roman" w:hAnsi="Times New Roman"/>
          <w:noProof/>
          <w:sz w:val="24"/>
        </w:rPr>
        <w:t>Statele membre pot identifica puncte suplimentare de control în temeiul Protocolului de la Nagoya. Statele membre nu au desemnat puncte de control suplimentare care să depășească obligațiile prevăzute de articolul 7. Cu toate acestea, trebuie subliniat faptul că Franța, Germania și Spania prevăd un schimb de informații între Oficiile Naționale de Brevete și AC în cazul cererilor de brevete care presupun utilizarea de resurse genetice și/sau cunoștințe tradiționale asociate cu resursele genetice. În Franța și Germania, acest schimb de informații are rolul de a oferi asistență AC în cadrul verificărilor privind respectarea normelor, însă nu implică obligații suplimentare de transmitere a unei declarații privind diligența necesară. În Spania, depunerea unei cereri de brevet pe baza unor resurse genetice (în cazul în care intră sub incidența legislației spaniole privind accesul) implică obligația de transmitere a unei declarații privind diligența necesară către AC</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Lines="120" w:after="288" w:line="240" w:lineRule="auto"/>
        <w:jc w:val="both"/>
        <w:rPr>
          <w:rFonts w:ascii="Times New Roman" w:eastAsia="+mj-ea" w:hAnsi="Times New Roman"/>
          <w:bCs/>
          <w:noProof/>
          <w:sz w:val="24"/>
          <w:szCs w:val="24"/>
        </w:rPr>
      </w:pPr>
      <w:r>
        <w:rPr>
          <w:rFonts w:ascii="Times New Roman" w:hAnsi="Times New Roman"/>
          <w:noProof/>
          <w:sz w:val="24"/>
        </w:rPr>
        <w:t>Comisia a dezvoltat un instrument online denumit DECLARE pentru a susține utilizatorii în procesul de transmitere a declarațiilor privind diligența necesară către AC respective și pentru a oferi asistență statelor membre în transmiterea declarațiilor către Comisie și Centrul pentru schimbul de informații privind accesul și împărțirea beneficiilor</w:t>
      </w:r>
      <w:r>
        <w:rPr>
          <w:rStyle w:val="FootnoteReference"/>
          <w:rFonts w:ascii="Times New Roman" w:hAnsi="Times New Roman"/>
          <w:noProof/>
          <w:sz w:val="24"/>
        </w:rPr>
        <w:footnoteReference w:id="21"/>
      </w:r>
      <w:r>
        <w:rPr>
          <w:rFonts w:ascii="Times New Roman" w:hAnsi="Times New Roman"/>
          <w:noProof/>
          <w:sz w:val="24"/>
        </w:rPr>
        <w:t>. DECLARE este complet funcțional pentru ambele puncte de control</w:t>
      </w:r>
      <w:r>
        <w:rPr>
          <w:rStyle w:val="FootnoteReference"/>
          <w:rFonts w:ascii="Times New Roman" w:hAnsi="Times New Roman"/>
          <w:noProof/>
          <w:sz w:val="24"/>
        </w:rPr>
        <w:footnoteReference w:id="22"/>
      </w:r>
      <w:r>
        <w:rPr>
          <w:rFonts w:ascii="Times New Roman" w:hAnsi="Times New Roman"/>
          <w:noProof/>
          <w:sz w:val="24"/>
        </w:rPr>
        <w:t>. Statele membre sunt încurajate să utilizeze DECLARE, însă au libertatea de a stabili sisteme naționale pentru depunerea declarațiilor privind diligența necesară sau de a depune declarațiile pe suport de hârtie. Două state membre au decis să dezvolte platforme IT naționale pentru depunerea declarațiilor privind diligența necesară, care să fie utilizate în locul DECLARE</w:t>
      </w:r>
      <w:r>
        <w:rPr>
          <w:rStyle w:val="FootnoteReference"/>
          <w:rFonts w:ascii="Times New Roman" w:hAnsi="Times New Roman"/>
          <w:noProof/>
          <w:sz w:val="24"/>
        </w:rPr>
        <w:footnoteReference w:id="23"/>
      </w:r>
      <w:r>
        <w:rPr>
          <w:rFonts w:ascii="Times New Roman" w:hAnsi="Times New Roman"/>
          <w:noProof/>
          <w:sz w:val="24"/>
        </w:rPr>
        <w:t xml:space="preserve">. </w:t>
      </w:r>
    </w:p>
    <w:p>
      <w:pPr>
        <w:spacing w:afterLines="120" w:after="288" w:line="240" w:lineRule="auto"/>
        <w:jc w:val="both"/>
        <w:rPr>
          <w:rFonts w:ascii="Times New Roman" w:hAnsi="Times New Roman"/>
          <w:noProof/>
          <w:sz w:val="24"/>
          <w:szCs w:val="24"/>
        </w:rPr>
      </w:pPr>
      <w:r>
        <w:rPr>
          <w:rFonts w:ascii="Times New Roman" w:hAnsi="Times New Roman"/>
          <w:noProof/>
          <w:sz w:val="24"/>
        </w:rPr>
        <w:t>Au fost depuse două declarații privind diligența necesară (către AC din Germania și Malta), ambele în 2018, folosind sistemul DECLARE. Acestea au fost transferate ulterior către ABSCH drept comunicate privind punctele de control, care au fost mai apoi transmise către țările furnizoare. La nivel internațional, acestea au fost primele comunicate privind punctele de control transmise către ABSCH. Astfel, s-a dovedit că sistemul instituit de către UE obține rezultatele planificate. Per ansamblu, UE și statele membre par să fie cei mai avansați actori în ceea ce privește punerea în aplicare a măsurilor de conformitate impuse prin Protocolul de la Nagoya</w:t>
      </w:r>
      <w:r>
        <w:rPr>
          <w:rStyle w:val="FootnoteReference"/>
          <w:rFonts w:ascii="Times New Roman" w:hAnsi="Times New Roman"/>
          <w:noProof/>
          <w:sz w:val="24"/>
        </w:rPr>
        <w:footnoteReference w:id="24"/>
      </w:r>
      <w:r>
        <w:rPr>
          <w:rFonts w:ascii="Times New Roman" w:hAnsi="Times New Roman"/>
          <w:noProof/>
          <w:sz w:val="24"/>
        </w:rPr>
        <w:t>.</w:t>
      </w:r>
    </w:p>
    <w:p>
      <w:pPr>
        <w:autoSpaceDE w:val="0"/>
        <w:autoSpaceDN w:val="0"/>
        <w:adjustRightInd w:val="0"/>
        <w:spacing w:after="0" w:line="240" w:lineRule="auto"/>
        <w:rPr>
          <w:rFonts w:ascii="MS Shell Dlg 2" w:hAnsi="MS Shell Dlg 2" w:cs="MS Shell Dlg 2"/>
          <w:noProof/>
          <w:sz w:val="17"/>
          <w:szCs w:val="17"/>
          <w:lang w:val="it-IT" w:bidi="ar-SA"/>
        </w:rPr>
      </w:pPr>
      <w:r>
        <w:rPr>
          <w:rFonts w:ascii="Times New Roman" w:hAnsi="Times New Roman"/>
          <w:b/>
          <w:noProof/>
          <w:sz w:val="24"/>
        </w:rPr>
        <w:t xml:space="preserve">2.2.2 Controale ale respectării de către utilizatori </w:t>
      </w:r>
      <w:r>
        <w:rPr>
          <w:rFonts w:ascii="Times New Roman" w:hAnsi="Times New Roman"/>
          <w:noProof/>
          <w:sz w:val="24"/>
          <w:szCs w:val="24"/>
          <w:lang w:bidi="ar-SA"/>
        </w:rPr>
        <w:t>[</w:t>
      </w:r>
      <w:r>
        <w:rPr>
          <w:rFonts w:ascii="Times New Roman" w:hAnsi="Times New Roman"/>
          <w:b/>
          <w:noProof/>
          <w:sz w:val="24"/>
        </w:rPr>
        <w:t>articolul 9 alineatul (3) litera (a)</w:t>
      </w:r>
      <w:r>
        <w:rPr>
          <w:rFonts w:ascii="Times New Roman" w:hAnsi="Times New Roman"/>
          <w:noProof/>
          <w:sz w:val="24"/>
          <w:szCs w:val="24"/>
          <w:lang w:bidi="ar-SA"/>
        </w:rPr>
        <w:t>]</w:t>
      </w:r>
    </w:p>
    <w:p>
      <w:pPr>
        <w:autoSpaceDE w:val="0"/>
        <w:autoSpaceDN w:val="0"/>
        <w:adjustRightInd w:val="0"/>
        <w:spacing w:after="0" w:line="240" w:lineRule="auto"/>
        <w:rPr>
          <w:rFonts w:ascii="MS Shell Dlg 2" w:hAnsi="MS Shell Dlg 2" w:cs="MS Shell Dlg 2"/>
          <w:noProof/>
          <w:sz w:val="17"/>
          <w:szCs w:val="17"/>
          <w:lang w:val="it-IT" w:bidi="ar-SA"/>
        </w:rPr>
      </w:pPr>
      <w:r>
        <w:rPr>
          <w:rFonts w:ascii="Times New Roman" w:hAnsi="Times New Roman"/>
          <w:b/>
          <w:noProof/>
          <w:sz w:val="24"/>
        </w:rPr>
        <w:t xml:space="preserve">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Articolul 9 alineatul (1) din Regulamentul UE privind accesul și împărțirea beneficiilor impune statelor membre să efectueze controale pentru a verifica dacă utilizatorii își respectă obligațiile privind diligența necesară. AC trebuie să efectueze controale în conformitate cu un plan revizuit periodic, elaborat prin folosirea unei abordări bazate pe riscuri, dar și atunci când se află în posesia unor informații relevante, inclusiv pe baza unor îngrijorări motivate ale unor părți terțe, privind nerespectarea de către un utilizator a prezentului regulament</w:t>
      </w:r>
      <w:r>
        <w:rPr>
          <w:rFonts w:ascii="Times New Roman" w:hAnsi="Times New Roman"/>
          <w:noProof/>
          <w:sz w:val="24"/>
          <w:vertAlign w:val="superscript"/>
        </w:rPr>
        <w:footnoteReference w:id="25"/>
      </w:r>
      <w:r>
        <w:rPr>
          <w:rFonts w:ascii="Times New Roman" w:hAnsi="Times New Roman"/>
          <w:noProof/>
          <w:sz w:val="24"/>
        </w:rPr>
        <w:t>.</w:t>
      </w:r>
      <w:r>
        <w:rPr>
          <w:rFonts w:ascii="Times New Roman" w:hAnsi="Times New Roman"/>
          <w:noProof/>
          <w:sz w:val="24"/>
          <w:vertAlign w:val="superscript"/>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Cinci state membre au raportat faptul că au dezvoltat planuri de abordare bazate pe riscuri pentru efectuarea controalelor</w:t>
      </w:r>
      <w:r>
        <w:rPr>
          <w:rStyle w:val="FootnoteReference"/>
          <w:rFonts w:ascii="Times New Roman" w:hAnsi="Times New Roman"/>
          <w:noProof/>
          <w:sz w:val="24"/>
        </w:rPr>
        <w:footnoteReference w:id="26"/>
      </w:r>
      <w:r>
        <w:rPr>
          <w:rFonts w:ascii="Times New Roman" w:hAnsi="Times New Roman"/>
          <w:noProof/>
          <w:sz w:val="24"/>
        </w:rPr>
        <w:t>. Factorii de risc pot include caracteristicile utilizatorilor de resurse genetice (sectoare și activități; dimensiunea întreprinderii; nivelul de sensibilizare privind accesul și împărțirea beneficiilor; resursele interne). Majoritatea statelor membre au raportat faptul că au demarat procesul de elaborare a planurilor respective, în special prin realizarea unor analize de risc în vederea identificării factorilor de risc și a utilizatorilor potențiali pentru efectuarea controalelor. În cadrul unei reuniuni a AC responsabile pentru accesul și împărțirea beneficiilor organizate de către AC din Germania în aprilie 2018, câteva state membre au prezentat progrese semnificative înregistrate în ceea ce privește dezvoltarea planurilor pentru efectuarea controalelor</w:t>
      </w:r>
      <w:r>
        <w:rPr>
          <w:rFonts w:ascii="Times New Roman" w:hAnsi="Times New Roman"/>
          <w:noProof/>
          <w:sz w:val="24"/>
          <w:vertAlign w:val="superscript"/>
        </w:rPr>
        <w:footnoteReference w:id="27"/>
      </w:r>
      <w:r>
        <w:rPr>
          <w:rFonts w:ascii="Times New Roman" w:hAnsi="Times New Roman"/>
          <w:noProof/>
          <w:sz w:val="24"/>
        </w:rPr>
        <w:t>.</w:t>
      </w:r>
      <w:r>
        <w:rPr>
          <w:rFonts w:ascii="Times New Roman" w:hAnsi="Times New Roman"/>
          <w:noProof/>
          <w:sz w:val="24"/>
          <w:vertAlign w:val="superscript"/>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Patru state membre au raportat faptul că AC au efectuat controale</w:t>
      </w:r>
      <w:r>
        <w:rPr>
          <w:rFonts w:ascii="Times New Roman" w:hAnsi="Times New Roman"/>
          <w:noProof/>
          <w:sz w:val="24"/>
          <w:vertAlign w:val="superscript"/>
        </w:rPr>
        <w:footnoteReference w:id="28"/>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rPr>
        <w:t>inclusiv vizite și inspecții la fața locului. Nu s-au identificat încălcări sau nereguli asociate obligațiilor privind diligența necesară.</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 xml:space="preserve">2.3 Măsuri legislative: sancțiuni pentru încălcări ale Regulamentului UE privind accesul și împărțirea beneficiilor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Articolul 11 din Regulamentul UE privind accesul și împărțirea beneficiilor impune statelor membre să adopte reguli privind sancțiunile care se aplică în cazul încălcării articolelor 4 (obligațiile de diligență necesară ale utilizatorilor) și 7 (depunerea declarației privind diligența necesară) până în iunie 2015. Douăzeci și unu de state membre au raportat adoptarea de măsuri privind sancțiunile care se aplică în cazul încălcării obligațiilor din regulament</w:t>
      </w:r>
      <w:r>
        <w:rPr>
          <w:rStyle w:val="FootnoteReference"/>
          <w:rFonts w:ascii="Times New Roman" w:hAnsi="Times New Roman"/>
          <w:noProof/>
          <w:sz w:val="24"/>
        </w:rPr>
        <w:footnoteReference w:id="29"/>
      </w:r>
      <w:r>
        <w:rPr>
          <w:rFonts w:ascii="Times New Roman" w:hAnsi="Times New Roman"/>
          <w:noProof/>
          <w:sz w:val="24"/>
        </w:rPr>
        <w:t xml:space="preserve"> și se observă o varietate de măsuri legislative (sancțiunile ținând de dreptul administrativ și de dreptul penal). În majoritatea cazurilor, statele membre au introdus în cadrul juridic intern noi sancțiuni pentru a aborda încălcările regulamentului; în conceperea sancțiunilor, s-au bazat adesea pe parametrii (tipuri și nivel) sancțiunilor administrative sau penale existente în domeniul mediului. În 15 state membre există dispoziții privind notificarea măsurilor de remediere (și anume: în cazul neregulilor sau al documentației incomplete). Nouăsprezece state membre au aplicat sancțiuni administrative, în timp ce în șapte state membre încălcarea anumitor obligații din regulament constituie o infracțiune (a se vedea tabelul 1 în continuare). În unele cazuri, opțiunile sunt combinate: pentru încălcări de importanță medie sau redusă, sunt stabilite amenzi administrative, în timp ce pentru încălcările grave se aplică sancțiuni penale. Un stat membru a introdus o sancțiune suplimentară constând în reținerea proporțională a profitului derivat din utilizarea resurselor genetice</w:t>
      </w:r>
      <w:r>
        <w:rPr>
          <w:rStyle w:val="FootnoteReference"/>
          <w:rFonts w:ascii="Times New Roman" w:hAnsi="Times New Roman"/>
          <w:noProof/>
          <w:sz w:val="24"/>
        </w:rPr>
        <w:footnoteReference w:id="30"/>
      </w:r>
      <w:r>
        <w:rPr>
          <w:rFonts w:ascii="Times New Roman" w:hAnsi="Times New Roman"/>
          <w:noProof/>
          <w:sz w:val="24"/>
        </w:rPr>
        <w:t>. De asemenea, două state membre au stabilit măsuri complementare cum ar fi interzicerea utilizării pentru un anumit interval de timp, anularea activităților de cercetare sau comercializare sau confiscarea resurselor genetice</w:t>
      </w:r>
      <w:r>
        <w:rPr>
          <w:rStyle w:val="FootnoteReference"/>
          <w:rFonts w:ascii="Times New Roman" w:hAnsi="Times New Roman"/>
          <w:noProof/>
          <w:sz w:val="24"/>
        </w:rPr>
        <w:footnoteReference w:id="31"/>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b/>
          <w:noProof/>
          <w:sz w:val="24"/>
        </w:rPr>
        <w:t>Tabelul 1.</w:t>
      </w:r>
      <w:r>
        <w:rPr>
          <w:rFonts w:ascii="Times New Roman" w:hAnsi="Times New Roman"/>
          <w:noProof/>
          <w:sz w:val="24"/>
        </w:rPr>
        <w:t xml:space="preserve"> Sancțiuni în temeiul articolului 11 din Regulamentul UE privind accesul și împărțirea beneficiilor în 21 de state membre</w:t>
      </w:r>
    </w:p>
    <w:tbl>
      <w:tblPr>
        <w:tblpPr w:leftFromText="180" w:rightFromText="180" w:vertAnchor="text" w:horzAnchor="margin" w:tblpY="47"/>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99"/>
        <w:gridCol w:w="5313"/>
        <w:gridCol w:w="2155"/>
      </w:tblGrid>
      <w:tr>
        <w:trPr>
          <w:trHeight w:val="38"/>
        </w:trPr>
        <w:tc>
          <w:tcPr>
            <w:tcW w:w="1299" w:type="dxa"/>
            <w:shd w:val="clear" w:color="auto" w:fill="F8FCFC"/>
            <w:vAlign w:val="center"/>
          </w:tcPr>
          <w:p>
            <w:pPr>
              <w:pStyle w:val="NormalWeb"/>
              <w:spacing w:before="0" w:beforeAutospacing="0" w:afterLines="120" w:after="288" w:afterAutospacing="0"/>
              <w:jc w:val="center"/>
              <w:rPr>
                <w:b/>
                <w:bCs/>
                <w:noProof/>
                <w:color w:val="000000"/>
                <w:kern w:val="24"/>
              </w:rPr>
            </w:pPr>
            <w:r>
              <w:rPr>
                <w:b/>
                <w:noProof/>
              </w:rPr>
              <w:t>Tipul sancțiunii</w:t>
            </w:r>
          </w:p>
        </w:tc>
        <w:tc>
          <w:tcPr>
            <w:tcW w:w="5313"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rPr>
            </w:pPr>
            <w:r>
              <w:rPr>
                <w:b/>
                <w:noProof/>
              </w:rPr>
              <w:t>State membre</w:t>
            </w:r>
          </w:p>
        </w:tc>
        <w:tc>
          <w:tcPr>
            <w:tcW w:w="2155"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rPr>
            </w:pPr>
            <w:r>
              <w:rPr>
                <w:b/>
                <w:noProof/>
              </w:rPr>
              <w:t>Nivelul sancțiunilor</w:t>
            </w:r>
          </w:p>
        </w:tc>
      </w:tr>
      <w:tr>
        <w:trPr>
          <w:trHeight w:val="134"/>
        </w:trPr>
        <w:tc>
          <w:tcPr>
            <w:tcW w:w="1299" w:type="dxa"/>
            <w:shd w:val="clear" w:color="auto" w:fill="F1F8F9"/>
            <w:vAlign w:val="center"/>
          </w:tcPr>
          <w:p>
            <w:pPr>
              <w:pStyle w:val="NormalWeb"/>
              <w:spacing w:before="0" w:beforeAutospacing="0" w:afterLines="120" w:after="288" w:afterAutospacing="0"/>
              <w:jc w:val="center"/>
              <w:rPr>
                <w:noProof/>
                <w:color w:val="000000"/>
                <w:kern w:val="24"/>
                <w:sz w:val="20"/>
                <w:szCs w:val="20"/>
              </w:rPr>
            </w:pPr>
            <w:r>
              <w:rPr>
                <w:b/>
                <w:noProof/>
                <w:color w:val="000000"/>
                <w:kern w:val="24"/>
                <w:sz w:val="20"/>
              </w:rPr>
              <w:t>Notificarea măsurilor de remediere</w:t>
            </w:r>
          </w:p>
        </w:tc>
        <w:tc>
          <w:tcPr>
            <w:tcW w:w="5313" w:type="dxa"/>
            <w:shd w:val="clear" w:color="auto" w:fill="F1F8F9"/>
            <w:tcMar>
              <w:top w:w="15" w:type="dxa"/>
              <w:left w:w="108" w:type="dxa"/>
              <w:bottom w:w="0" w:type="dxa"/>
              <w:right w:w="108" w:type="dxa"/>
            </w:tcMar>
            <w:vAlign w:val="center"/>
            <w:hideMark/>
          </w:tcPr>
          <w:p>
            <w:pPr>
              <w:pStyle w:val="NormalWeb"/>
              <w:spacing w:before="0" w:beforeAutospacing="0" w:afterLines="120" w:after="288" w:afterAutospacing="0"/>
              <w:jc w:val="center"/>
              <w:rPr>
                <w:b/>
                <w:bCs/>
                <w:i/>
                <w:iCs/>
                <w:noProof/>
                <w:color w:val="000000"/>
                <w:kern w:val="24"/>
                <w:sz w:val="20"/>
                <w:szCs w:val="20"/>
              </w:rPr>
            </w:pPr>
            <w:r>
              <w:rPr>
                <w:noProof/>
                <w:color w:val="000000"/>
                <w:kern w:val="24"/>
                <w:sz w:val="20"/>
              </w:rPr>
              <w:t>16 SM</w:t>
            </w:r>
          </w:p>
          <w:p>
            <w:pPr>
              <w:pStyle w:val="NormalWeb"/>
              <w:spacing w:before="0" w:beforeAutospacing="0" w:afterLines="120" w:after="288" w:afterAutospacing="0"/>
              <w:jc w:val="center"/>
              <w:rPr>
                <w:noProof/>
                <w:sz w:val="20"/>
                <w:szCs w:val="20"/>
              </w:rPr>
            </w:pPr>
            <w:r>
              <w:rPr>
                <w:noProof/>
                <w:color w:val="000000"/>
                <w:kern w:val="24"/>
                <w:sz w:val="20"/>
              </w:rPr>
              <w:t>(BG, CY, DE, DK, ES, FI, FR, HU, MT, NL, PL, PT, SE, SI, SK, UK)</w:t>
            </w:r>
          </w:p>
        </w:tc>
        <w:tc>
          <w:tcPr>
            <w:tcW w:w="2155" w:type="dxa"/>
            <w:shd w:val="clear" w:color="auto" w:fill="F1F8F9"/>
            <w:tcMar>
              <w:top w:w="15" w:type="dxa"/>
              <w:left w:w="108" w:type="dxa"/>
              <w:bottom w:w="0" w:type="dxa"/>
              <w:right w:w="108" w:type="dxa"/>
            </w:tcMar>
            <w:vAlign w:val="center"/>
            <w:hideMark/>
          </w:tcPr>
          <w:p>
            <w:pPr>
              <w:pStyle w:val="NormalWeb"/>
              <w:spacing w:before="0" w:beforeAutospacing="0" w:afterLines="120" w:after="288" w:afterAutospacing="0"/>
              <w:jc w:val="center"/>
              <w:rPr>
                <w:noProof/>
                <w:sz w:val="20"/>
                <w:szCs w:val="20"/>
              </w:rPr>
            </w:pPr>
          </w:p>
        </w:tc>
      </w:tr>
      <w:tr>
        <w:trPr>
          <w:trHeight w:val="148"/>
        </w:trPr>
        <w:tc>
          <w:tcPr>
            <w:tcW w:w="1299" w:type="dxa"/>
            <w:shd w:val="clear" w:color="auto" w:fill="F8FCFC"/>
            <w:vAlign w:val="center"/>
          </w:tcPr>
          <w:p>
            <w:pPr>
              <w:spacing w:afterLines="120" w:after="288" w:line="240" w:lineRule="auto"/>
              <w:jc w:val="center"/>
              <w:rPr>
                <w:rFonts w:ascii="Times New Roman" w:hAnsi="Times New Roman"/>
                <w:noProof/>
                <w:sz w:val="20"/>
                <w:szCs w:val="20"/>
              </w:rPr>
            </w:pPr>
            <w:r>
              <w:rPr>
                <w:rFonts w:ascii="Times New Roman" w:hAnsi="Times New Roman"/>
                <w:b/>
                <w:noProof/>
                <w:color w:val="000000"/>
                <w:kern w:val="24"/>
                <w:sz w:val="20"/>
              </w:rPr>
              <w:t>Amenzi administrative</w:t>
            </w:r>
          </w:p>
        </w:tc>
        <w:tc>
          <w:tcPr>
            <w:tcW w:w="5313"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sz w:val="20"/>
                <w:szCs w:val="20"/>
              </w:rPr>
            </w:pPr>
            <w:r>
              <w:rPr>
                <w:noProof/>
                <w:color w:val="000000"/>
                <w:kern w:val="24"/>
                <w:sz w:val="20"/>
              </w:rPr>
              <w:t>19 SM</w:t>
            </w:r>
          </w:p>
          <w:p>
            <w:pPr>
              <w:spacing w:afterLines="120" w:after="288" w:line="240" w:lineRule="auto"/>
              <w:jc w:val="center"/>
              <w:rPr>
                <w:rFonts w:ascii="Times New Roman" w:hAnsi="Times New Roman"/>
                <w:noProof/>
                <w:sz w:val="20"/>
                <w:szCs w:val="20"/>
              </w:rPr>
            </w:pPr>
            <w:r>
              <w:rPr>
                <w:rFonts w:ascii="Times New Roman" w:hAnsi="Times New Roman"/>
                <w:noProof/>
                <w:color w:val="000000"/>
                <w:kern w:val="24"/>
                <w:sz w:val="20"/>
              </w:rPr>
              <w:t>(BG, DE, EE, ES, FI, FR, HR, HU, LT, LU, MT, NL, PL, PT, RO, SE, SI, SK, UK)</w:t>
            </w:r>
          </w:p>
        </w:tc>
        <w:tc>
          <w:tcPr>
            <w:tcW w:w="2155"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color w:val="000000"/>
                <w:kern w:val="24"/>
                <w:sz w:val="20"/>
                <w:szCs w:val="20"/>
              </w:rPr>
            </w:pPr>
            <w:r>
              <w:rPr>
                <w:noProof/>
                <w:color w:val="000000"/>
                <w:kern w:val="24"/>
                <w:sz w:val="20"/>
              </w:rPr>
              <w:t>Între 40 EUR</w:t>
            </w:r>
          </w:p>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și 2 000 000 EUR </w:t>
            </w:r>
          </w:p>
        </w:tc>
      </w:tr>
      <w:tr>
        <w:trPr>
          <w:trHeight w:val="148"/>
        </w:trPr>
        <w:tc>
          <w:tcPr>
            <w:tcW w:w="1299" w:type="dxa"/>
            <w:shd w:val="clear" w:color="auto" w:fill="F8FCFC"/>
            <w:vAlign w:val="center"/>
          </w:tcPr>
          <w:p>
            <w:pPr>
              <w:spacing w:afterLines="120" w:after="288" w:line="240" w:lineRule="auto"/>
              <w:jc w:val="center"/>
              <w:rPr>
                <w:rFonts w:ascii="Times New Roman" w:hAnsi="Times New Roman"/>
                <w:noProof/>
                <w:sz w:val="20"/>
                <w:szCs w:val="20"/>
              </w:rPr>
            </w:pPr>
            <w:r>
              <w:rPr>
                <w:rFonts w:ascii="Times New Roman" w:hAnsi="Times New Roman"/>
                <w:b/>
                <w:noProof/>
                <w:color w:val="000000"/>
                <w:kern w:val="24"/>
                <w:sz w:val="20"/>
              </w:rPr>
              <w:t>Sancțiuni penale</w:t>
            </w:r>
          </w:p>
        </w:tc>
        <w:tc>
          <w:tcPr>
            <w:tcW w:w="5313"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sz w:val="20"/>
                <w:szCs w:val="20"/>
              </w:rPr>
            </w:pPr>
            <w:r>
              <w:rPr>
                <w:noProof/>
                <w:color w:val="000000"/>
                <w:kern w:val="24"/>
                <w:sz w:val="20"/>
              </w:rPr>
              <w:t>8 SM</w:t>
            </w:r>
          </w:p>
          <w:p>
            <w:pPr>
              <w:spacing w:afterLines="120" w:after="288" w:line="240" w:lineRule="auto"/>
              <w:jc w:val="center"/>
              <w:rPr>
                <w:rFonts w:ascii="Times New Roman" w:hAnsi="Times New Roman"/>
                <w:noProof/>
                <w:sz w:val="20"/>
                <w:szCs w:val="20"/>
              </w:rPr>
            </w:pPr>
            <w:r>
              <w:rPr>
                <w:rFonts w:ascii="Times New Roman" w:hAnsi="Times New Roman"/>
                <w:noProof/>
                <w:color w:val="000000"/>
                <w:kern w:val="24"/>
                <w:sz w:val="20"/>
              </w:rPr>
              <w:t>(CY, DK, FI, LU, MT, NL, SE, UK)</w:t>
            </w:r>
          </w:p>
        </w:tc>
        <w:tc>
          <w:tcPr>
            <w:tcW w:w="2155" w:type="dxa"/>
            <w:tcBorders>
              <w:bottom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De la amenzi la pedepse cu închisoarea</w:t>
            </w:r>
          </w:p>
        </w:tc>
      </w:tr>
      <w:tr>
        <w:trPr>
          <w:trHeight w:val="148"/>
        </w:trPr>
        <w:tc>
          <w:tcPr>
            <w:tcW w:w="1299" w:type="dxa"/>
            <w:vMerge w:val="restart"/>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r>
              <w:rPr>
                <w:rFonts w:ascii="Times New Roman" w:hAnsi="Times New Roman"/>
                <w:b/>
                <w:noProof/>
                <w:color w:val="000000"/>
                <w:kern w:val="24"/>
                <w:sz w:val="20"/>
              </w:rPr>
              <w:t>Măsuri suplimentare</w:t>
            </w:r>
          </w:p>
        </w:tc>
        <w:tc>
          <w:tcPr>
            <w:tcW w:w="5313"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3 SM</w:t>
            </w:r>
          </w:p>
        </w:tc>
        <w:tc>
          <w:tcPr>
            <w:tcW w:w="2155"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p>
        </w:tc>
      </w:tr>
      <w:tr>
        <w:trPr>
          <w:trHeight w:val="749"/>
        </w:trPr>
        <w:tc>
          <w:tcPr>
            <w:tcW w:w="1299" w:type="dxa"/>
            <w:vMerge/>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p>
        </w:tc>
        <w:tc>
          <w:tcPr>
            <w:tcW w:w="5313" w:type="dxa"/>
            <w:tcBorders>
              <w:top w:val="dashed" w:sz="4" w:space="0" w:color="auto"/>
              <w:bottom w:val="dashed"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(DE: Reținerea unei cote din profit) </w:t>
            </w:r>
          </w:p>
        </w:tc>
        <w:tc>
          <w:tcPr>
            <w:tcW w:w="2155" w:type="dxa"/>
            <w:tcBorders>
              <w:top w:val="dashed" w:sz="4" w:space="0" w:color="auto"/>
              <w:left w:val="single" w:sz="4" w:space="0" w:color="auto"/>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sz w:val="20"/>
                <w:szCs w:val="20"/>
              </w:rPr>
            </w:pPr>
            <w:r>
              <w:rPr>
                <w:noProof/>
                <w:sz w:val="20"/>
              </w:rPr>
              <w:t xml:space="preserve">Fără valoare maximă a cotei din profit reținute </w:t>
            </w:r>
          </w:p>
        </w:tc>
      </w:tr>
      <w:tr>
        <w:trPr>
          <w:trHeight w:val="55"/>
        </w:trPr>
        <w:tc>
          <w:tcPr>
            <w:tcW w:w="1299" w:type="dxa"/>
            <w:vMerge/>
            <w:shd w:val="clear" w:color="auto" w:fill="F8FCFC"/>
            <w:vAlign w:val="center"/>
          </w:tcPr>
          <w:p>
            <w:pPr>
              <w:spacing w:afterLines="120" w:after="288" w:line="240" w:lineRule="auto"/>
              <w:jc w:val="center"/>
              <w:rPr>
                <w:rFonts w:ascii="Times New Roman" w:hAnsi="Times New Roman"/>
                <w:noProof/>
                <w:sz w:val="20"/>
                <w:szCs w:val="20"/>
              </w:rPr>
            </w:pPr>
          </w:p>
        </w:tc>
        <w:tc>
          <w:tcPr>
            <w:tcW w:w="5313" w:type="dxa"/>
            <w:tcBorders>
              <w:top w:val="dashed" w:sz="4" w:space="0" w:color="auto"/>
              <w:bottom w:val="dashed"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 (ES: interzicerea utilizării pentru un anumit interval de timp, anularea activităților de cercetare sau comercializare, confiscarea resurselor genetice) </w:t>
            </w:r>
          </w:p>
        </w:tc>
        <w:tc>
          <w:tcPr>
            <w:tcW w:w="2155" w:type="dxa"/>
            <w:tcBorders>
              <w:top w:val="dashed" w:sz="4" w:space="0" w:color="auto"/>
              <w:left w:val="single" w:sz="4" w:space="0" w:color="auto"/>
              <w:bottom w:val="dashed" w:sz="4" w:space="0" w:color="auto"/>
            </w:tcBorders>
            <w:shd w:val="clear" w:color="auto" w:fill="F8FCFC"/>
            <w:tcMar>
              <w:top w:w="15" w:type="dxa"/>
              <w:left w:w="108" w:type="dxa"/>
              <w:bottom w:w="0" w:type="dxa"/>
              <w:right w:w="108" w:type="dxa"/>
            </w:tcMar>
            <w:vAlign w:val="center"/>
          </w:tcPr>
          <w:p>
            <w:pPr>
              <w:jc w:val="center"/>
              <w:rPr>
                <w:noProof/>
              </w:rPr>
            </w:pPr>
          </w:p>
          <w:p>
            <w:pPr>
              <w:jc w:val="center"/>
              <w:rPr>
                <w:noProof/>
              </w:rPr>
            </w:pPr>
          </w:p>
        </w:tc>
      </w:tr>
      <w:tr>
        <w:trPr>
          <w:trHeight w:val="55"/>
        </w:trPr>
        <w:tc>
          <w:tcPr>
            <w:tcW w:w="1299" w:type="dxa"/>
            <w:vMerge/>
            <w:tcBorders>
              <w:bottom w:val="single" w:sz="4" w:space="0" w:color="auto"/>
            </w:tcBorders>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p>
        </w:tc>
        <w:tc>
          <w:tcPr>
            <w:tcW w:w="5313" w:type="dxa"/>
            <w:tcBorders>
              <w:top w:val="dashed" w:sz="4" w:space="0" w:color="auto"/>
              <w:bottom w:val="single"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(PT: confiscarea preventivă a materialului)</w:t>
            </w:r>
          </w:p>
        </w:tc>
        <w:tc>
          <w:tcPr>
            <w:tcW w:w="2155" w:type="dxa"/>
            <w:tcBorders>
              <w:top w:val="dashed" w:sz="4" w:space="0" w:color="auto"/>
              <w:left w:val="single" w:sz="4" w:space="0" w:color="auto"/>
              <w:bottom w:val="single" w:sz="4" w:space="0" w:color="auto"/>
            </w:tcBorders>
            <w:shd w:val="clear" w:color="auto" w:fill="F8FCFC"/>
            <w:tcMar>
              <w:top w:w="15" w:type="dxa"/>
              <w:left w:w="108" w:type="dxa"/>
              <w:bottom w:w="0" w:type="dxa"/>
              <w:right w:w="108" w:type="dxa"/>
            </w:tcMar>
            <w:vAlign w:val="center"/>
          </w:tcPr>
          <w:p>
            <w:pPr>
              <w:jc w:val="center"/>
              <w:rPr>
                <w:noProof/>
              </w:rPr>
            </w:pPr>
          </w:p>
        </w:tc>
      </w:tr>
    </w:tbl>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Factorii luați în calcul de statele membre pentru a determina nivelul sancțiunilor includ evaluarea caracterului adecvat al sancțiunilor naționale privind mediul deja existente. Până în prezent nu s-au aplicat sancțiuni (deoarece în urma controalelor nu s-au constatat încălcări ale regulamentului). </w:t>
      </w:r>
    </w:p>
    <w:p>
      <w:pPr>
        <w:spacing w:after="0" w:line="240" w:lineRule="auto"/>
        <w:rPr>
          <w:rFonts w:ascii="Times New Roman" w:eastAsia="MS Mincho" w:hAnsi="Times New Roman"/>
          <w:b/>
          <w:noProof/>
          <w:sz w:val="24"/>
          <w:szCs w:val="24"/>
        </w:rPr>
      </w:pPr>
      <w:r>
        <w:rPr>
          <w:rFonts w:ascii="Times New Roman" w:hAnsi="Times New Roman"/>
          <w:b/>
          <w:noProof/>
          <w:sz w:val="24"/>
        </w:rPr>
        <w:t>2.4 Măsuri voluntare</w:t>
      </w:r>
    </w:p>
    <w:p>
      <w:pPr>
        <w:spacing w:after="0" w:line="240" w:lineRule="auto"/>
        <w:rPr>
          <w:rFonts w:ascii="Times New Roman" w:eastAsia="MS Mincho" w:hAnsi="Times New Roman"/>
          <w:b/>
          <w:noProof/>
          <w:sz w:val="24"/>
          <w:szCs w:val="24"/>
        </w:rPr>
      </w:pPr>
    </w:p>
    <w:p>
      <w:pPr>
        <w:spacing w:after="0" w:line="240" w:lineRule="auto"/>
        <w:rPr>
          <w:rFonts w:ascii="Times New Roman" w:eastAsia="Times New Roman" w:hAnsi="Times New Roman"/>
          <w:b/>
          <w:noProof/>
          <w:sz w:val="24"/>
          <w:szCs w:val="24"/>
        </w:rPr>
      </w:pPr>
      <w:r>
        <w:rPr>
          <w:rFonts w:ascii="Times New Roman" w:hAnsi="Times New Roman"/>
          <w:b/>
          <w:noProof/>
          <w:sz w:val="24"/>
        </w:rPr>
        <w:t>2.4.1 Registrul colecțiilor</w:t>
      </w:r>
    </w:p>
    <w:p>
      <w:pPr>
        <w:widowControl w:val="0"/>
        <w:autoSpaceDE w:val="0"/>
        <w:autoSpaceDN w:val="0"/>
        <w:adjustRightInd w:val="0"/>
        <w:spacing w:afterLines="120" w:after="288" w:line="240" w:lineRule="auto"/>
        <w:jc w:val="both"/>
        <w:rPr>
          <w:rFonts w:ascii="Times New Roman" w:hAnsi="Times New Roman"/>
          <w:noProof/>
          <w:sz w:val="24"/>
          <w:szCs w:val="24"/>
        </w:rPr>
      </w:pP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Registrul colecțiilor în Uniune în temeiul articolului 5 este unul dintre cele două mecanisme voluntare prevăzute în Regulamentul UE privind accesul și împărțirea beneficiilor pentru a facilita respectarea obligațiilor impuse de acesta. Se preconizează că registrul va reduce nivelul de risc în ceea ce privește utilizarea în Uniune a unor resurse genetice dobândite ilegal</w:t>
      </w:r>
      <w:r>
        <w:rPr>
          <w:rStyle w:val="FootnoteReference"/>
          <w:rFonts w:ascii="Times New Roman" w:hAnsi="Times New Roman"/>
          <w:noProof/>
          <w:sz w:val="24"/>
        </w:rPr>
        <w:footnoteReference w:id="32"/>
      </w:r>
      <w:r>
        <w:rPr>
          <w:rFonts w:ascii="Times New Roman" w:hAnsi="Times New Roman"/>
          <w:noProof/>
          <w:sz w:val="24"/>
        </w:rPr>
        <w:t>. Se consideră că utilizatorii care obțin o resursă genetică dintr-o colecție inclusă în registrul colecțiilor din cadrul Uniunii au exercitat diligența necesară în ceea ce privește căutarea informațiilor enumerate la articolul 4 alineatul (3)</w:t>
      </w:r>
      <w:r>
        <w:rPr>
          <w:rStyle w:val="FootnoteReference"/>
          <w:rFonts w:ascii="Times New Roman" w:hAnsi="Times New Roman"/>
          <w:noProof/>
          <w:sz w:val="24"/>
        </w:rPr>
        <w:footnoteReference w:id="33"/>
      </w:r>
      <w:r>
        <w:rPr>
          <w:rFonts w:ascii="Times New Roman" w:hAnsi="Times New Roman"/>
          <w:noProof/>
          <w:sz w:val="24"/>
        </w:rPr>
        <w:t>.</w:t>
      </w: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Registrul este înființat și gestionat de către Comisie. La solicitarea titularului unei colecții aflat sub jurisdicția acestora, AC ale statelor membre vor verifica dacă această colecție îndeplinește criteriile de includere în registru [enumerate la articolul 5 alineatul (3)]. Statele membre au raportat puține cazuri de interes pentru a deveni colecție din registru: în majoritatea cazurilor, aceste manifestări ale interesului au fost reprezentate de solicitări de informații privind procedura de depunere a cererii și care sunt costurile și beneficiile asociate înregistrării colecției</w:t>
      </w:r>
      <w:r>
        <w:rPr>
          <w:rStyle w:val="FootnoteReference"/>
          <w:rFonts w:ascii="Times New Roman" w:hAnsi="Times New Roman"/>
          <w:noProof/>
          <w:sz w:val="24"/>
        </w:rPr>
        <w:footnoteReference w:id="34"/>
      </w:r>
      <w:r>
        <w:rPr>
          <w:rStyle w:val="FootnoteReference"/>
          <w:rFonts w:ascii="Times New Roman" w:hAnsi="Times New Roman"/>
          <w:noProof/>
          <w:sz w:val="24"/>
        </w:rPr>
        <w:t>.</w:t>
      </w:r>
      <w:r>
        <w:rPr>
          <w:rFonts w:ascii="Times New Roman" w:hAnsi="Times New Roman"/>
          <w:noProof/>
          <w:sz w:val="24"/>
        </w:rPr>
        <w:t xml:space="preserve"> În Germania, unei colecții i s-a acordat statutul de colecție înregistrată în 2018. În plus, Malta a raportat primirea unei cereri în 2018, însă în urma evaluării s-a constatat că aceasta nu îndeplinește criteriile prevăzute la articolul 5 din regulament. </w:t>
      </w:r>
    </w:p>
    <w:p>
      <w:pPr>
        <w:keepNext/>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2.4.2 Recunoașterea celor mai bune practici</w:t>
      </w: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Al doilea instrument voluntar prevăzut în Regulamentul UE privind accesul și împărțirea beneficiilor pentru a facilita respectarea acestuia este recunoașterea celor mai bune practici</w:t>
      </w:r>
      <w:r>
        <w:rPr>
          <w:rStyle w:val="FootnoteReference"/>
          <w:rFonts w:ascii="Times New Roman" w:hAnsi="Times New Roman"/>
          <w:noProof/>
          <w:sz w:val="24"/>
        </w:rPr>
        <w:footnoteReference w:id="35"/>
      </w:r>
      <w:r>
        <w:rPr>
          <w:rFonts w:ascii="Times New Roman" w:hAnsi="Times New Roman"/>
          <w:noProof/>
          <w:sz w:val="24"/>
        </w:rPr>
        <w:t>. Asociațiile de utilizatori sau alte părți interesate pot depune o cerere către Comisie în vederea recunoașterii unei combinații de proceduri, instrumente sau mecanisme, pe care au dezvoltat-o și asupra căreia exercită supraveghere, ca făcând parte din categoria celor mai bune practici, în conformitate cu cerințele din regulament. AC din statele membre ar putea să considere că punerea în aplicare de către un utilizator a unei bune practici recunoscute reduce riscul de nerespectare a normelor de către utilizator și justifică reducerea controalelor privind respectarea normelor.</w:t>
      </w:r>
    </w:p>
    <w:p>
      <w:pPr>
        <w:spacing w:afterLines="120" w:after="288" w:line="240" w:lineRule="auto"/>
        <w:jc w:val="both"/>
        <w:rPr>
          <w:rFonts w:ascii="Times New Roman" w:eastAsia="Times New Roman" w:hAnsi="Times New Roman"/>
          <w:b/>
          <w:noProof/>
          <w:sz w:val="24"/>
          <w:szCs w:val="24"/>
        </w:rPr>
      </w:pPr>
      <w:r>
        <w:rPr>
          <w:rFonts w:ascii="Times New Roman" w:hAnsi="Times New Roman"/>
          <w:noProof/>
          <w:sz w:val="24"/>
        </w:rPr>
        <w:t>Comisia a primit trei cereri privind recunoașterea celor mai bune practici. Solicitanților li s-au transmis comentarii privind cele trei cereri, după consultarea cu statele membre. Doi solicitanți nu s-au adresat din nou Comisiei după primirea răspunsului inițial și au decis să aștepte finalizarea activităților privind documentele de orientare</w:t>
      </w:r>
      <w:r>
        <w:rPr>
          <w:rStyle w:val="FootnoteReference"/>
          <w:rFonts w:ascii="Times New Roman" w:hAnsi="Times New Roman"/>
          <w:noProof/>
          <w:sz w:val="24"/>
        </w:rPr>
        <w:footnoteReference w:id="36"/>
      </w:r>
      <w:r>
        <w:rPr>
          <w:rFonts w:ascii="Times New Roman" w:hAnsi="Times New Roman"/>
          <w:noProof/>
          <w:sz w:val="24"/>
        </w:rPr>
        <w:t xml:space="preserve"> înainte de a lua alte măsuri. Un solicitant a întreținut un dialog cu Comisia în vederea recunoașterii celei mai bune practici. Procedura este în derulare.</w:t>
      </w:r>
      <w:r>
        <w:rPr>
          <w:rStyle w:val="FootnoteReference"/>
          <w:rFonts w:ascii="Times New Roman" w:hAnsi="Times New Roman"/>
          <w:noProof/>
          <w:sz w:val="24"/>
        </w:rPr>
        <w:t xml:space="preserve"> </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 xml:space="preserve">2.5 Cooperare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Articolul 12 din Regulamentul UE privind accesul și împărțirea beneficiilor prevede că AC din statele membre trebuie să coopereze între ele și cu Comisia, dar și cu autoritățile naționale competente din țări terțe cu privire la punerea în aplicare a Protocolului de la Nagoya.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14 state membre au raportat existența unui schimb de mesaje electronice și alte activități ca modalități de cooperare cu alte AC</w:t>
      </w:r>
      <w:r>
        <w:rPr>
          <w:rStyle w:val="FootnoteReference"/>
          <w:rFonts w:ascii="Times New Roman" w:hAnsi="Times New Roman"/>
          <w:noProof/>
          <w:sz w:val="24"/>
        </w:rPr>
        <w:footnoteReference w:id="37"/>
      </w:r>
      <w:r>
        <w:rPr>
          <w:rFonts w:ascii="Times New Roman" w:hAnsi="Times New Roman"/>
          <w:noProof/>
          <w:sz w:val="24"/>
        </w:rPr>
        <w:t>. Aceste activități includ: organizarea și participarea la ateliere, reuniuni informale ale AC, actualizări cu ocazia reuniunilor grupului de experți privind accesul și împărțirea beneficiilor de la Bruxelles, schimbul reciproc de informații și experiențe relevante (prin e-mail și prin intermediul platformei IT special înființate de Comisie</w:t>
      </w:r>
      <w:r>
        <w:rPr>
          <w:rStyle w:val="FootnoteReference"/>
          <w:rFonts w:ascii="Times New Roman" w:hAnsi="Times New Roman"/>
          <w:noProof/>
          <w:sz w:val="24"/>
        </w:rPr>
        <w:footnoteReference w:id="38"/>
      </w:r>
      <w:r>
        <w:rPr>
          <w:rFonts w:ascii="Times New Roman" w:hAnsi="Times New Roman"/>
          <w:noProof/>
          <w:sz w:val="24"/>
        </w:rPr>
        <w:t xml:space="preserve">). Reuniunile informale ale AC din statele membre, pentru care Comisia oferă sprijin logistic, sunt organizate periodic începând cu luna septembrie 2017, consecutiv reuniunilor grupurilor de experți privind accesul și împărțirea beneficiilor.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7 state membre au declarat că au derulat inițiative sau au schimbat informații prin intermediul poștei electronice sau al altor tipuri de comunicare pentru a coopera cu autoritățile naționale competente din țări terțe</w:t>
      </w:r>
      <w:r>
        <w:rPr>
          <w:rStyle w:val="FootnoteReference"/>
          <w:rFonts w:ascii="Times New Roman" w:hAnsi="Times New Roman"/>
          <w:noProof/>
          <w:sz w:val="24"/>
        </w:rPr>
        <w:footnoteReference w:id="39"/>
      </w:r>
      <w:r>
        <w:rPr>
          <w:rFonts w:ascii="Times New Roman" w:hAnsi="Times New Roman"/>
          <w:noProof/>
          <w:sz w:val="24"/>
        </w:rPr>
        <w:t xml:space="preserve">. În august 2017 și în septembrie 2018, Germania a organizat ateliere cu diferite țări furnizoare în care legislația privind accesul a fost implementată, în vederea încurajării dialogului și a intensificării cooperării.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Cooperarea dintre Comisie și statele membre este extinsă și include reuniuni ale grupului de experți care au loc periodic</w:t>
      </w:r>
      <w:r>
        <w:rPr>
          <w:rStyle w:val="FootnoteReference"/>
          <w:rFonts w:ascii="Times New Roman" w:hAnsi="Times New Roman"/>
          <w:noProof/>
          <w:sz w:val="24"/>
        </w:rPr>
        <w:footnoteReference w:id="40"/>
      </w:r>
      <w:r>
        <w:rPr>
          <w:rFonts w:ascii="Times New Roman" w:hAnsi="Times New Roman"/>
          <w:noProof/>
          <w:sz w:val="24"/>
        </w:rPr>
        <w:t xml:space="preserve"> privind punerea în aplicare a regulamentului, dar și un dialog regulat (prin intermediul poștei electronice și al conversațiilor telefonice). </w:t>
      </w:r>
    </w:p>
    <w:p>
      <w:pPr>
        <w:widowControl w:val="0"/>
        <w:tabs>
          <w:tab w:val="left" w:pos="220"/>
        </w:tabs>
        <w:autoSpaceDE w:val="0"/>
        <w:autoSpaceDN w:val="0"/>
        <w:adjustRightInd w:val="0"/>
        <w:spacing w:afterLines="120" w:after="288" w:line="240" w:lineRule="auto"/>
        <w:jc w:val="both"/>
        <w:outlineLvl w:val="0"/>
        <w:rPr>
          <w:rFonts w:ascii="Times New Roman" w:eastAsia="Times New Roman" w:hAnsi="Times New Roman"/>
          <w:noProof/>
          <w:sz w:val="24"/>
          <w:szCs w:val="24"/>
        </w:rPr>
      </w:pPr>
      <w:r>
        <w:rPr>
          <w:rFonts w:ascii="Times New Roman" w:hAnsi="Times New Roman"/>
          <w:b/>
          <w:noProof/>
          <w:sz w:val="24"/>
        </w:rPr>
        <w:t>2.6 Sensibilizare și măsuri complementare</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Articolul 13 din Regulamentul UE privind accesul și împărțirea beneficiilor prevede că atât Comisia, cât și statele membre trebuie să promoveze și să încurajeze activități de informare, sensibilizare și formare pentru a ajuta părțile interesate să înțeleagă obligațiile care decurg din punerea în aplicare a prezentului regulament și a dispozițiilor relevante ale convenției și ale Protocolului de la Nagoya în Uniune. 22 de state membre</w:t>
      </w:r>
      <w:r>
        <w:rPr>
          <w:rStyle w:val="FootnoteReference"/>
          <w:rFonts w:ascii="Times New Roman" w:hAnsi="Times New Roman"/>
          <w:noProof/>
          <w:sz w:val="24"/>
        </w:rPr>
        <w:footnoteReference w:id="41"/>
      </w:r>
      <w:r>
        <w:rPr>
          <w:rFonts w:ascii="Times New Roman" w:hAnsi="Times New Roman"/>
          <w:noProof/>
          <w:sz w:val="24"/>
        </w:rPr>
        <w:t xml:space="preserve"> au raportat că au organizat seminarii, ateliere, reuniuni ale experților și că au dezvoltat strategii de comunicare privind accesul și împărțirea beneficiilor și, mai ales, referitoare la conținutul Regulamentului UE privind accesul și împărțirea beneficiilor. Majoritatea acestor activități au vizat în mod specific părțile interesate din mediul de cercetare necomercială, cum ar fi mediul de cercetare universitar, academic și de sănătate publică. De asemenea, au fost organizate evenimente care au vizat întreprinderile mici și mijlocii. </w:t>
      </w:r>
    </w:p>
    <w:p>
      <w:pPr>
        <w:spacing w:afterLines="120" w:after="288" w:line="240" w:lineRule="auto"/>
        <w:jc w:val="both"/>
        <w:rPr>
          <w:rFonts w:ascii="Times New Roman" w:hAnsi="Times New Roman"/>
          <w:noProof/>
          <w:sz w:val="24"/>
          <w:szCs w:val="24"/>
        </w:rPr>
      </w:pPr>
      <w:r>
        <w:rPr>
          <w:rFonts w:ascii="Times New Roman" w:hAnsi="Times New Roman"/>
          <w:noProof/>
          <w:sz w:val="24"/>
        </w:rPr>
        <w:t>Comisia s-a implicat și într-o serie de activități de promovare și diseminare a cunoștințelor referitoare la accesul și împărțirea beneficiilor, Protocolul de la Nagoya și Regulamentul UE privind accesul și împărțirea beneficiilor. Pe portalul web „Europa.eu” a fost creată o secțiune dedicată care este actualizată periodic</w:t>
      </w:r>
      <w:r>
        <w:rPr>
          <w:rFonts w:ascii="Times New Roman" w:hAnsi="Times New Roman"/>
          <w:noProof/>
          <w:sz w:val="24"/>
          <w:vertAlign w:val="superscript"/>
        </w:rPr>
        <w:footnoteReference w:id="42"/>
      </w:r>
      <w:r>
        <w:rPr>
          <w:rFonts w:ascii="Times New Roman" w:hAnsi="Times New Roman"/>
          <w:noProof/>
          <w:sz w:val="24"/>
        </w:rPr>
        <w:t xml:space="preserve">. Acest site web oferă utilizatorilor o listă de detalii de contact ale AC desemnate din statele membre. Comisia a participat activ la un număr semnificativ de evenimente, conferințe și ateliere privind accesul și împărțirea beneficiilor, organizate în principal de asociații paneuropene (din sectorul public și privat) pentru a crește nivelul de sensibilizare privind Protocolul de la Nagoya și Regulamentul UE privind accesul și împărțirea beneficiilor. În timpul perioadei de raportare, personalul Comisiei a prezentat Regulamentul UE privind accesul și împărțirea beneficiilor în 38 de ocazii în fața publicului din mai multe sectoare. De asemenea, Comisia a organizat două seturi de ateliere pentru mediul de cercetare și cel academic, care au avut loc în perioada octombrie - decembrie 2015 la Bruxelles, Londra, Paris, Berlin și Florența, și în perioada noiembrie 2016 - martie 2017 la Stockholm, Varșovia, Budapesta și Leiden. De asemenea, Comisia a întreținut un dialog periodic cu parteneri de afaceri (din industria farmaceutică, cosmetică, de ameliorare a plantelor) și cu mediul de cercetare și cel academic.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Comisia, în strânsă colaborare cu statele membre și prin consultare cu forumul consultativ privind accesul și împărțirea beneficiilor</w:t>
      </w:r>
      <w:r>
        <w:rPr>
          <w:rStyle w:val="FootnoteReference"/>
          <w:rFonts w:ascii="Times New Roman" w:hAnsi="Times New Roman"/>
          <w:noProof/>
          <w:sz w:val="24"/>
        </w:rPr>
        <w:footnoteReference w:id="43"/>
      </w:r>
      <w:r>
        <w:rPr>
          <w:rFonts w:ascii="Times New Roman" w:hAnsi="Times New Roman"/>
          <w:noProof/>
          <w:sz w:val="24"/>
        </w:rPr>
        <w:t>, a elaborat un document de orientare</w:t>
      </w:r>
      <w:r>
        <w:rPr>
          <w:rFonts w:ascii="Times New Roman" w:hAnsi="Times New Roman"/>
          <w:noProof/>
          <w:sz w:val="24"/>
          <w:vertAlign w:val="superscript"/>
        </w:rPr>
        <w:footnoteReference w:id="44"/>
      </w:r>
      <w:r>
        <w:rPr>
          <w:rFonts w:ascii="Times New Roman" w:hAnsi="Times New Roman"/>
          <w:noProof/>
          <w:sz w:val="24"/>
        </w:rPr>
        <w:t xml:space="preserve"> privind domeniul de aplicare și obligațiile principale impuse prin Regulamentul UE privind accesul și împărțirea beneficiilor. Îndrumările, adoptate în 2016, au scopul de a contribui la o aplicare mai uniformă a regulamentului în cadrul UE prin clarificarea domeniului de aplicare geografic, temporal, personal și material al Regulamentului UE privind accesul și împărțirea beneficiilor și prin furnizarea de explicații privind conceptele principale din regulament, cum ar fi diligența necesară.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În urma solicitării din partea statelor membre și a părților interesate, Comisia s-a implicat începând cu anul 2016 în elaborarea altor orientări cu privire la necesitățile specifice în funcție de sector privind noțiunea de utilizare. Proiectele au fost pregătite inițial pentru utilizatorii din aval din șapte sectoare (ameliorarea animalelor, ameliorarea plantelor, biocontrol, biotehnologie, alimente și furaje, cosmetice, sectorul farmaceutic); de asemenea, au fost pregătite două proiecte pentru utilizatorii din amonte (institute publice de cercetare și titulari de colecții). Cele nouă proiecte pregătite până în decembrie 2017 au identificat o serie de aspecte nerezolvate care au fost discutate cu statele membre în ultimul an. În privința multor aspecte, s-au identificat soluții la nivel de experți, în timp ce pentru altele se derulează încă discuții. </w:t>
      </w:r>
    </w:p>
    <w:p>
      <w:pPr>
        <w:widowControl w:val="0"/>
        <w:tabs>
          <w:tab w:val="left" w:pos="220"/>
        </w:tabs>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În cele din urmă, pentru a promova și a consolida încrederea reciprocă și înțelegerea cadrelor legislative relevante, Comisia este implicată într-un dialog bilateral cu țări terțe, cum ar fi Brazilia</w:t>
      </w:r>
      <w:r>
        <w:rPr>
          <w:rStyle w:val="FootnoteReference"/>
          <w:rFonts w:ascii="Times New Roman" w:hAnsi="Times New Roman"/>
          <w:noProof/>
          <w:sz w:val="24"/>
        </w:rPr>
        <w:footnoteReference w:id="45"/>
      </w:r>
      <w:r>
        <w:rPr>
          <w:rFonts w:ascii="Times New Roman" w:hAnsi="Times New Roman"/>
          <w:noProof/>
          <w:sz w:val="24"/>
        </w:rPr>
        <w:t xml:space="preserve">. În noiembrie 2017, Comisia a organizat și un atelier care a implicat țările furnizoare, utilizatorii și AC din statele membre ale UE. </w:t>
      </w:r>
    </w:p>
    <w:p>
      <w:pPr>
        <w:spacing w:afterLines="120" w:after="288" w:line="240" w:lineRule="auto"/>
        <w:jc w:val="both"/>
        <w:outlineLvl w:val="0"/>
        <w:rPr>
          <w:rFonts w:ascii="Times New Roman" w:hAnsi="Times New Roman"/>
          <w:b/>
          <w:noProof/>
          <w:sz w:val="24"/>
          <w:szCs w:val="24"/>
        </w:rPr>
      </w:pPr>
      <w:r>
        <w:rPr>
          <w:rFonts w:ascii="Times New Roman" w:hAnsi="Times New Roman"/>
          <w:b/>
          <w:noProof/>
          <w:sz w:val="24"/>
        </w:rPr>
        <w:t>3. Observații finale: stadiul punerii în aplicare și dificultăți identificate în această privință</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Prezentul raport descrie stadiul punerii în aplicare a Regulamentului UE privind accesul și împărțirea beneficiilor. Acesta arată că regulamentul se află în stadiul incipient al punerii în aplicare. Multe state membre au inițiat relativ târziu adoptarea unor măsuri de stabilire a cadrului instituțional și administrativ necesar pentru punerea în aplicare a regulamentului. Comisia a promovat proactiv conformitatea, reamintindu-le statelor membre obligația de a desemna autorități competente și de a adopta reguli privind sancțiunile. Deși majoritatea statelor membre au adoptat măsurile necesare pentru a aborda decalajele asociate punerii în aplicare, în ianuarie 2018 au fost trimise scrisori de punere în întârziere către 9 state membre aflate în situație de neconformitate</w:t>
      </w:r>
      <w:r>
        <w:rPr>
          <w:rFonts w:ascii="Times New Roman" w:hAnsi="Times New Roman"/>
          <w:noProof/>
          <w:sz w:val="24"/>
          <w:vertAlign w:val="superscript"/>
        </w:rPr>
        <w:footnoteReference w:id="46"/>
      </w:r>
      <w:r>
        <w:rPr>
          <w:rFonts w:ascii="Times New Roman" w:hAnsi="Times New Roman"/>
          <w:noProof/>
          <w:sz w:val="24"/>
        </w:rPr>
        <w:t>. În plus, avize motivate au fost emise în 2 dintre aceste cazuri</w:t>
      </w:r>
      <w:r>
        <w:rPr>
          <w:rStyle w:val="FootnoteReference"/>
          <w:rFonts w:ascii="Times New Roman" w:hAnsi="Times New Roman"/>
          <w:noProof/>
          <w:sz w:val="24"/>
        </w:rPr>
        <w:footnoteReference w:id="47"/>
      </w:r>
      <w:r>
        <w:rPr>
          <w:rFonts w:ascii="Times New Roman" w:hAnsi="Times New Roman"/>
          <w:noProof/>
          <w:sz w:val="24"/>
        </w:rPr>
        <w:t xml:space="preserve"> în noiembrie 2018.</w:t>
      </w:r>
    </w:p>
    <w:p>
      <w:pPr>
        <w:spacing w:afterLines="120" w:after="288" w:line="240" w:lineRule="auto"/>
        <w:jc w:val="both"/>
        <w:rPr>
          <w:rFonts w:ascii="Times New Roman" w:hAnsi="Times New Roman"/>
          <w:noProof/>
          <w:sz w:val="24"/>
          <w:szCs w:val="24"/>
        </w:rPr>
      </w:pPr>
      <w:r>
        <w:rPr>
          <w:rFonts w:ascii="Times New Roman" w:hAnsi="Times New Roman"/>
          <w:noProof/>
          <w:sz w:val="24"/>
        </w:rPr>
        <w:t>Punerea în aplicare și executarea regulamentului a fost lentă și neuniformă în primii ani și mai sunt multe de făcut. Deși numeroase state membre au îndeplinit criteriile formale prevăzute în regulament, numai câteva au trecut la punerea în aplicare efectivă pe teren. Pe baza analizei rapoartelor naționale primite din partea celor 28 de state membre, se pot face următoarele observații și se pot identifica următoarele dificultăți corelate cu punerea în aplicare a aspectelor specifice prevăzute în Regulamentul UE privind accesul și împărțirea beneficiilor.</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Statele membre au adoptat soluții diferite pentru înființarea </w:t>
      </w:r>
      <w:r>
        <w:rPr>
          <w:rFonts w:ascii="Times New Roman" w:hAnsi="Times New Roman"/>
          <w:b/>
          <w:noProof/>
          <w:sz w:val="24"/>
        </w:rPr>
        <w:t>cadrului instituțional</w:t>
      </w:r>
      <w:r>
        <w:rPr>
          <w:rFonts w:ascii="Times New Roman" w:hAnsi="Times New Roman"/>
          <w:noProof/>
          <w:sz w:val="24"/>
        </w:rPr>
        <w:t xml:space="preserve">. În unele cazuri, consultările și coordonarea dintre diferitele administrații au contribuit la încetinirea procesului de desemnare. 6 state membre nu au desemnat încă AC. </w:t>
      </w:r>
      <w:r>
        <w:rPr>
          <w:rFonts w:ascii="Times New Roman" w:hAnsi="Times New Roman"/>
          <w:b/>
          <w:noProof/>
          <w:sz w:val="24"/>
        </w:rPr>
        <w:t xml:space="preserve">Resursele umane și financiare </w:t>
      </w:r>
      <w:r>
        <w:rPr>
          <w:rFonts w:ascii="Times New Roman" w:hAnsi="Times New Roman"/>
          <w:noProof/>
          <w:sz w:val="24"/>
        </w:rPr>
        <w:t xml:space="preserve">inexistente sau limitate, dedicate punerii în aplicare a Regulamentului UE privind accesul și împărțirea beneficiilor, sunt invocate frecvent ca fiind un obstacol major. De asemenea, absența personalului specializat și a experților calificați este indicată drept o problemă. Așadar, sunt necesare activități de formare pentru consolidarea abilităților instituționale ale personalului. Totodată, unele state membre au exprimat îngrijorări cu privire la impactul administrativ și la costurile asociate regulamentului.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Întârzierile corelate cu desemnarea AC au încetinit punerea în aplicare a altor dispoziții ale Regulamentului UE privind accesul și împărțirea beneficiilor, cum ar fi, de exemplu, adoptarea </w:t>
      </w:r>
      <w:r>
        <w:rPr>
          <w:rFonts w:ascii="Times New Roman" w:hAnsi="Times New Roman"/>
          <w:b/>
          <w:noProof/>
          <w:sz w:val="24"/>
        </w:rPr>
        <w:t xml:space="preserve">măsurilor administrative </w:t>
      </w:r>
      <w:r>
        <w:rPr>
          <w:rFonts w:ascii="Times New Roman" w:hAnsi="Times New Roman"/>
          <w:noProof/>
          <w:sz w:val="24"/>
        </w:rPr>
        <w:t xml:space="preserve">care reglementează </w:t>
      </w:r>
      <w:r>
        <w:rPr>
          <w:rFonts w:ascii="Times New Roman" w:hAnsi="Times New Roman"/>
          <w:b/>
          <w:noProof/>
          <w:sz w:val="24"/>
        </w:rPr>
        <w:t>monitorizarea</w:t>
      </w:r>
      <w:r>
        <w:rPr>
          <w:rFonts w:ascii="Times New Roman" w:hAnsi="Times New Roman"/>
          <w:noProof/>
          <w:sz w:val="24"/>
        </w:rPr>
        <w:t xml:space="preserve">. În prezent, numai 14 state membre au adoptat măsuri de implementare a </w:t>
      </w:r>
      <w:r>
        <w:rPr>
          <w:rFonts w:ascii="Times New Roman" w:hAnsi="Times New Roman"/>
          <w:b/>
          <w:noProof/>
          <w:sz w:val="24"/>
        </w:rPr>
        <w:t>primului punct de control</w:t>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Numai 5 state membre au dezvoltat și au adoptat </w:t>
      </w:r>
      <w:r>
        <w:rPr>
          <w:rFonts w:ascii="Times New Roman" w:hAnsi="Times New Roman"/>
          <w:b/>
          <w:noProof/>
          <w:sz w:val="24"/>
        </w:rPr>
        <w:t>planuri de verificare</w:t>
      </w:r>
      <w:r>
        <w:rPr>
          <w:rFonts w:ascii="Times New Roman" w:hAnsi="Times New Roman"/>
          <w:noProof/>
          <w:sz w:val="24"/>
        </w:rPr>
        <w:t xml:space="preserve"> </w:t>
      </w:r>
      <w:r>
        <w:rPr>
          <w:rFonts w:ascii="Times New Roman" w:hAnsi="Times New Roman"/>
          <w:b/>
          <w:noProof/>
          <w:sz w:val="24"/>
        </w:rPr>
        <w:t xml:space="preserve">bazate pe riscuri </w:t>
      </w:r>
      <w:r>
        <w:rPr>
          <w:rFonts w:ascii="Times New Roman" w:hAnsi="Times New Roman"/>
          <w:noProof/>
          <w:sz w:val="24"/>
        </w:rPr>
        <w:t xml:space="preserve">și numai 4 dintre ele au efectuat efectiv </w:t>
      </w:r>
      <w:r>
        <w:rPr>
          <w:rFonts w:ascii="Times New Roman" w:hAnsi="Times New Roman"/>
          <w:b/>
          <w:noProof/>
          <w:sz w:val="24"/>
        </w:rPr>
        <w:t>controale</w:t>
      </w:r>
      <w:r>
        <w:rPr>
          <w:rFonts w:ascii="Times New Roman" w:hAnsi="Times New Roman"/>
          <w:noProof/>
          <w:sz w:val="24"/>
        </w:rPr>
        <w:t xml:space="preserve">. Mai multe state membre sunt pe cale să elaboreze planuri de verificare. Alte state membre susțin că AC întâmpină dificultăți în ceea ce privește identificarea potențialilor utilizatori și factori bazați pe riscuri.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20 de state membre au adoptat </w:t>
      </w:r>
      <w:r>
        <w:rPr>
          <w:rFonts w:ascii="Times New Roman" w:hAnsi="Times New Roman"/>
          <w:b/>
          <w:noProof/>
          <w:sz w:val="24"/>
        </w:rPr>
        <w:t xml:space="preserve">măsuri legislative </w:t>
      </w:r>
      <w:r>
        <w:rPr>
          <w:rFonts w:ascii="Times New Roman" w:hAnsi="Times New Roman"/>
          <w:noProof/>
          <w:sz w:val="24"/>
        </w:rPr>
        <w:t xml:space="preserve">de stabilire a unor </w:t>
      </w:r>
      <w:r>
        <w:rPr>
          <w:rFonts w:ascii="Times New Roman" w:hAnsi="Times New Roman"/>
          <w:b/>
          <w:noProof/>
          <w:sz w:val="24"/>
        </w:rPr>
        <w:t xml:space="preserve">sancțiuni </w:t>
      </w:r>
      <w:r>
        <w:rPr>
          <w:rFonts w:ascii="Times New Roman" w:hAnsi="Times New Roman"/>
          <w:noProof/>
          <w:sz w:val="24"/>
        </w:rPr>
        <w:t xml:space="preserve">privind încălcările obligațiilor impuse prin regulament. Se poate observa o gamă amplă de sancțiuni (de la cele ce țin de dreptul administrativ până la cele ce țin de dreptul penal), care implică, de asemenea, variabilitatea nivelului sancțiunilor. </w:t>
      </w:r>
    </w:p>
    <w:p>
      <w:pPr>
        <w:widowControl w:val="0"/>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Până în momentul de față au fost depuse numai două </w:t>
      </w:r>
      <w:r>
        <w:rPr>
          <w:rFonts w:ascii="Times New Roman" w:hAnsi="Times New Roman"/>
          <w:b/>
          <w:noProof/>
          <w:sz w:val="24"/>
        </w:rPr>
        <w:t>declarații de diligență necesară</w:t>
      </w:r>
      <w:r>
        <w:rPr>
          <w:rFonts w:ascii="Times New Roman" w:hAnsi="Times New Roman"/>
          <w:noProof/>
          <w:sz w:val="24"/>
        </w:rPr>
        <w:t xml:space="preserve"> (ambele în anul 2018, așadar în afara perioadei de raportare). Domeniul temporal de aplicabilitate a regulamentului ar putea justifica numărul atât de mic: cazurile actuale de utilizare a resurselor genetice în Uniune vizează, în principal, resursele genetice dobândite înainte de intrarea în vigoare a regulamentului. Mai mult, atât proiectele de cercetare</w:t>
      </w:r>
      <w:r>
        <w:rPr>
          <w:rStyle w:val="FootnoteReference"/>
          <w:rFonts w:ascii="Times New Roman" w:hAnsi="Times New Roman"/>
          <w:noProof/>
          <w:sz w:val="24"/>
        </w:rPr>
        <w:footnoteReference w:id="48"/>
      </w:r>
      <w:r>
        <w:rPr>
          <w:rFonts w:ascii="Times New Roman" w:hAnsi="Times New Roman"/>
          <w:noProof/>
          <w:sz w:val="24"/>
        </w:rPr>
        <w:t xml:space="preserve">, cât și dezvoltarea unui produs care implică utilizarea de resurse genetice sau de cunoștințe tradiționale legate de resursele genetice sunt, în numeroase cazuri, de durată; prin urmare, cel mai probabil, obligația de diligență necesară se va materializa mai târziu. De asemenea, faptul că nu toate statele membre și-au desemnat AC sau au pus în aplicare cerințele articolului 7 alineatul (1) de a solicita astfel de declarații afectează posibilitatea ca utilizatorii să depună declarația.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Nivelul redus de interes pentru a deveni o colecție înregistrată în </w:t>
      </w:r>
      <w:r>
        <w:rPr>
          <w:rFonts w:ascii="Times New Roman" w:hAnsi="Times New Roman"/>
          <w:b/>
          <w:noProof/>
          <w:sz w:val="24"/>
        </w:rPr>
        <w:t>registrul colecțiilor</w:t>
      </w:r>
      <w:r>
        <w:rPr>
          <w:rFonts w:ascii="Times New Roman" w:hAnsi="Times New Roman"/>
          <w:noProof/>
          <w:sz w:val="24"/>
        </w:rPr>
        <w:t xml:space="preserve"> Uniunii se poate datora următoarelor motive, conform raportărilor statelor membre: incertitudinea privind standardele precise care trebuie îndeplinite, neînțelegerea privind valoarea adăugată a statutului de colecție înregistrată, teama asociată impactului financiar și/sau administrativ al îndeplinirii cerințelor pentru înregistrare, îngrijorarea referitoare la riscurile potențiale corelate cu responsabilitatea pentru colecțiile înregistrate. În general, se pare că există un interes mai mare pentru aplicarea recunoașterii celor </w:t>
      </w:r>
      <w:r>
        <w:rPr>
          <w:rFonts w:ascii="Times New Roman" w:hAnsi="Times New Roman"/>
          <w:b/>
          <w:noProof/>
          <w:sz w:val="24"/>
        </w:rPr>
        <w:t>mai bune practici</w:t>
      </w:r>
      <w:r>
        <w:rPr>
          <w:rFonts w:ascii="Times New Roman" w:hAnsi="Times New Roman"/>
          <w:noProof/>
          <w:sz w:val="24"/>
        </w:rPr>
        <w:t xml:space="preserve"> decât pentru registrul colecțiilor.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În pofida eforturilor întreprinse atât de statele membre cât și de Comisie, se raportează frecvent un nivel redus de </w:t>
      </w:r>
      <w:r>
        <w:rPr>
          <w:rFonts w:ascii="Times New Roman" w:hAnsi="Times New Roman"/>
          <w:b/>
          <w:noProof/>
          <w:sz w:val="24"/>
        </w:rPr>
        <w:t>sensibilizare</w:t>
      </w:r>
      <w:r>
        <w:rPr>
          <w:rFonts w:ascii="Times New Roman" w:hAnsi="Times New Roman"/>
          <w:noProof/>
          <w:sz w:val="24"/>
        </w:rPr>
        <w:t xml:space="preserve"> în rândul părților interesate în ceea ce privește obligațiile care decurg din Protocolul de la Nagoya și din Regulamentul UE privind accesul și împărțirea beneficiilor. De asemenea, sensibilizarea cu privire la acestea este, deseori, absentă și în instituțiile și administrațiile din statele membre. Protocolul de la Nagoya și</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Regulamentul UE privind accesul și împărțirea beneficiilor sunt instrumente de reglementare relativ noi, iar problematica accesului și a împărțirii beneficiilor continuă să fie o temă mai degrabă necunoscută. În general, sunt necesare eforturi suplimentare pentru a spori nivelul de sensibilizare în rândul unei game ample de părți interesate, cu precădere în rândul celor poziționate în primele etape ale lanțului valoric, cum ar fi cercetătorii, care adesea consideră că nu sunt vizați de obligațiile din Regulamentul UE privind accesul și împărțirea beneficiilor.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Mai multe state membre au raportat că părților interesate le este dificil să înțeleagă complexitatea Regulamentului UE privind accesul și împărțirea beneficiilor. De exemplu, nu este întotdeauna clar faptul că respectarea dispozițiilor din Regulamentul UE privind accesul și împărțirea beneficiilor ar putea să nu fie echivalentă cu respectarea legislației naționale privind accesul din țara furnizoare, deoarece aceste măsuri ar putea avea un domeniu de aplicare mai amplu decât Regulamentul UE privind accesul și împărțirea beneficiilor (de exemplu, un domeniu de aplicare temporal mai larg). </w:t>
      </w:r>
    </w:p>
    <w:p>
      <w:pPr>
        <w:spacing w:afterLines="120" w:after="288" w:line="240" w:lineRule="auto"/>
        <w:jc w:val="both"/>
        <w:rPr>
          <w:rFonts w:ascii="Times New Roman" w:hAnsi="Times New Roman"/>
          <w:noProof/>
          <w:sz w:val="24"/>
          <w:szCs w:val="24"/>
        </w:rPr>
      </w:pPr>
      <w:r>
        <w:rPr>
          <w:rFonts w:ascii="Times New Roman" w:hAnsi="Times New Roman"/>
          <w:b/>
          <w:noProof/>
          <w:sz w:val="24"/>
        </w:rPr>
        <w:t>Cooperarea</w:t>
      </w:r>
      <w:r>
        <w:rPr>
          <w:rFonts w:ascii="Times New Roman" w:hAnsi="Times New Roman"/>
          <w:noProof/>
          <w:sz w:val="24"/>
        </w:rPr>
        <w:t xml:space="preserve"> între AC din statele membre este în derulare. Statele membre consideră că reuniunile informale ale grupului de experți și AC reprezintă o ocazie bună pentru a face schimb de opinii cu privire la experiențele și la dificultățile concrete corelate cu punerea în aplicare a regulamentului, dar și de a face progrese spre un grad mai mare de armonizare a punerii în aplicare. Cooperarea dintre AC din statele membre și autoritățile naționale competente din țări terțe în ceea ce privește punerea în aplicare a Protocolului de la Nagoya pare să fie insuficientă.</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În cele din urmă, unele state membre au subliniat, de asemenea, o serie de </w:t>
      </w:r>
      <w:r>
        <w:rPr>
          <w:rFonts w:ascii="Times New Roman" w:hAnsi="Times New Roman"/>
          <w:b/>
          <w:noProof/>
          <w:sz w:val="24"/>
        </w:rPr>
        <w:t xml:space="preserve">dificultăți suplimentare </w:t>
      </w:r>
      <w:r>
        <w:rPr>
          <w:rFonts w:ascii="Times New Roman" w:hAnsi="Times New Roman"/>
          <w:noProof/>
          <w:sz w:val="24"/>
        </w:rPr>
        <w:t xml:space="preserve">corelate cu interpretarea anumitor dispoziții din Regulamentul UE privind accesul și împărțirea beneficiilor și au menționat formularea echivocă a unor termeni din regulament (ceea ce rezultă din utilizarea acelorași concepte consacrate în Protocolul de la Nagoya). În acest context, s-a afirmat că orientările suplimentare ar fi utile pentru a clarifica unii termeni. Alții consideră că experiența concretă privind punerea în aplicare ar fi utilă pentru a clarifica problemele identificate. De asemenea, s-au raportat o serie de îngrijorări ale utilizatorilor, mai precis legate de o povară administrativă și financiară excesivă, nefiind însă percepută valoarea adăugată asociată regulamentului. </w:t>
      </w:r>
    </w:p>
    <w:p>
      <w:pPr>
        <w:spacing w:afterLines="120" w:after="288" w:line="240" w:lineRule="auto"/>
        <w:jc w:val="both"/>
        <w:rPr>
          <w:rFonts w:ascii="Times New Roman" w:hAnsi="Times New Roman"/>
          <w:noProof/>
          <w:sz w:val="24"/>
          <w:szCs w:val="24"/>
        </w:rPr>
      </w:pPr>
      <w:r>
        <w:rPr>
          <w:rFonts w:ascii="Times New Roman" w:hAnsi="Times New Roman"/>
          <w:noProof/>
          <w:sz w:val="24"/>
        </w:rPr>
        <w:t>În aceste condiții, Comisia va continua să utilizeze instrumentele disponibile pentru a contribui la o aplicare mai uniformă a regulamentului în UE. Comisia continuă să se implice în facilitarea comunicării prin reuniuni ale grupului de experți și ale forumului consultativ. Sunt necesare eforturi suplimentare din partea statelor membre pentru punerea în aplicare și executarea Regulamentului UE privind accesul și împărțirea beneficiilor. În special, toate statele membre aflate în situație de neconformitate trebuie să desemneze urgent AC în temeiul articolului 6, să adopte sancțiuni în temeiul articolului 11, să aplice măsuri pentru punerea în aplicare a primului punct de control și să își intensifice eforturile în vederea dezvoltării planurilor bazate pe risc pentru efectuarea controalelor. În multe cazuri, nivelul actual de capacități tehnice și de resurse (atât umane, cât și financiare) alocate AC nu corespunde necesităților și, prin urmare, trebuie consolidat în majoritatea statelor membre.</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j-ea">
    <w:panose1 w:val="00000000000000000000"/>
    <w:charset w:val="00"/>
    <w:family w:val="roman"/>
    <w:notTrueType/>
    <w:pitch w:val="default"/>
  </w:font>
  <w:font w:name="MS Shell Dlg 2">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1">
        <w:r>
          <w:rPr>
            <w:rFonts w:ascii="Times New Roman" w:hAnsi="Times New Roman"/>
          </w:rPr>
          <w:t>https://eur-lex.europa.eu/legal-content/RO/TXT/?uri=celex:32014R0511</w:t>
        </w:r>
      </w:hyperlink>
      <w:r>
        <w:rPr>
          <w:rFonts w:ascii="Times New Roman" w:hAnsi="Times New Roman"/>
        </w:rPr>
        <w:t>.</w:t>
      </w:r>
    </w:p>
  </w:footnote>
  <w:footnote w:id="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color w:val="333333"/>
          <w:shd w:val="clear" w:color="auto" w:fill="FFFFFF"/>
        </w:rPr>
        <w:t xml:space="preserve"> </w:t>
      </w:r>
      <w:r>
        <w:rPr>
          <w:rFonts w:ascii="Times New Roman" w:hAnsi="Times New Roman"/>
        </w:rPr>
        <w:t xml:space="preserve"> </w:t>
      </w:r>
      <w:r>
        <w:tab/>
      </w:r>
      <w:hyperlink r:id="rId2">
        <w:r>
          <w:rPr>
            <w:rStyle w:val="Hyperlink"/>
            <w:rFonts w:ascii="Times New Roman" w:hAnsi="Times New Roman"/>
            <w:u w:color="12282C"/>
          </w:rPr>
          <w:t>http://www.cbd.int/abs/</w:t>
        </w:r>
      </w:hyperlink>
      <w:r>
        <w:rPr>
          <w:rFonts w:ascii="Times New Roman" w:hAnsi="Times New Roman"/>
          <w:u w:color="12282C"/>
        </w:rPr>
        <w:t>.  Anexa I cuprinde o sinteză a contextului juridic internațional.</w:t>
      </w:r>
    </w:p>
  </w:footnote>
  <w:footnote w:id="3">
    <w:p>
      <w:pPr>
        <w:pStyle w:val="FootnoteText"/>
        <w:spacing w:after="0" w:line="240" w:lineRule="auto"/>
        <w:ind w:left="567" w:hanging="567"/>
        <w:jc w:val="both"/>
        <w:rPr>
          <w:rFonts w:ascii="Times New Roman" w:hAnsi="Times New Roman"/>
          <w:u w:color="12282C"/>
        </w:rPr>
      </w:pPr>
      <w:r>
        <w:rPr>
          <w:rFonts w:ascii="Times New Roman" w:hAnsi="Times New Roman"/>
          <w:u w:color="12282C"/>
          <w:vertAlign w:val="superscript"/>
        </w:rPr>
        <w:footnoteRef/>
      </w:r>
      <w:r>
        <w:rPr>
          <w:rFonts w:ascii="Times New Roman" w:hAnsi="Times New Roman"/>
          <w:u w:color="12282C"/>
          <w:vertAlign w:val="superscript"/>
        </w:rPr>
        <w:t xml:space="preserve"> </w:t>
      </w:r>
      <w:r>
        <w:tab/>
      </w:r>
      <w:r>
        <w:rPr>
          <w:rFonts w:ascii="Times New Roman" w:hAnsi="Times New Roman"/>
        </w:rPr>
        <w:t>Exemple de utilizatori ai resurselor genetice sunt: cercetătorii din mediul academic, institutele de cercetare, industria farmaceutică, agricultura, industria cosmetică, grădinile botanice, colecționarii.</w:t>
      </w:r>
    </w:p>
  </w:footnote>
  <w:footnote w:id="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ab/>
      </w:r>
      <w:r>
        <w:rPr>
          <w:rFonts w:ascii="Times New Roman" w:hAnsi="Times New Roman"/>
        </w:rPr>
        <w:t>Articolul 17 din Regulamentul UE privind accesul și împărțirea beneficiilor.</w:t>
      </w:r>
    </w:p>
  </w:footnote>
  <w:footnote w:id="5">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ab/>
      </w:r>
      <w:r>
        <w:rPr>
          <w:rFonts w:ascii="Times New Roman" w:hAnsi="Times New Roman"/>
        </w:rPr>
        <w:t>https://eur-lex.europa.eu/legal-content/RO/TXT/?uri=CELEX:32015R1866.</w:t>
      </w:r>
    </w:p>
  </w:footnote>
  <w:footnote w:id="6">
    <w:p>
      <w:pPr>
        <w:pStyle w:val="FootnoteText"/>
        <w:spacing w:after="0" w:line="240" w:lineRule="auto"/>
        <w:ind w:left="567" w:hanging="567"/>
        <w:jc w:val="both"/>
      </w:pPr>
      <w:r>
        <w:rPr>
          <w:rStyle w:val="FootnoteReference"/>
          <w:rFonts w:ascii="Times New Roman" w:hAnsi="Times New Roman"/>
        </w:rPr>
        <w:footnoteRef/>
      </w:r>
      <w:r>
        <w:t xml:space="preserve"> </w:t>
      </w:r>
      <w:r>
        <w:tab/>
      </w:r>
      <w:r>
        <w:rPr>
          <w:rFonts w:ascii="Times New Roman" w:hAnsi="Times New Roman"/>
          <w:noProof/>
        </w:rPr>
        <w:t>Decizia NP-1/3, alineatul (4).</w:t>
      </w:r>
    </w:p>
  </w:footnote>
  <w:footnote w:id="7">
    <w:p>
      <w:pPr>
        <w:pStyle w:val="FootnoteText"/>
        <w:spacing w:after="0" w:line="240" w:lineRule="auto"/>
        <w:ind w:left="567" w:hanging="567"/>
        <w:rPr>
          <w:rFonts w:ascii="Times New Roman" w:eastAsia="Times New Roman" w:hAnsi="Times New Roman"/>
          <w:color w:val="333333"/>
          <w:shd w:val="clear" w:color="auto" w:fill="FFFFFF"/>
        </w:rPr>
      </w:pPr>
      <w:r>
        <w:rPr>
          <w:rFonts w:ascii="Times New Roman" w:hAnsi="Times New Roman"/>
          <w:color w:val="333333"/>
          <w:shd w:val="clear" w:color="auto" w:fill="FFFFFF"/>
          <w:vertAlign w:val="superscript"/>
        </w:rPr>
        <w:footnoteRef/>
      </w:r>
      <w:r>
        <w:rPr>
          <w:rFonts w:ascii="Times New Roman" w:hAnsi="Times New Roman"/>
          <w:color w:val="333333"/>
          <w:shd w:val="clear" w:color="auto" w:fill="FFFFFF"/>
          <w:vertAlign w:val="superscript"/>
        </w:rPr>
        <w:t xml:space="preserve"> </w:t>
      </w:r>
      <w:r>
        <w:tab/>
      </w:r>
      <w:r>
        <w:rPr>
          <w:rFonts w:ascii="Times New Roman" w:hAnsi="Times New Roman"/>
          <w:color w:val="333333"/>
          <w:shd w:val="clear" w:color="auto" w:fill="FFFFFF"/>
        </w:rPr>
        <w:t xml:space="preserve">Rapoartele naționale ale statelor membre sunt disponibile pe site-ul web al Comisiei: </w:t>
      </w:r>
      <w:hyperlink r:id="rId3">
        <w:r>
          <w:rPr>
            <w:rStyle w:val="Hyperlink"/>
            <w:rFonts w:ascii="Times New Roman" w:hAnsi="Times New Roman"/>
            <w:shd w:val="clear" w:color="auto" w:fill="FFFFFF"/>
          </w:rPr>
          <w:t>http://ec.europa.eu/environment/nature/biodiversity/international/abs/legislation_en.htm</w:t>
        </w:r>
      </w:hyperlink>
    </w:p>
  </w:footnote>
  <w:footnote w:id="8">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BG, CY, CZ, EE, DE, DK, ES, FI, FR, HR, HU, LT, LU, MT, NL, PL, PT, SE, SI, SK, RO, UK. Unele dintre ele (CY, CZ, HR și PT) și-au desemnat AC și au notificat Comisia după luna august 2017 (în afara intervalului oficial de raportare). </w:t>
      </w:r>
    </w:p>
  </w:footnote>
  <w:footnote w:id="9">
    <w:p>
      <w:pPr>
        <w:pStyle w:val="FootnoteText"/>
        <w:spacing w:after="0" w:line="240" w:lineRule="auto"/>
        <w:ind w:left="567" w:hanging="567"/>
        <w:jc w:val="both"/>
        <w:rPr>
          <w:rFonts w:ascii="Times New Roman" w:eastAsia="Times New Roman" w:hAnsi="Times New Roman"/>
          <w:shd w:val="clear" w:color="auto" w:fill="FFFFFF"/>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hd w:val="clear" w:color="auto" w:fill="FFFFFF"/>
        </w:rPr>
        <w:t xml:space="preserve">ABSCH (articolul 14 din Protocolul de la Nagoya) este o platformă IT unde părțile încarcă toate măsurile legislative, administrative și strategice relevante; cum ar fi legislația privind accesul, permisele eliberate de țara respectivă, informații privind monitorizarea utilizării resurselor genetice, informații privind autoritățile naționale competente etc. A se vedea anexa pentru informații suplimentare. </w:t>
      </w:r>
    </w:p>
  </w:footnote>
  <w:footnote w:id="10">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De exemplu, aceasta este situația în PL, PT și NL. </w:t>
      </w:r>
    </w:p>
  </w:footnote>
  <w:footnote w:id="1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 xml:space="preserve"> </w:t>
      </w:r>
      <w:r>
        <w:tab/>
      </w:r>
      <w:r>
        <w:rPr>
          <w:rFonts w:ascii="Times New Roman" w:hAnsi="Times New Roman"/>
        </w:rPr>
        <w:t xml:space="preserve">AT, BE, EL, IE, IT, LV. </w:t>
      </w:r>
    </w:p>
  </w:footnote>
  <w:footnote w:id="12">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rPr>
        <w:t>AT.</w:t>
      </w:r>
    </w:p>
  </w:footnote>
  <w:footnote w:id="1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DK, EE.</w:t>
      </w:r>
    </w:p>
  </w:footnote>
  <w:footnote w:id="1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CY, PL, RO.</w:t>
      </w:r>
    </w:p>
  </w:footnote>
  <w:footnote w:id="15">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rPr>
        <w:t>AT, BE, BG, CY, CZ, DK, EE, EL, ES, FI, FR, HR, HU, IT, IE, LT, LV, MT, NL, PL, PT, RO, SE, SI, SK, UK.</w:t>
      </w:r>
    </w:p>
  </w:footnote>
  <w:footnote w:id="16">
    <w:p>
      <w:pPr>
        <w:pStyle w:val="FootnoteText"/>
        <w:spacing w:after="0" w:line="240" w:lineRule="auto"/>
        <w:ind w:left="567" w:hanging="567"/>
        <w:jc w:val="both"/>
        <w:rPr>
          <w:rFonts w:ascii="Times New Roman" w:hAnsi="Times New Roman"/>
          <w:lang w:val="es-ES"/>
        </w:rPr>
      </w:pPr>
      <w:r>
        <w:rPr>
          <w:rStyle w:val="FootnoteReference"/>
        </w:rPr>
        <w:footnoteRef/>
      </w:r>
      <w:r>
        <w:t xml:space="preserve"> </w:t>
      </w:r>
      <w:r>
        <w:tab/>
      </w:r>
      <w:r>
        <w:rPr>
          <w:rFonts w:ascii="Times New Roman" w:hAnsi="Times New Roman"/>
          <w:noProof/>
        </w:rPr>
        <w:t>DE, PL.</w:t>
      </w:r>
    </w:p>
  </w:footnote>
  <w:footnote w:id="17">
    <w:p>
      <w:pPr>
        <w:pStyle w:val="FootnoteText"/>
        <w:spacing w:after="0" w:line="240" w:lineRule="auto"/>
        <w:ind w:left="567" w:hanging="567"/>
        <w:jc w:val="both"/>
        <w:rPr>
          <w:rFonts w:ascii="Times New Roman" w:hAnsi="Times New Roman"/>
          <w:lang w:val="es-E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LU, RO. </w:t>
      </w:r>
    </w:p>
  </w:footnote>
  <w:footnote w:id="18">
    <w:p>
      <w:pPr>
        <w:spacing w:after="0" w:line="240" w:lineRule="auto"/>
        <w:ind w:left="567" w:hanging="567"/>
        <w:jc w:val="both"/>
        <w:rPr>
          <w:rFonts w:ascii="Times New Roman" w:hAnsi="Times New Roman"/>
          <w:lang w:val="es-ES"/>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DK, EE, ES, FI, HU, LT, MT, PL, PT, SE, SI, SK, UK.</w:t>
      </w:r>
    </w:p>
  </w:footnote>
  <w:footnote w:id="19">
    <w:p>
      <w:pPr>
        <w:pStyle w:val="FootnoteText"/>
        <w:spacing w:after="0" w:line="240" w:lineRule="auto"/>
        <w:ind w:left="567" w:hanging="567"/>
        <w:jc w:val="both"/>
        <w:rPr>
          <w:rFonts w:ascii="Times New Roman" w:hAnsi="Times New Roman"/>
          <w:lang w:val="es-ES"/>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http://ec.europa.eu/research/participants/docs/h2020-funding-guide/cross-cutting-issues/ethics_en.htm.</w:t>
      </w:r>
    </w:p>
  </w:footnote>
  <w:footnote w:id="20">
    <w:p>
      <w:pPr>
        <w:spacing w:after="0" w:line="240" w:lineRule="auto"/>
        <w:ind w:left="567" w:hanging="567"/>
        <w:jc w:val="both"/>
        <w:rPr>
          <w:rFonts w:ascii="Times New Roman" w:eastAsia="Times New Roman" w:hAnsi="Times New Roman"/>
          <w:sz w:val="20"/>
          <w:szCs w:val="20"/>
        </w:rPr>
      </w:pPr>
      <w:r>
        <w:rPr>
          <w:rStyle w:val="FootnoteReference"/>
          <w:rFonts w:ascii="Times New Roman" w:hAnsi="Times New Roman"/>
          <w:sz w:val="20"/>
        </w:rPr>
        <w:footnoteRef/>
      </w:r>
      <w:r>
        <w:rPr>
          <w:rFonts w:ascii="Times New Roman" w:hAnsi="Times New Roman"/>
        </w:rPr>
        <w:t xml:space="preserve"> </w:t>
      </w:r>
      <w:r>
        <w:tab/>
      </w:r>
      <w:r>
        <w:rPr>
          <w:rFonts w:ascii="Times New Roman" w:hAnsi="Times New Roman"/>
          <w:i/>
          <w:color w:val="000000"/>
          <w:sz w:val="20"/>
          <w:shd w:val="clear" w:color="auto" w:fill="FFFFFF"/>
        </w:rPr>
        <w:t>Real Decreto</w:t>
      </w:r>
      <w:r>
        <w:rPr>
          <w:rFonts w:ascii="Times New Roman" w:hAnsi="Times New Roman"/>
          <w:color w:val="000000"/>
          <w:sz w:val="20"/>
          <w:shd w:val="clear" w:color="auto" w:fill="FFFFFF"/>
        </w:rPr>
        <w:t xml:space="preserve"> 124/2017.</w:t>
      </w:r>
    </w:p>
  </w:footnote>
  <w:footnote w:id="2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https://webgate.ec.europa.eu/declare/web/domain. </w:t>
      </w:r>
    </w:p>
  </w:footnote>
  <w:footnote w:id="2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Primul punct de control este funcțional din septembrie 2017, iar al doilea din martie 2018.</w:t>
      </w:r>
    </w:p>
  </w:footnote>
  <w:footnote w:id="2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FR (numai pentru primul punct de control) și ES.</w:t>
      </w:r>
    </w:p>
  </w:footnote>
  <w:footnote w:id="2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afară de UE, numai Japonia și Elveția au adoptat până în momentul de față măsuri de conformitate cu privire la punerea în aplicare a Protocolului de la Nagoya.</w:t>
      </w:r>
    </w:p>
  </w:footnote>
  <w:footnote w:id="25">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Articolul 9 alineatul (3) din Regulamentul UE privind accesul și împărțirea beneficiilor.</w:t>
      </w:r>
    </w:p>
  </w:footnote>
  <w:footnote w:id="26">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DK, EE, NL, SK, UK. DK a adoptat planul în ianuarie 2018 (în afara perioadei de raportare).</w:t>
      </w:r>
    </w:p>
  </w:footnote>
  <w:footnote w:id="27">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DK și DE. Intenționează să efectueze controale în ultima perioadă a anului 2018 și în 2019.</w:t>
      </w:r>
    </w:p>
  </w:footnote>
  <w:footnote w:id="28">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EE, NL, SK, UK.</w:t>
      </w:r>
    </w:p>
  </w:footnote>
  <w:footnote w:id="29">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kern w:val="24"/>
        </w:rPr>
        <w:t>BG, DE, DK, EE, ES, FI, FR, HR, HU, LT, LU, MT, NL, PL, RO, SE, SI, SK, UK. CY și PT au adoptat reguli privind sancțiunile în afara perioadei de raportare.</w:t>
      </w:r>
    </w:p>
  </w:footnote>
  <w:footnote w:id="30">
    <w:p>
      <w:pPr>
        <w:pStyle w:val="FootnoteText"/>
        <w:spacing w:after="0" w:line="240" w:lineRule="auto"/>
        <w:ind w:left="567" w:hanging="567"/>
        <w:jc w:val="both"/>
        <w:rPr>
          <w:rFonts w:ascii="Times New Roman" w:eastAsia="Times New Roman" w:hAnsi="Times New Roman"/>
          <w:color w:val="000000"/>
          <w:kern w:val="24"/>
          <w:lang w:eastAsia="en-GB"/>
        </w:rPr>
      </w:pPr>
      <w:r>
        <w:rPr>
          <w:rFonts w:ascii="Times New Roman" w:hAnsi="Times New Roman"/>
          <w:color w:val="000000"/>
          <w:kern w:val="24"/>
          <w:vertAlign w:val="superscript"/>
        </w:rPr>
        <w:footnoteRef/>
      </w:r>
      <w:r>
        <w:rPr>
          <w:rFonts w:ascii="Times New Roman" w:hAnsi="Times New Roman"/>
          <w:color w:val="000000"/>
          <w:kern w:val="24"/>
        </w:rPr>
        <w:t xml:space="preserve"> </w:t>
      </w:r>
      <w:r>
        <w:tab/>
      </w:r>
      <w:r>
        <w:rPr>
          <w:rFonts w:ascii="Times New Roman" w:hAnsi="Times New Roman"/>
          <w:color w:val="000000"/>
          <w:kern w:val="24"/>
        </w:rPr>
        <w:t>DE.</w:t>
      </w:r>
    </w:p>
  </w:footnote>
  <w:footnote w:id="31">
    <w:p>
      <w:pPr>
        <w:pStyle w:val="FootnoteText"/>
        <w:spacing w:after="0" w:line="240" w:lineRule="auto"/>
        <w:ind w:left="567" w:hanging="567"/>
        <w:jc w:val="both"/>
      </w:pPr>
      <w:r>
        <w:rPr>
          <w:rFonts w:ascii="Times New Roman" w:hAnsi="Times New Roman"/>
          <w:color w:val="000000"/>
          <w:kern w:val="24"/>
          <w:vertAlign w:val="superscript"/>
        </w:rPr>
        <w:footnoteRef/>
      </w:r>
      <w:r>
        <w:rPr>
          <w:rFonts w:ascii="Times New Roman" w:hAnsi="Times New Roman"/>
          <w:color w:val="000000"/>
          <w:kern w:val="24"/>
          <w:vertAlign w:val="superscript"/>
        </w:rPr>
        <w:t xml:space="preserve"> </w:t>
      </w:r>
      <w:r>
        <w:tab/>
      </w:r>
      <w:r>
        <w:rPr>
          <w:rFonts w:ascii="Times New Roman" w:hAnsi="Times New Roman"/>
          <w:color w:val="000000"/>
          <w:kern w:val="24"/>
        </w:rPr>
        <w:t>ES, PT.</w:t>
      </w:r>
    </w:p>
  </w:footnote>
  <w:footnote w:id="3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Paragraful (28) din preambulul Regulamentului UE privind accesul și împărțirea beneficiilor.</w:t>
      </w:r>
    </w:p>
  </w:footnote>
  <w:footnote w:id="3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Articolul 4 alineatul (7) din Regulamentul UE privind accesul și împărțirea beneficiilor.</w:t>
      </w:r>
    </w:p>
  </w:footnote>
  <w:footnote w:id="34">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AT, BE, DE, EE, ES, FR, HU, IE, IT, MT.</w:t>
      </w:r>
    </w:p>
  </w:footnote>
  <w:footnote w:id="35">
    <w:p>
      <w:pPr>
        <w:pStyle w:val="FootnoteText"/>
        <w:spacing w:after="0" w:line="240" w:lineRule="auto"/>
        <w:ind w:left="567" w:hanging="567"/>
        <w:jc w:val="both"/>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Articolul 8 din Regulamentul UE privind accesul și împărțirea beneficiilor.</w:t>
      </w:r>
    </w:p>
  </w:footnote>
  <w:footnote w:id="36">
    <w:p>
      <w:pPr>
        <w:pStyle w:val="FootnoteText"/>
        <w:spacing w:after="0" w:line="240" w:lineRule="auto"/>
        <w:ind w:left="567" w:hanging="567"/>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Pentru informații suplimentare privind variantele intermediare ale documentelor de orientare, a se vedea secțiunea 2.6.</w:t>
      </w:r>
    </w:p>
  </w:footnote>
  <w:footnote w:id="37">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AT, CZ, DE, DK, ES, HU, IT, LT, NL, PL, SE, SI, SK, UK.</w:t>
      </w:r>
    </w:p>
  </w:footnote>
  <w:footnote w:id="38">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https://europa.eu/capacity4dev/</w:t>
        </w:r>
      </w:hyperlink>
      <w:r>
        <w:rPr>
          <w:rFonts w:ascii="Times New Roman" w:hAnsi="Times New Roman"/>
        </w:rPr>
        <w:t>.</w:t>
      </w:r>
    </w:p>
  </w:footnote>
  <w:footnote w:id="39">
    <w:p>
      <w:pPr>
        <w:pStyle w:val="FootnoteText"/>
        <w:spacing w:after="0" w:line="240" w:lineRule="auto"/>
        <w:ind w:left="567" w:hanging="567"/>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DE, DK, IT, LT, NL, SI, UK.</w:t>
      </w:r>
    </w:p>
  </w:footnote>
  <w:footnote w:id="40">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Grupul de experți al Comisiei privind accesul și împărțirea beneficiilor conform Protocolului de la Nagoya (E03123).</w:t>
      </w:r>
    </w:p>
  </w:footnote>
  <w:footnote w:id="41">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AT, BE, BG, CY, CZ, DE, DK, EE, ES, FI, HR, HU, IE, IT, LV, MT, PL, PT, SE, SI, SK, UK.</w:t>
      </w:r>
    </w:p>
  </w:footnote>
  <w:footnote w:id="42">
    <w:p>
      <w:pPr>
        <w:pStyle w:val="FootnoteText"/>
        <w:spacing w:after="0" w:line="240" w:lineRule="auto"/>
        <w:ind w:left="567" w:hanging="567"/>
        <w:jc w:val="both"/>
      </w:pPr>
      <w:r>
        <w:rPr>
          <w:rStyle w:val="FootnoteReference"/>
          <w:rFonts w:ascii="Times New Roman" w:hAnsi="Times New Roman"/>
        </w:rPr>
        <w:footnoteRef/>
      </w:r>
      <w:r>
        <w:t xml:space="preserve"> </w:t>
      </w:r>
      <w:r>
        <w:tab/>
      </w:r>
      <w:hyperlink r:id="rId5">
        <w:r>
          <w:rPr>
            <w:rStyle w:val="Hyperlink"/>
            <w:rFonts w:ascii="Times New Roman" w:hAnsi="Times New Roman"/>
          </w:rPr>
          <w:t>http://ec.europa.eu/environment/nature/biodiversity/international/abs/index_en.htm</w:t>
        </w:r>
      </w:hyperlink>
      <w:r>
        <w:rPr>
          <w:rFonts w:ascii="Times New Roman" w:hAnsi="Times New Roman"/>
        </w:rPr>
        <w:t xml:space="preserve">. </w:t>
      </w:r>
    </w:p>
  </w:footnote>
  <w:footnote w:id="4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Forumul consultativ privind accesul și împărțirea beneficiilor (Grupul de experți E03396) în temeiul articolului 15 din Regulamentul UE privind accesul și împărțirea beneficiilor</w:t>
      </w:r>
    </w:p>
  </w:footnote>
  <w:footnote w:id="4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noProof/>
        </w:rPr>
        <w:t xml:space="preserve"> </w:t>
      </w:r>
      <w:r>
        <w:tab/>
      </w:r>
      <w:r>
        <w:rPr>
          <w:rFonts w:ascii="Times New Roman" w:hAnsi="Times New Roman"/>
          <w:noProof/>
        </w:rPr>
        <w:t xml:space="preserve">Comunicare a Comisiei (2016/C 313/01), JO </w:t>
      </w:r>
      <w:r>
        <w:rPr>
          <w:rFonts w:ascii="Times New Roman" w:hAnsi="Times New Roman"/>
          <w:color w:val="444444"/>
        </w:rPr>
        <w:t>C 313</w:t>
      </w:r>
      <w:r>
        <w:rPr>
          <w:rFonts w:ascii="Times New Roman" w:hAnsi="Times New Roman"/>
          <w:noProof/>
        </w:rPr>
        <w:t xml:space="preserve"> 27.8.2016, https://eur-lex.europa.eu/legal-content/RO/TXT/PDF/?uri=CELEX:52016XC0827(01)&amp;from=EN.</w:t>
      </w:r>
    </w:p>
  </w:footnote>
  <w:footnote w:id="45">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Începând cu 2014, UE și Brazilia continuă dialogul structurat privind problematica accesului și a împărțirii beneficiilor;  până în prezent au fost derulate 2 proiecte concentrate pe aspecte diferite ale punerii în aplicare a Protocolului de la Nagoya, al treilea fiind în derulare</w:t>
      </w:r>
      <w:r>
        <w:t>.</w:t>
      </w:r>
    </w:p>
  </w:footnote>
  <w:footnote w:id="46">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AT, BE, HR, CY, CZ, EL, IE, IT și LV. Dosarele HR și CZ au fost închise în iunie și, respectiv, în noiembrie 2018. </w:t>
      </w:r>
    </w:p>
  </w:footnote>
  <w:footnote w:id="47">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EL și IE.</w:t>
      </w:r>
    </w:p>
  </w:footnote>
  <w:footnote w:id="48">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rPr>
        <w:t>În ceea ce privește primul punct de control, utilizatorii pot depune o declarație de diligență necesară din momentul în care primesc prima tranșă a subvenției până în momentul în care depun raportul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8.35pt;visibility:visible" o:bullet="t">
        <v:imagedata r:id="rId1" o:title=""/>
      </v:shape>
    </w:pict>
  </w:numPicBullet>
  <w:numPicBullet w:numPicBulletId="1">
    <w:pict>
      <v:shape id="_x0000_i1027" type="#_x0000_t75" style="width:11.7pt;height:11.7pt;visibility:visible" o:bullet="t">
        <v:imagedata r:id="rId2"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C0C4F"/>
    <w:multiLevelType w:val="hybridMultilevel"/>
    <w:tmpl w:val="D1E4A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8C6899"/>
    <w:multiLevelType w:val="hybridMultilevel"/>
    <w:tmpl w:val="256043C6"/>
    <w:lvl w:ilvl="0" w:tplc="54688FD6">
      <w:start w:val="1"/>
      <w:numFmt w:val="bullet"/>
      <w:lvlText w:val="•"/>
      <w:lvlJc w:val="left"/>
      <w:pPr>
        <w:tabs>
          <w:tab w:val="num" w:pos="720"/>
        </w:tabs>
        <w:ind w:left="720" w:hanging="360"/>
      </w:pPr>
      <w:rPr>
        <w:rFonts w:ascii="Arial" w:hAnsi="Arial" w:hint="default"/>
      </w:rPr>
    </w:lvl>
    <w:lvl w:ilvl="1" w:tplc="6D98E100" w:tentative="1">
      <w:start w:val="1"/>
      <w:numFmt w:val="bullet"/>
      <w:lvlText w:val="•"/>
      <w:lvlJc w:val="left"/>
      <w:pPr>
        <w:tabs>
          <w:tab w:val="num" w:pos="1440"/>
        </w:tabs>
        <w:ind w:left="1440" w:hanging="360"/>
      </w:pPr>
      <w:rPr>
        <w:rFonts w:ascii="Arial" w:hAnsi="Arial" w:hint="default"/>
      </w:rPr>
    </w:lvl>
    <w:lvl w:ilvl="2" w:tplc="3F3AE5DE" w:tentative="1">
      <w:start w:val="1"/>
      <w:numFmt w:val="bullet"/>
      <w:lvlText w:val="•"/>
      <w:lvlJc w:val="left"/>
      <w:pPr>
        <w:tabs>
          <w:tab w:val="num" w:pos="2160"/>
        </w:tabs>
        <w:ind w:left="2160" w:hanging="360"/>
      </w:pPr>
      <w:rPr>
        <w:rFonts w:ascii="Arial" w:hAnsi="Arial" w:hint="default"/>
      </w:rPr>
    </w:lvl>
    <w:lvl w:ilvl="3" w:tplc="3342E6F8" w:tentative="1">
      <w:start w:val="1"/>
      <w:numFmt w:val="bullet"/>
      <w:lvlText w:val="•"/>
      <w:lvlJc w:val="left"/>
      <w:pPr>
        <w:tabs>
          <w:tab w:val="num" w:pos="2880"/>
        </w:tabs>
        <w:ind w:left="2880" w:hanging="360"/>
      </w:pPr>
      <w:rPr>
        <w:rFonts w:ascii="Arial" w:hAnsi="Arial" w:hint="default"/>
      </w:rPr>
    </w:lvl>
    <w:lvl w:ilvl="4" w:tplc="5030D016" w:tentative="1">
      <w:start w:val="1"/>
      <w:numFmt w:val="bullet"/>
      <w:lvlText w:val="•"/>
      <w:lvlJc w:val="left"/>
      <w:pPr>
        <w:tabs>
          <w:tab w:val="num" w:pos="3600"/>
        </w:tabs>
        <w:ind w:left="3600" w:hanging="360"/>
      </w:pPr>
      <w:rPr>
        <w:rFonts w:ascii="Arial" w:hAnsi="Arial" w:hint="default"/>
      </w:rPr>
    </w:lvl>
    <w:lvl w:ilvl="5" w:tplc="8BDACEFC" w:tentative="1">
      <w:start w:val="1"/>
      <w:numFmt w:val="bullet"/>
      <w:lvlText w:val="•"/>
      <w:lvlJc w:val="left"/>
      <w:pPr>
        <w:tabs>
          <w:tab w:val="num" w:pos="4320"/>
        </w:tabs>
        <w:ind w:left="4320" w:hanging="360"/>
      </w:pPr>
      <w:rPr>
        <w:rFonts w:ascii="Arial" w:hAnsi="Arial" w:hint="default"/>
      </w:rPr>
    </w:lvl>
    <w:lvl w:ilvl="6" w:tplc="24DEB87E" w:tentative="1">
      <w:start w:val="1"/>
      <w:numFmt w:val="bullet"/>
      <w:lvlText w:val="•"/>
      <w:lvlJc w:val="left"/>
      <w:pPr>
        <w:tabs>
          <w:tab w:val="num" w:pos="5040"/>
        </w:tabs>
        <w:ind w:left="5040" w:hanging="360"/>
      </w:pPr>
      <w:rPr>
        <w:rFonts w:ascii="Arial" w:hAnsi="Arial" w:hint="default"/>
      </w:rPr>
    </w:lvl>
    <w:lvl w:ilvl="7" w:tplc="344CAA40" w:tentative="1">
      <w:start w:val="1"/>
      <w:numFmt w:val="bullet"/>
      <w:lvlText w:val="•"/>
      <w:lvlJc w:val="left"/>
      <w:pPr>
        <w:tabs>
          <w:tab w:val="num" w:pos="5760"/>
        </w:tabs>
        <w:ind w:left="5760" w:hanging="360"/>
      </w:pPr>
      <w:rPr>
        <w:rFonts w:ascii="Arial" w:hAnsi="Arial" w:hint="default"/>
      </w:rPr>
    </w:lvl>
    <w:lvl w:ilvl="8" w:tplc="000AD69C" w:tentative="1">
      <w:start w:val="1"/>
      <w:numFmt w:val="bullet"/>
      <w:lvlText w:val="•"/>
      <w:lvlJc w:val="left"/>
      <w:pPr>
        <w:tabs>
          <w:tab w:val="num" w:pos="6480"/>
        </w:tabs>
        <w:ind w:left="6480" w:hanging="360"/>
      </w:pPr>
      <w:rPr>
        <w:rFonts w:ascii="Arial" w:hAnsi="Arial" w:hint="default"/>
      </w:rPr>
    </w:lvl>
  </w:abstractNum>
  <w:abstractNum w:abstractNumId="3">
    <w:nsid w:val="0B3A6B6F"/>
    <w:multiLevelType w:val="hybridMultilevel"/>
    <w:tmpl w:val="3AF673D6"/>
    <w:lvl w:ilvl="0" w:tplc="99166774">
      <w:start w:val="1"/>
      <w:numFmt w:val="lowerRoman"/>
      <w:lvlText w:val="(%1)"/>
      <w:lvlJc w:val="left"/>
      <w:pPr>
        <w:ind w:left="1287" w:hanging="72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nsid w:val="0FDC16B2"/>
    <w:multiLevelType w:val="hybridMultilevel"/>
    <w:tmpl w:val="44284474"/>
    <w:lvl w:ilvl="0" w:tplc="AF027C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337E62"/>
    <w:multiLevelType w:val="hybridMultilevel"/>
    <w:tmpl w:val="73ACF8E6"/>
    <w:lvl w:ilvl="0" w:tplc="5E2E8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451D10"/>
    <w:multiLevelType w:val="hybridMultilevel"/>
    <w:tmpl w:val="3E8E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210238"/>
    <w:multiLevelType w:val="hybridMultilevel"/>
    <w:tmpl w:val="AD401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08144D"/>
    <w:multiLevelType w:val="hybridMultilevel"/>
    <w:tmpl w:val="28AEFB9E"/>
    <w:lvl w:ilvl="0" w:tplc="96C21CBA">
      <w:start w:val="1"/>
      <w:numFmt w:val="bullet"/>
      <w:lvlText w:val="•"/>
      <w:lvlJc w:val="left"/>
      <w:pPr>
        <w:tabs>
          <w:tab w:val="num" w:pos="720"/>
        </w:tabs>
        <w:ind w:left="720" w:hanging="360"/>
      </w:pPr>
      <w:rPr>
        <w:rFonts w:ascii="Arial" w:hAnsi="Arial" w:hint="default"/>
      </w:rPr>
    </w:lvl>
    <w:lvl w:ilvl="1" w:tplc="7576D12A">
      <w:start w:val="13"/>
      <w:numFmt w:val="bullet"/>
      <w:lvlText w:val="•"/>
      <w:lvlJc w:val="left"/>
      <w:pPr>
        <w:tabs>
          <w:tab w:val="num" w:pos="1440"/>
        </w:tabs>
        <w:ind w:left="1440" w:hanging="360"/>
      </w:pPr>
      <w:rPr>
        <w:rFonts w:ascii="Times" w:hAnsi="Times" w:hint="default"/>
      </w:rPr>
    </w:lvl>
    <w:lvl w:ilvl="2" w:tplc="F1086C44">
      <w:numFmt w:val="bullet"/>
      <w:lvlText w:val="-"/>
      <w:lvlJc w:val="left"/>
      <w:pPr>
        <w:tabs>
          <w:tab w:val="num" w:pos="2160"/>
        </w:tabs>
        <w:ind w:left="2160" w:hanging="360"/>
      </w:pPr>
      <w:rPr>
        <w:rFonts w:ascii="Times" w:hAnsi="Times" w:hint="default"/>
      </w:rPr>
    </w:lvl>
    <w:lvl w:ilvl="3" w:tplc="E276884A">
      <w:numFmt w:val="bullet"/>
      <w:lvlText w:val="–"/>
      <w:lvlJc w:val="left"/>
      <w:pPr>
        <w:tabs>
          <w:tab w:val="num" w:pos="4188"/>
        </w:tabs>
        <w:ind w:left="4188" w:hanging="360"/>
      </w:pPr>
      <w:rPr>
        <w:rFonts w:ascii="Times" w:hAnsi="Times" w:hint="default"/>
      </w:rPr>
    </w:lvl>
    <w:lvl w:ilvl="4" w:tplc="E4124B4A" w:tentative="1">
      <w:start w:val="1"/>
      <w:numFmt w:val="bullet"/>
      <w:lvlText w:val="•"/>
      <w:lvlJc w:val="left"/>
      <w:pPr>
        <w:tabs>
          <w:tab w:val="num" w:pos="3600"/>
        </w:tabs>
        <w:ind w:left="3600" w:hanging="360"/>
      </w:pPr>
      <w:rPr>
        <w:rFonts w:ascii="Arial" w:hAnsi="Arial" w:hint="default"/>
      </w:rPr>
    </w:lvl>
    <w:lvl w:ilvl="5" w:tplc="CBAAB0A2" w:tentative="1">
      <w:start w:val="1"/>
      <w:numFmt w:val="bullet"/>
      <w:lvlText w:val="•"/>
      <w:lvlJc w:val="left"/>
      <w:pPr>
        <w:tabs>
          <w:tab w:val="num" w:pos="4320"/>
        </w:tabs>
        <w:ind w:left="4320" w:hanging="360"/>
      </w:pPr>
      <w:rPr>
        <w:rFonts w:ascii="Arial" w:hAnsi="Arial" w:hint="default"/>
      </w:rPr>
    </w:lvl>
    <w:lvl w:ilvl="6" w:tplc="BD26CCAE" w:tentative="1">
      <w:start w:val="1"/>
      <w:numFmt w:val="bullet"/>
      <w:lvlText w:val="•"/>
      <w:lvlJc w:val="left"/>
      <w:pPr>
        <w:tabs>
          <w:tab w:val="num" w:pos="5040"/>
        </w:tabs>
        <w:ind w:left="5040" w:hanging="360"/>
      </w:pPr>
      <w:rPr>
        <w:rFonts w:ascii="Arial" w:hAnsi="Arial" w:hint="default"/>
      </w:rPr>
    </w:lvl>
    <w:lvl w:ilvl="7" w:tplc="BF8CD688" w:tentative="1">
      <w:start w:val="1"/>
      <w:numFmt w:val="bullet"/>
      <w:lvlText w:val="•"/>
      <w:lvlJc w:val="left"/>
      <w:pPr>
        <w:tabs>
          <w:tab w:val="num" w:pos="5760"/>
        </w:tabs>
        <w:ind w:left="5760" w:hanging="360"/>
      </w:pPr>
      <w:rPr>
        <w:rFonts w:ascii="Arial" w:hAnsi="Arial" w:hint="default"/>
      </w:rPr>
    </w:lvl>
    <w:lvl w:ilvl="8" w:tplc="983261C2" w:tentative="1">
      <w:start w:val="1"/>
      <w:numFmt w:val="bullet"/>
      <w:lvlText w:val="•"/>
      <w:lvlJc w:val="left"/>
      <w:pPr>
        <w:tabs>
          <w:tab w:val="num" w:pos="6480"/>
        </w:tabs>
        <w:ind w:left="6480" w:hanging="360"/>
      </w:pPr>
      <w:rPr>
        <w:rFonts w:ascii="Arial" w:hAnsi="Arial" w:hint="default"/>
      </w:rPr>
    </w:lvl>
  </w:abstractNum>
  <w:abstractNum w:abstractNumId="9">
    <w:nsid w:val="1D6B50DF"/>
    <w:multiLevelType w:val="hybridMultilevel"/>
    <w:tmpl w:val="8A683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CC1464"/>
    <w:multiLevelType w:val="hybridMultilevel"/>
    <w:tmpl w:val="CCE026B0"/>
    <w:lvl w:ilvl="0" w:tplc="8EDADA06">
      <w:start w:val="1"/>
      <w:numFmt w:val="bullet"/>
      <w:lvlText w:val="•"/>
      <w:lvlJc w:val="left"/>
      <w:pPr>
        <w:tabs>
          <w:tab w:val="num" w:pos="720"/>
        </w:tabs>
        <w:ind w:left="720" w:hanging="360"/>
      </w:pPr>
      <w:rPr>
        <w:rFonts w:ascii="Arial" w:hAnsi="Arial" w:hint="default"/>
      </w:rPr>
    </w:lvl>
    <w:lvl w:ilvl="1" w:tplc="BC9057F0">
      <w:start w:val="270"/>
      <w:numFmt w:val="bullet"/>
      <w:lvlText w:val="•"/>
      <w:lvlJc w:val="left"/>
      <w:pPr>
        <w:tabs>
          <w:tab w:val="num" w:pos="1440"/>
        </w:tabs>
        <w:ind w:left="1440" w:hanging="360"/>
      </w:pPr>
      <w:rPr>
        <w:rFonts w:ascii="Times New Roman" w:hAnsi="Times New Roman" w:hint="default"/>
      </w:rPr>
    </w:lvl>
    <w:lvl w:ilvl="2" w:tplc="275C41A6" w:tentative="1">
      <w:start w:val="1"/>
      <w:numFmt w:val="bullet"/>
      <w:lvlText w:val="•"/>
      <w:lvlJc w:val="left"/>
      <w:pPr>
        <w:tabs>
          <w:tab w:val="num" w:pos="2160"/>
        </w:tabs>
        <w:ind w:left="2160" w:hanging="360"/>
      </w:pPr>
      <w:rPr>
        <w:rFonts w:ascii="Arial" w:hAnsi="Arial" w:hint="default"/>
      </w:rPr>
    </w:lvl>
    <w:lvl w:ilvl="3" w:tplc="F31E80FA" w:tentative="1">
      <w:start w:val="1"/>
      <w:numFmt w:val="bullet"/>
      <w:lvlText w:val="•"/>
      <w:lvlJc w:val="left"/>
      <w:pPr>
        <w:tabs>
          <w:tab w:val="num" w:pos="2880"/>
        </w:tabs>
        <w:ind w:left="2880" w:hanging="360"/>
      </w:pPr>
      <w:rPr>
        <w:rFonts w:ascii="Arial" w:hAnsi="Arial" w:hint="default"/>
      </w:rPr>
    </w:lvl>
    <w:lvl w:ilvl="4" w:tplc="8D2A2FDE" w:tentative="1">
      <w:start w:val="1"/>
      <w:numFmt w:val="bullet"/>
      <w:lvlText w:val="•"/>
      <w:lvlJc w:val="left"/>
      <w:pPr>
        <w:tabs>
          <w:tab w:val="num" w:pos="3600"/>
        </w:tabs>
        <w:ind w:left="3600" w:hanging="360"/>
      </w:pPr>
      <w:rPr>
        <w:rFonts w:ascii="Arial" w:hAnsi="Arial" w:hint="default"/>
      </w:rPr>
    </w:lvl>
    <w:lvl w:ilvl="5" w:tplc="E8825944" w:tentative="1">
      <w:start w:val="1"/>
      <w:numFmt w:val="bullet"/>
      <w:lvlText w:val="•"/>
      <w:lvlJc w:val="left"/>
      <w:pPr>
        <w:tabs>
          <w:tab w:val="num" w:pos="4320"/>
        </w:tabs>
        <w:ind w:left="4320" w:hanging="360"/>
      </w:pPr>
      <w:rPr>
        <w:rFonts w:ascii="Arial" w:hAnsi="Arial" w:hint="default"/>
      </w:rPr>
    </w:lvl>
    <w:lvl w:ilvl="6" w:tplc="0DAA9C98" w:tentative="1">
      <w:start w:val="1"/>
      <w:numFmt w:val="bullet"/>
      <w:lvlText w:val="•"/>
      <w:lvlJc w:val="left"/>
      <w:pPr>
        <w:tabs>
          <w:tab w:val="num" w:pos="5040"/>
        </w:tabs>
        <w:ind w:left="5040" w:hanging="360"/>
      </w:pPr>
      <w:rPr>
        <w:rFonts w:ascii="Arial" w:hAnsi="Arial" w:hint="default"/>
      </w:rPr>
    </w:lvl>
    <w:lvl w:ilvl="7" w:tplc="1A1A99CE" w:tentative="1">
      <w:start w:val="1"/>
      <w:numFmt w:val="bullet"/>
      <w:lvlText w:val="•"/>
      <w:lvlJc w:val="left"/>
      <w:pPr>
        <w:tabs>
          <w:tab w:val="num" w:pos="5760"/>
        </w:tabs>
        <w:ind w:left="5760" w:hanging="360"/>
      </w:pPr>
      <w:rPr>
        <w:rFonts w:ascii="Arial" w:hAnsi="Arial" w:hint="default"/>
      </w:rPr>
    </w:lvl>
    <w:lvl w:ilvl="8" w:tplc="D9649418" w:tentative="1">
      <w:start w:val="1"/>
      <w:numFmt w:val="bullet"/>
      <w:lvlText w:val="•"/>
      <w:lvlJc w:val="left"/>
      <w:pPr>
        <w:tabs>
          <w:tab w:val="num" w:pos="6480"/>
        </w:tabs>
        <w:ind w:left="6480" w:hanging="360"/>
      </w:pPr>
      <w:rPr>
        <w:rFonts w:ascii="Arial" w:hAnsi="Arial" w:hint="default"/>
      </w:rPr>
    </w:lvl>
  </w:abstractNum>
  <w:abstractNum w:abstractNumId="11">
    <w:nsid w:val="253B7306"/>
    <w:multiLevelType w:val="hybridMultilevel"/>
    <w:tmpl w:val="1C7C36B6"/>
    <w:lvl w:ilvl="0" w:tplc="4D8EB0FE">
      <w:start w:val="1"/>
      <w:numFmt w:val="bullet"/>
      <w:lvlText w:val="-"/>
      <w:lvlJc w:val="left"/>
      <w:pPr>
        <w:tabs>
          <w:tab w:val="num" w:pos="720"/>
        </w:tabs>
        <w:ind w:left="720" w:hanging="360"/>
      </w:pPr>
      <w:rPr>
        <w:rFonts w:ascii="Times New Roman" w:hAnsi="Times New Roman" w:hint="default"/>
      </w:rPr>
    </w:lvl>
    <w:lvl w:ilvl="1" w:tplc="A29EFCC4" w:tentative="1">
      <w:start w:val="1"/>
      <w:numFmt w:val="bullet"/>
      <w:lvlText w:val="-"/>
      <w:lvlJc w:val="left"/>
      <w:pPr>
        <w:tabs>
          <w:tab w:val="num" w:pos="1440"/>
        </w:tabs>
        <w:ind w:left="1440" w:hanging="360"/>
      </w:pPr>
      <w:rPr>
        <w:rFonts w:ascii="Times New Roman" w:hAnsi="Times New Roman" w:hint="default"/>
      </w:rPr>
    </w:lvl>
    <w:lvl w:ilvl="2" w:tplc="B3065AE0">
      <w:start w:val="1"/>
      <w:numFmt w:val="bullet"/>
      <w:lvlText w:val="-"/>
      <w:lvlJc w:val="left"/>
      <w:pPr>
        <w:tabs>
          <w:tab w:val="num" w:pos="2160"/>
        </w:tabs>
        <w:ind w:left="2160" w:hanging="360"/>
      </w:pPr>
      <w:rPr>
        <w:rFonts w:ascii="Times New Roman" w:hAnsi="Times New Roman" w:hint="default"/>
      </w:rPr>
    </w:lvl>
    <w:lvl w:ilvl="3" w:tplc="D74E66A8" w:tentative="1">
      <w:start w:val="1"/>
      <w:numFmt w:val="bullet"/>
      <w:lvlText w:val="-"/>
      <w:lvlJc w:val="left"/>
      <w:pPr>
        <w:tabs>
          <w:tab w:val="num" w:pos="2880"/>
        </w:tabs>
        <w:ind w:left="2880" w:hanging="360"/>
      </w:pPr>
      <w:rPr>
        <w:rFonts w:ascii="Times New Roman" w:hAnsi="Times New Roman" w:hint="default"/>
      </w:rPr>
    </w:lvl>
    <w:lvl w:ilvl="4" w:tplc="AB36BE22" w:tentative="1">
      <w:start w:val="1"/>
      <w:numFmt w:val="bullet"/>
      <w:lvlText w:val="-"/>
      <w:lvlJc w:val="left"/>
      <w:pPr>
        <w:tabs>
          <w:tab w:val="num" w:pos="3600"/>
        </w:tabs>
        <w:ind w:left="3600" w:hanging="360"/>
      </w:pPr>
      <w:rPr>
        <w:rFonts w:ascii="Times New Roman" w:hAnsi="Times New Roman" w:hint="default"/>
      </w:rPr>
    </w:lvl>
    <w:lvl w:ilvl="5" w:tplc="9FCCE6F0" w:tentative="1">
      <w:start w:val="1"/>
      <w:numFmt w:val="bullet"/>
      <w:lvlText w:val="-"/>
      <w:lvlJc w:val="left"/>
      <w:pPr>
        <w:tabs>
          <w:tab w:val="num" w:pos="4320"/>
        </w:tabs>
        <w:ind w:left="4320" w:hanging="360"/>
      </w:pPr>
      <w:rPr>
        <w:rFonts w:ascii="Times New Roman" w:hAnsi="Times New Roman" w:hint="default"/>
      </w:rPr>
    </w:lvl>
    <w:lvl w:ilvl="6" w:tplc="0BE23A9E" w:tentative="1">
      <w:start w:val="1"/>
      <w:numFmt w:val="bullet"/>
      <w:lvlText w:val="-"/>
      <w:lvlJc w:val="left"/>
      <w:pPr>
        <w:tabs>
          <w:tab w:val="num" w:pos="5040"/>
        </w:tabs>
        <w:ind w:left="5040" w:hanging="360"/>
      </w:pPr>
      <w:rPr>
        <w:rFonts w:ascii="Times New Roman" w:hAnsi="Times New Roman" w:hint="default"/>
      </w:rPr>
    </w:lvl>
    <w:lvl w:ilvl="7" w:tplc="4A90C3A6" w:tentative="1">
      <w:start w:val="1"/>
      <w:numFmt w:val="bullet"/>
      <w:lvlText w:val="-"/>
      <w:lvlJc w:val="left"/>
      <w:pPr>
        <w:tabs>
          <w:tab w:val="num" w:pos="5760"/>
        </w:tabs>
        <w:ind w:left="5760" w:hanging="360"/>
      </w:pPr>
      <w:rPr>
        <w:rFonts w:ascii="Times New Roman" w:hAnsi="Times New Roman" w:hint="default"/>
      </w:rPr>
    </w:lvl>
    <w:lvl w:ilvl="8" w:tplc="534AD0D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474CFF"/>
    <w:multiLevelType w:val="hybridMultilevel"/>
    <w:tmpl w:val="1F66F088"/>
    <w:lvl w:ilvl="0" w:tplc="1A3CD55A">
      <w:start w:val="1"/>
      <w:numFmt w:val="bullet"/>
      <w:lvlText w:val="•"/>
      <w:lvlJc w:val="left"/>
      <w:pPr>
        <w:tabs>
          <w:tab w:val="num" w:pos="720"/>
        </w:tabs>
        <w:ind w:left="720" w:hanging="360"/>
      </w:pPr>
      <w:rPr>
        <w:rFonts w:ascii="Arial" w:hAnsi="Arial" w:hint="default"/>
      </w:rPr>
    </w:lvl>
    <w:lvl w:ilvl="1" w:tplc="856C1EC2">
      <w:start w:val="270"/>
      <w:numFmt w:val="bullet"/>
      <w:lvlText w:val="-"/>
      <w:lvlJc w:val="left"/>
      <w:pPr>
        <w:tabs>
          <w:tab w:val="num" w:pos="1440"/>
        </w:tabs>
        <w:ind w:left="1440" w:hanging="360"/>
      </w:pPr>
      <w:rPr>
        <w:rFonts w:ascii="Times New Roman" w:hAnsi="Times New Roman" w:hint="default"/>
      </w:rPr>
    </w:lvl>
    <w:lvl w:ilvl="2" w:tplc="7C485604" w:tentative="1">
      <w:start w:val="1"/>
      <w:numFmt w:val="bullet"/>
      <w:lvlText w:val="•"/>
      <w:lvlJc w:val="left"/>
      <w:pPr>
        <w:tabs>
          <w:tab w:val="num" w:pos="2160"/>
        </w:tabs>
        <w:ind w:left="2160" w:hanging="360"/>
      </w:pPr>
      <w:rPr>
        <w:rFonts w:ascii="Arial" w:hAnsi="Arial" w:hint="default"/>
      </w:rPr>
    </w:lvl>
    <w:lvl w:ilvl="3" w:tplc="39FCFAB6" w:tentative="1">
      <w:start w:val="1"/>
      <w:numFmt w:val="bullet"/>
      <w:lvlText w:val="•"/>
      <w:lvlJc w:val="left"/>
      <w:pPr>
        <w:tabs>
          <w:tab w:val="num" w:pos="2880"/>
        </w:tabs>
        <w:ind w:left="2880" w:hanging="360"/>
      </w:pPr>
      <w:rPr>
        <w:rFonts w:ascii="Arial" w:hAnsi="Arial" w:hint="default"/>
      </w:rPr>
    </w:lvl>
    <w:lvl w:ilvl="4" w:tplc="B148B45A" w:tentative="1">
      <w:start w:val="1"/>
      <w:numFmt w:val="bullet"/>
      <w:lvlText w:val="•"/>
      <w:lvlJc w:val="left"/>
      <w:pPr>
        <w:tabs>
          <w:tab w:val="num" w:pos="3600"/>
        </w:tabs>
        <w:ind w:left="3600" w:hanging="360"/>
      </w:pPr>
      <w:rPr>
        <w:rFonts w:ascii="Arial" w:hAnsi="Arial" w:hint="default"/>
      </w:rPr>
    </w:lvl>
    <w:lvl w:ilvl="5" w:tplc="8D8EECEE" w:tentative="1">
      <w:start w:val="1"/>
      <w:numFmt w:val="bullet"/>
      <w:lvlText w:val="•"/>
      <w:lvlJc w:val="left"/>
      <w:pPr>
        <w:tabs>
          <w:tab w:val="num" w:pos="4320"/>
        </w:tabs>
        <w:ind w:left="4320" w:hanging="360"/>
      </w:pPr>
      <w:rPr>
        <w:rFonts w:ascii="Arial" w:hAnsi="Arial" w:hint="default"/>
      </w:rPr>
    </w:lvl>
    <w:lvl w:ilvl="6" w:tplc="F5C2D16C" w:tentative="1">
      <w:start w:val="1"/>
      <w:numFmt w:val="bullet"/>
      <w:lvlText w:val="•"/>
      <w:lvlJc w:val="left"/>
      <w:pPr>
        <w:tabs>
          <w:tab w:val="num" w:pos="5040"/>
        </w:tabs>
        <w:ind w:left="5040" w:hanging="360"/>
      </w:pPr>
      <w:rPr>
        <w:rFonts w:ascii="Arial" w:hAnsi="Arial" w:hint="default"/>
      </w:rPr>
    </w:lvl>
    <w:lvl w:ilvl="7" w:tplc="B1B87E58" w:tentative="1">
      <w:start w:val="1"/>
      <w:numFmt w:val="bullet"/>
      <w:lvlText w:val="•"/>
      <w:lvlJc w:val="left"/>
      <w:pPr>
        <w:tabs>
          <w:tab w:val="num" w:pos="5760"/>
        </w:tabs>
        <w:ind w:left="5760" w:hanging="360"/>
      </w:pPr>
      <w:rPr>
        <w:rFonts w:ascii="Arial" w:hAnsi="Arial" w:hint="default"/>
      </w:rPr>
    </w:lvl>
    <w:lvl w:ilvl="8" w:tplc="5924299A" w:tentative="1">
      <w:start w:val="1"/>
      <w:numFmt w:val="bullet"/>
      <w:lvlText w:val="•"/>
      <w:lvlJc w:val="left"/>
      <w:pPr>
        <w:tabs>
          <w:tab w:val="num" w:pos="6480"/>
        </w:tabs>
        <w:ind w:left="6480" w:hanging="360"/>
      </w:pPr>
      <w:rPr>
        <w:rFonts w:ascii="Arial" w:hAnsi="Arial" w:hint="default"/>
      </w:rPr>
    </w:lvl>
  </w:abstractNum>
  <w:abstractNum w:abstractNumId="13">
    <w:nsid w:val="25695D13"/>
    <w:multiLevelType w:val="hybridMultilevel"/>
    <w:tmpl w:val="BF28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11733A"/>
    <w:multiLevelType w:val="hybridMultilevel"/>
    <w:tmpl w:val="86E0DF9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16D5576"/>
    <w:multiLevelType w:val="hybridMultilevel"/>
    <w:tmpl w:val="B784B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B55CB1"/>
    <w:multiLevelType w:val="hybridMultilevel"/>
    <w:tmpl w:val="5A829EEA"/>
    <w:lvl w:ilvl="0" w:tplc="04090017">
      <w:start w:val="1"/>
      <w:numFmt w:val="lowerLetter"/>
      <w:lvlText w:val="%1)"/>
      <w:lvlJc w:val="left"/>
      <w:pPr>
        <w:ind w:left="643" w:hanging="360"/>
      </w:pPr>
      <w:rPr>
        <w:rFonts w:hint="default"/>
      </w:rPr>
    </w:lvl>
    <w:lvl w:ilvl="1" w:tplc="9C56F596">
      <w:start w:val="1"/>
      <w:numFmt w:val="lowerLetter"/>
      <w:lvlText w:val="%2)"/>
      <w:lvlJc w:val="left"/>
      <w:pPr>
        <w:tabs>
          <w:tab w:val="num" w:pos="1363"/>
        </w:tabs>
        <w:ind w:left="1363" w:hanging="360"/>
      </w:pPr>
    </w:lvl>
    <w:lvl w:ilvl="2" w:tplc="FE1037F4">
      <w:start w:val="1"/>
      <w:numFmt w:val="bullet"/>
      <w:lvlText w:val="•"/>
      <w:lvlJc w:val="left"/>
      <w:pPr>
        <w:tabs>
          <w:tab w:val="num" w:pos="2083"/>
        </w:tabs>
        <w:ind w:left="2083" w:hanging="360"/>
      </w:pPr>
      <w:rPr>
        <w:rFonts w:ascii="Arial" w:hAnsi="Arial" w:hint="default"/>
      </w:rPr>
    </w:lvl>
    <w:lvl w:ilvl="3" w:tplc="E8E076C2" w:tentative="1">
      <w:start w:val="1"/>
      <w:numFmt w:val="bullet"/>
      <w:lvlText w:val="•"/>
      <w:lvlJc w:val="left"/>
      <w:pPr>
        <w:tabs>
          <w:tab w:val="num" w:pos="2803"/>
        </w:tabs>
        <w:ind w:left="2803" w:hanging="360"/>
      </w:pPr>
      <w:rPr>
        <w:rFonts w:ascii="Arial" w:hAnsi="Arial" w:hint="default"/>
      </w:rPr>
    </w:lvl>
    <w:lvl w:ilvl="4" w:tplc="88B04108" w:tentative="1">
      <w:start w:val="1"/>
      <w:numFmt w:val="bullet"/>
      <w:lvlText w:val="•"/>
      <w:lvlJc w:val="left"/>
      <w:pPr>
        <w:tabs>
          <w:tab w:val="num" w:pos="3523"/>
        </w:tabs>
        <w:ind w:left="3523" w:hanging="360"/>
      </w:pPr>
      <w:rPr>
        <w:rFonts w:ascii="Arial" w:hAnsi="Arial" w:hint="default"/>
      </w:rPr>
    </w:lvl>
    <w:lvl w:ilvl="5" w:tplc="571083FA" w:tentative="1">
      <w:start w:val="1"/>
      <w:numFmt w:val="bullet"/>
      <w:lvlText w:val="•"/>
      <w:lvlJc w:val="left"/>
      <w:pPr>
        <w:tabs>
          <w:tab w:val="num" w:pos="4243"/>
        </w:tabs>
        <w:ind w:left="4243" w:hanging="360"/>
      </w:pPr>
      <w:rPr>
        <w:rFonts w:ascii="Arial" w:hAnsi="Arial" w:hint="default"/>
      </w:rPr>
    </w:lvl>
    <w:lvl w:ilvl="6" w:tplc="B1744970" w:tentative="1">
      <w:start w:val="1"/>
      <w:numFmt w:val="bullet"/>
      <w:lvlText w:val="•"/>
      <w:lvlJc w:val="left"/>
      <w:pPr>
        <w:tabs>
          <w:tab w:val="num" w:pos="4963"/>
        </w:tabs>
        <w:ind w:left="4963" w:hanging="360"/>
      </w:pPr>
      <w:rPr>
        <w:rFonts w:ascii="Arial" w:hAnsi="Arial" w:hint="default"/>
      </w:rPr>
    </w:lvl>
    <w:lvl w:ilvl="7" w:tplc="A2D2E098" w:tentative="1">
      <w:start w:val="1"/>
      <w:numFmt w:val="bullet"/>
      <w:lvlText w:val="•"/>
      <w:lvlJc w:val="left"/>
      <w:pPr>
        <w:tabs>
          <w:tab w:val="num" w:pos="5683"/>
        </w:tabs>
        <w:ind w:left="5683" w:hanging="360"/>
      </w:pPr>
      <w:rPr>
        <w:rFonts w:ascii="Arial" w:hAnsi="Arial" w:hint="default"/>
      </w:rPr>
    </w:lvl>
    <w:lvl w:ilvl="8" w:tplc="BB506628" w:tentative="1">
      <w:start w:val="1"/>
      <w:numFmt w:val="bullet"/>
      <w:lvlText w:val="•"/>
      <w:lvlJc w:val="left"/>
      <w:pPr>
        <w:tabs>
          <w:tab w:val="num" w:pos="6403"/>
        </w:tabs>
        <w:ind w:left="6403" w:hanging="360"/>
      </w:pPr>
      <w:rPr>
        <w:rFonts w:ascii="Arial" w:hAnsi="Arial" w:hint="default"/>
      </w:rPr>
    </w:lvl>
  </w:abstractNum>
  <w:abstractNum w:abstractNumId="17">
    <w:nsid w:val="35292F38"/>
    <w:multiLevelType w:val="hybridMultilevel"/>
    <w:tmpl w:val="2006E400"/>
    <w:lvl w:ilvl="0" w:tplc="61021D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721BAD"/>
    <w:multiLevelType w:val="hybridMultilevel"/>
    <w:tmpl w:val="BF28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3766CA"/>
    <w:multiLevelType w:val="hybridMultilevel"/>
    <w:tmpl w:val="6382E9E0"/>
    <w:lvl w:ilvl="0" w:tplc="DC7AC9BE">
      <w:start w:val="1"/>
      <w:numFmt w:val="bullet"/>
      <w:lvlText w:val="•"/>
      <w:lvlJc w:val="left"/>
      <w:pPr>
        <w:tabs>
          <w:tab w:val="num" w:pos="720"/>
        </w:tabs>
        <w:ind w:left="720" w:hanging="360"/>
      </w:pPr>
      <w:rPr>
        <w:rFonts w:ascii="Arial" w:hAnsi="Arial" w:hint="default"/>
      </w:rPr>
    </w:lvl>
    <w:lvl w:ilvl="1" w:tplc="25429A5E">
      <w:start w:val="270"/>
      <w:numFmt w:val="bullet"/>
      <w:lvlText w:val="•"/>
      <w:lvlJc w:val="left"/>
      <w:pPr>
        <w:tabs>
          <w:tab w:val="num" w:pos="1440"/>
        </w:tabs>
        <w:ind w:left="1440" w:hanging="360"/>
      </w:pPr>
      <w:rPr>
        <w:rFonts w:ascii="Times New Roman" w:hAnsi="Times New Roman" w:hint="default"/>
      </w:rPr>
    </w:lvl>
    <w:lvl w:ilvl="2" w:tplc="6EA2B632">
      <w:start w:val="1"/>
      <w:numFmt w:val="bullet"/>
      <w:lvlText w:val="•"/>
      <w:lvlJc w:val="left"/>
      <w:pPr>
        <w:tabs>
          <w:tab w:val="num" w:pos="2160"/>
        </w:tabs>
        <w:ind w:left="2160" w:hanging="360"/>
      </w:pPr>
      <w:rPr>
        <w:rFonts w:ascii="Arial" w:hAnsi="Arial" w:hint="default"/>
      </w:rPr>
    </w:lvl>
    <w:lvl w:ilvl="3" w:tplc="330489EE" w:tentative="1">
      <w:start w:val="1"/>
      <w:numFmt w:val="bullet"/>
      <w:lvlText w:val="•"/>
      <w:lvlJc w:val="left"/>
      <w:pPr>
        <w:tabs>
          <w:tab w:val="num" w:pos="2880"/>
        </w:tabs>
        <w:ind w:left="2880" w:hanging="360"/>
      </w:pPr>
      <w:rPr>
        <w:rFonts w:ascii="Arial" w:hAnsi="Arial" w:hint="default"/>
      </w:rPr>
    </w:lvl>
    <w:lvl w:ilvl="4" w:tplc="DDA49F26" w:tentative="1">
      <w:start w:val="1"/>
      <w:numFmt w:val="bullet"/>
      <w:lvlText w:val="•"/>
      <w:lvlJc w:val="left"/>
      <w:pPr>
        <w:tabs>
          <w:tab w:val="num" w:pos="3600"/>
        </w:tabs>
        <w:ind w:left="3600" w:hanging="360"/>
      </w:pPr>
      <w:rPr>
        <w:rFonts w:ascii="Arial" w:hAnsi="Arial" w:hint="default"/>
      </w:rPr>
    </w:lvl>
    <w:lvl w:ilvl="5" w:tplc="F8440CDE" w:tentative="1">
      <w:start w:val="1"/>
      <w:numFmt w:val="bullet"/>
      <w:lvlText w:val="•"/>
      <w:lvlJc w:val="left"/>
      <w:pPr>
        <w:tabs>
          <w:tab w:val="num" w:pos="4320"/>
        </w:tabs>
        <w:ind w:left="4320" w:hanging="360"/>
      </w:pPr>
      <w:rPr>
        <w:rFonts w:ascii="Arial" w:hAnsi="Arial" w:hint="default"/>
      </w:rPr>
    </w:lvl>
    <w:lvl w:ilvl="6" w:tplc="DF4CED0C" w:tentative="1">
      <w:start w:val="1"/>
      <w:numFmt w:val="bullet"/>
      <w:lvlText w:val="•"/>
      <w:lvlJc w:val="left"/>
      <w:pPr>
        <w:tabs>
          <w:tab w:val="num" w:pos="5040"/>
        </w:tabs>
        <w:ind w:left="5040" w:hanging="360"/>
      </w:pPr>
      <w:rPr>
        <w:rFonts w:ascii="Arial" w:hAnsi="Arial" w:hint="default"/>
      </w:rPr>
    </w:lvl>
    <w:lvl w:ilvl="7" w:tplc="93A6D3B2" w:tentative="1">
      <w:start w:val="1"/>
      <w:numFmt w:val="bullet"/>
      <w:lvlText w:val="•"/>
      <w:lvlJc w:val="left"/>
      <w:pPr>
        <w:tabs>
          <w:tab w:val="num" w:pos="5760"/>
        </w:tabs>
        <w:ind w:left="5760" w:hanging="360"/>
      </w:pPr>
      <w:rPr>
        <w:rFonts w:ascii="Arial" w:hAnsi="Arial" w:hint="default"/>
      </w:rPr>
    </w:lvl>
    <w:lvl w:ilvl="8" w:tplc="F9C47B76" w:tentative="1">
      <w:start w:val="1"/>
      <w:numFmt w:val="bullet"/>
      <w:lvlText w:val="•"/>
      <w:lvlJc w:val="left"/>
      <w:pPr>
        <w:tabs>
          <w:tab w:val="num" w:pos="6480"/>
        </w:tabs>
        <w:ind w:left="6480" w:hanging="360"/>
      </w:pPr>
      <w:rPr>
        <w:rFonts w:ascii="Arial" w:hAnsi="Arial" w:hint="default"/>
      </w:rPr>
    </w:lvl>
  </w:abstractNum>
  <w:abstractNum w:abstractNumId="20">
    <w:nsid w:val="39867992"/>
    <w:multiLevelType w:val="hybridMultilevel"/>
    <w:tmpl w:val="33E41EC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3E1B473D"/>
    <w:multiLevelType w:val="hybridMultilevel"/>
    <w:tmpl w:val="61686798"/>
    <w:lvl w:ilvl="0" w:tplc="C07E2F30">
      <w:start w:val="1"/>
      <w:numFmt w:val="bullet"/>
      <w:lvlText w:val="•"/>
      <w:lvlJc w:val="left"/>
      <w:pPr>
        <w:tabs>
          <w:tab w:val="num" w:pos="720"/>
        </w:tabs>
        <w:ind w:left="720" w:hanging="360"/>
      </w:pPr>
      <w:rPr>
        <w:rFonts w:ascii="Arial" w:hAnsi="Arial" w:hint="default"/>
      </w:rPr>
    </w:lvl>
    <w:lvl w:ilvl="1" w:tplc="9C56F596">
      <w:start w:val="1"/>
      <w:numFmt w:val="lowerLetter"/>
      <w:lvlText w:val="%2)"/>
      <w:lvlJc w:val="left"/>
      <w:pPr>
        <w:tabs>
          <w:tab w:val="num" w:pos="1440"/>
        </w:tabs>
        <w:ind w:left="1440" w:hanging="360"/>
      </w:pPr>
    </w:lvl>
    <w:lvl w:ilvl="2" w:tplc="FE1037F4">
      <w:start w:val="1"/>
      <w:numFmt w:val="bullet"/>
      <w:lvlText w:val="•"/>
      <w:lvlJc w:val="left"/>
      <w:pPr>
        <w:tabs>
          <w:tab w:val="num" w:pos="2160"/>
        </w:tabs>
        <w:ind w:left="2160" w:hanging="360"/>
      </w:pPr>
      <w:rPr>
        <w:rFonts w:ascii="Arial" w:hAnsi="Arial" w:hint="default"/>
      </w:rPr>
    </w:lvl>
    <w:lvl w:ilvl="3" w:tplc="E8E076C2" w:tentative="1">
      <w:start w:val="1"/>
      <w:numFmt w:val="bullet"/>
      <w:lvlText w:val="•"/>
      <w:lvlJc w:val="left"/>
      <w:pPr>
        <w:tabs>
          <w:tab w:val="num" w:pos="2880"/>
        </w:tabs>
        <w:ind w:left="2880" w:hanging="360"/>
      </w:pPr>
      <w:rPr>
        <w:rFonts w:ascii="Arial" w:hAnsi="Arial" w:hint="default"/>
      </w:rPr>
    </w:lvl>
    <w:lvl w:ilvl="4" w:tplc="88B04108" w:tentative="1">
      <w:start w:val="1"/>
      <w:numFmt w:val="bullet"/>
      <w:lvlText w:val="•"/>
      <w:lvlJc w:val="left"/>
      <w:pPr>
        <w:tabs>
          <w:tab w:val="num" w:pos="3600"/>
        </w:tabs>
        <w:ind w:left="3600" w:hanging="360"/>
      </w:pPr>
      <w:rPr>
        <w:rFonts w:ascii="Arial" w:hAnsi="Arial" w:hint="default"/>
      </w:rPr>
    </w:lvl>
    <w:lvl w:ilvl="5" w:tplc="571083FA" w:tentative="1">
      <w:start w:val="1"/>
      <w:numFmt w:val="bullet"/>
      <w:lvlText w:val="•"/>
      <w:lvlJc w:val="left"/>
      <w:pPr>
        <w:tabs>
          <w:tab w:val="num" w:pos="4320"/>
        </w:tabs>
        <w:ind w:left="4320" w:hanging="360"/>
      </w:pPr>
      <w:rPr>
        <w:rFonts w:ascii="Arial" w:hAnsi="Arial" w:hint="default"/>
      </w:rPr>
    </w:lvl>
    <w:lvl w:ilvl="6" w:tplc="B1744970" w:tentative="1">
      <w:start w:val="1"/>
      <w:numFmt w:val="bullet"/>
      <w:lvlText w:val="•"/>
      <w:lvlJc w:val="left"/>
      <w:pPr>
        <w:tabs>
          <w:tab w:val="num" w:pos="5040"/>
        </w:tabs>
        <w:ind w:left="5040" w:hanging="360"/>
      </w:pPr>
      <w:rPr>
        <w:rFonts w:ascii="Arial" w:hAnsi="Arial" w:hint="default"/>
      </w:rPr>
    </w:lvl>
    <w:lvl w:ilvl="7" w:tplc="A2D2E098" w:tentative="1">
      <w:start w:val="1"/>
      <w:numFmt w:val="bullet"/>
      <w:lvlText w:val="•"/>
      <w:lvlJc w:val="left"/>
      <w:pPr>
        <w:tabs>
          <w:tab w:val="num" w:pos="5760"/>
        </w:tabs>
        <w:ind w:left="5760" w:hanging="360"/>
      </w:pPr>
      <w:rPr>
        <w:rFonts w:ascii="Arial" w:hAnsi="Arial" w:hint="default"/>
      </w:rPr>
    </w:lvl>
    <w:lvl w:ilvl="8" w:tplc="BB506628" w:tentative="1">
      <w:start w:val="1"/>
      <w:numFmt w:val="bullet"/>
      <w:lvlText w:val="•"/>
      <w:lvlJc w:val="left"/>
      <w:pPr>
        <w:tabs>
          <w:tab w:val="num" w:pos="6480"/>
        </w:tabs>
        <w:ind w:left="6480" w:hanging="360"/>
      </w:pPr>
      <w:rPr>
        <w:rFonts w:ascii="Arial" w:hAnsi="Arial" w:hint="default"/>
      </w:rPr>
    </w:lvl>
  </w:abstractNum>
  <w:abstractNum w:abstractNumId="22">
    <w:nsid w:val="42F74356"/>
    <w:multiLevelType w:val="hybridMultilevel"/>
    <w:tmpl w:val="F1307D36"/>
    <w:lvl w:ilvl="0" w:tplc="0A9EB86A">
      <w:start w:val="1"/>
      <w:numFmt w:val="bullet"/>
      <w:lvlText w:val="•"/>
      <w:lvlJc w:val="left"/>
      <w:pPr>
        <w:tabs>
          <w:tab w:val="num" w:pos="720"/>
        </w:tabs>
        <w:ind w:left="720" w:hanging="360"/>
      </w:pPr>
      <w:rPr>
        <w:rFonts w:ascii="Arial" w:hAnsi="Arial" w:hint="default"/>
      </w:rPr>
    </w:lvl>
    <w:lvl w:ilvl="1" w:tplc="3D9C1B62">
      <w:start w:val="270"/>
      <w:numFmt w:val="bullet"/>
      <w:lvlText w:val="•"/>
      <w:lvlJc w:val="left"/>
      <w:pPr>
        <w:tabs>
          <w:tab w:val="num" w:pos="1440"/>
        </w:tabs>
        <w:ind w:left="1440" w:hanging="360"/>
      </w:pPr>
      <w:rPr>
        <w:rFonts w:ascii="Times New Roman" w:hAnsi="Times New Roman" w:hint="default"/>
      </w:rPr>
    </w:lvl>
    <w:lvl w:ilvl="2" w:tplc="F9247DAA" w:tentative="1">
      <w:start w:val="1"/>
      <w:numFmt w:val="bullet"/>
      <w:lvlText w:val="•"/>
      <w:lvlJc w:val="left"/>
      <w:pPr>
        <w:tabs>
          <w:tab w:val="num" w:pos="2160"/>
        </w:tabs>
        <w:ind w:left="2160" w:hanging="360"/>
      </w:pPr>
      <w:rPr>
        <w:rFonts w:ascii="Arial" w:hAnsi="Arial" w:hint="default"/>
      </w:rPr>
    </w:lvl>
    <w:lvl w:ilvl="3" w:tplc="6046E2D0" w:tentative="1">
      <w:start w:val="1"/>
      <w:numFmt w:val="bullet"/>
      <w:lvlText w:val="•"/>
      <w:lvlJc w:val="left"/>
      <w:pPr>
        <w:tabs>
          <w:tab w:val="num" w:pos="2880"/>
        </w:tabs>
        <w:ind w:left="2880" w:hanging="360"/>
      </w:pPr>
      <w:rPr>
        <w:rFonts w:ascii="Arial" w:hAnsi="Arial" w:hint="default"/>
      </w:rPr>
    </w:lvl>
    <w:lvl w:ilvl="4" w:tplc="EF3432FC" w:tentative="1">
      <w:start w:val="1"/>
      <w:numFmt w:val="bullet"/>
      <w:lvlText w:val="•"/>
      <w:lvlJc w:val="left"/>
      <w:pPr>
        <w:tabs>
          <w:tab w:val="num" w:pos="3600"/>
        </w:tabs>
        <w:ind w:left="3600" w:hanging="360"/>
      </w:pPr>
      <w:rPr>
        <w:rFonts w:ascii="Arial" w:hAnsi="Arial" w:hint="default"/>
      </w:rPr>
    </w:lvl>
    <w:lvl w:ilvl="5" w:tplc="48960ADA" w:tentative="1">
      <w:start w:val="1"/>
      <w:numFmt w:val="bullet"/>
      <w:lvlText w:val="•"/>
      <w:lvlJc w:val="left"/>
      <w:pPr>
        <w:tabs>
          <w:tab w:val="num" w:pos="4320"/>
        </w:tabs>
        <w:ind w:left="4320" w:hanging="360"/>
      </w:pPr>
      <w:rPr>
        <w:rFonts w:ascii="Arial" w:hAnsi="Arial" w:hint="default"/>
      </w:rPr>
    </w:lvl>
    <w:lvl w:ilvl="6" w:tplc="BB042A74" w:tentative="1">
      <w:start w:val="1"/>
      <w:numFmt w:val="bullet"/>
      <w:lvlText w:val="•"/>
      <w:lvlJc w:val="left"/>
      <w:pPr>
        <w:tabs>
          <w:tab w:val="num" w:pos="5040"/>
        </w:tabs>
        <w:ind w:left="5040" w:hanging="360"/>
      </w:pPr>
      <w:rPr>
        <w:rFonts w:ascii="Arial" w:hAnsi="Arial" w:hint="default"/>
      </w:rPr>
    </w:lvl>
    <w:lvl w:ilvl="7" w:tplc="1E4A5840" w:tentative="1">
      <w:start w:val="1"/>
      <w:numFmt w:val="bullet"/>
      <w:lvlText w:val="•"/>
      <w:lvlJc w:val="left"/>
      <w:pPr>
        <w:tabs>
          <w:tab w:val="num" w:pos="5760"/>
        </w:tabs>
        <w:ind w:left="5760" w:hanging="360"/>
      </w:pPr>
      <w:rPr>
        <w:rFonts w:ascii="Arial" w:hAnsi="Arial" w:hint="default"/>
      </w:rPr>
    </w:lvl>
    <w:lvl w:ilvl="8" w:tplc="F3C8E4A8" w:tentative="1">
      <w:start w:val="1"/>
      <w:numFmt w:val="bullet"/>
      <w:lvlText w:val="•"/>
      <w:lvlJc w:val="left"/>
      <w:pPr>
        <w:tabs>
          <w:tab w:val="num" w:pos="6480"/>
        </w:tabs>
        <w:ind w:left="6480" w:hanging="360"/>
      </w:pPr>
      <w:rPr>
        <w:rFonts w:ascii="Arial" w:hAnsi="Arial" w:hint="default"/>
      </w:rPr>
    </w:lvl>
  </w:abstractNum>
  <w:abstractNum w:abstractNumId="23">
    <w:nsid w:val="432E6FB7"/>
    <w:multiLevelType w:val="hybridMultilevel"/>
    <w:tmpl w:val="3B0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86DE7"/>
    <w:multiLevelType w:val="hybridMultilevel"/>
    <w:tmpl w:val="08B202F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4A834172"/>
    <w:multiLevelType w:val="hybridMultilevel"/>
    <w:tmpl w:val="CF96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71E44"/>
    <w:multiLevelType w:val="hybridMultilevel"/>
    <w:tmpl w:val="9B06E374"/>
    <w:lvl w:ilvl="0" w:tplc="64882000">
      <w:start w:val="1"/>
      <w:numFmt w:val="bullet"/>
      <w:lvlText w:val="•"/>
      <w:lvlJc w:val="left"/>
      <w:pPr>
        <w:tabs>
          <w:tab w:val="num" w:pos="720"/>
        </w:tabs>
        <w:ind w:left="720" w:hanging="360"/>
      </w:pPr>
      <w:rPr>
        <w:rFonts w:ascii="Arial" w:hAnsi="Arial" w:hint="default"/>
      </w:rPr>
    </w:lvl>
    <w:lvl w:ilvl="1" w:tplc="055E4A48" w:tentative="1">
      <w:start w:val="1"/>
      <w:numFmt w:val="bullet"/>
      <w:lvlText w:val="•"/>
      <w:lvlJc w:val="left"/>
      <w:pPr>
        <w:tabs>
          <w:tab w:val="num" w:pos="1440"/>
        </w:tabs>
        <w:ind w:left="1440" w:hanging="360"/>
      </w:pPr>
      <w:rPr>
        <w:rFonts w:ascii="Arial" w:hAnsi="Arial" w:hint="default"/>
      </w:rPr>
    </w:lvl>
    <w:lvl w:ilvl="2" w:tplc="2B608AE8" w:tentative="1">
      <w:start w:val="1"/>
      <w:numFmt w:val="bullet"/>
      <w:lvlText w:val="•"/>
      <w:lvlJc w:val="left"/>
      <w:pPr>
        <w:tabs>
          <w:tab w:val="num" w:pos="2160"/>
        </w:tabs>
        <w:ind w:left="2160" w:hanging="360"/>
      </w:pPr>
      <w:rPr>
        <w:rFonts w:ascii="Arial" w:hAnsi="Arial" w:hint="default"/>
      </w:rPr>
    </w:lvl>
    <w:lvl w:ilvl="3" w:tplc="4C18C8BC" w:tentative="1">
      <w:start w:val="1"/>
      <w:numFmt w:val="bullet"/>
      <w:lvlText w:val="•"/>
      <w:lvlJc w:val="left"/>
      <w:pPr>
        <w:tabs>
          <w:tab w:val="num" w:pos="2880"/>
        </w:tabs>
        <w:ind w:left="2880" w:hanging="360"/>
      </w:pPr>
      <w:rPr>
        <w:rFonts w:ascii="Arial" w:hAnsi="Arial" w:hint="default"/>
      </w:rPr>
    </w:lvl>
    <w:lvl w:ilvl="4" w:tplc="5E8A2954" w:tentative="1">
      <w:start w:val="1"/>
      <w:numFmt w:val="bullet"/>
      <w:lvlText w:val="•"/>
      <w:lvlJc w:val="left"/>
      <w:pPr>
        <w:tabs>
          <w:tab w:val="num" w:pos="3600"/>
        </w:tabs>
        <w:ind w:left="3600" w:hanging="360"/>
      </w:pPr>
      <w:rPr>
        <w:rFonts w:ascii="Arial" w:hAnsi="Arial" w:hint="default"/>
      </w:rPr>
    </w:lvl>
    <w:lvl w:ilvl="5" w:tplc="FA04F99A" w:tentative="1">
      <w:start w:val="1"/>
      <w:numFmt w:val="bullet"/>
      <w:lvlText w:val="•"/>
      <w:lvlJc w:val="left"/>
      <w:pPr>
        <w:tabs>
          <w:tab w:val="num" w:pos="4320"/>
        </w:tabs>
        <w:ind w:left="4320" w:hanging="360"/>
      </w:pPr>
      <w:rPr>
        <w:rFonts w:ascii="Arial" w:hAnsi="Arial" w:hint="default"/>
      </w:rPr>
    </w:lvl>
    <w:lvl w:ilvl="6" w:tplc="38880596" w:tentative="1">
      <w:start w:val="1"/>
      <w:numFmt w:val="bullet"/>
      <w:lvlText w:val="•"/>
      <w:lvlJc w:val="left"/>
      <w:pPr>
        <w:tabs>
          <w:tab w:val="num" w:pos="5040"/>
        </w:tabs>
        <w:ind w:left="5040" w:hanging="360"/>
      </w:pPr>
      <w:rPr>
        <w:rFonts w:ascii="Arial" w:hAnsi="Arial" w:hint="default"/>
      </w:rPr>
    </w:lvl>
    <w:lvl w:ilvl="7" w:tplc="9F74BD4E" w:tentative="1">
      <w:start w:val="1"/>
      <w:numFmt w:val="bullet"/>
      <w:lvlText w:val="•"/>
      <w:lvlJc w:val="left"/>
      <w:pPr>
        <w:tabs>
          <w:tab w:val="num" w:pos="5760"/>
        </w:tabs>
        <w:ind w:left="5760" w:hanging="360"/>
      </w:pPr>
      <w:rPr>
        <w:rFonts w:ascii="Arial" w:hAnsi="Arial" w:hint="default"/>
      </w:rPr>
    </w:lvl>
    <w:lvl w:ilvl="8" w:tplc="F1749C7E" w:tentative="1">
      <w:start w:val="1"/>
      <w:numFmt w:val="bullet"/>
      <w:lvlText w:val="•"/>
      <w:lvlJc w:val="left"/>
      <w:pPr>
        <w:tabs>
          <w:tab w:val="num" w:pos="6480"/>
        </w:tabs>
        <w:ind w:left="6480" w:hanging="360"/>
      </w:pPr>
      <w:rPr>
        <w:rFonts w:ascii="Arial" w:hAnsi="Arial" w:hint="default"/>
      </w:rPr>
    </w:lvl>
  </w:abstractNum>
  <w:abstractNum w:abstractNumId="27">
    <w:nsid w:val="51404962"/>
    <w:multiLevelType w:val="hybridMultilevel"/>
    <w:tmpl w:val="7410F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350E42"/>
    <w:multiLevelType w:val="hybridMultilevel"/>
    <w:tmpl w:val="5CE071D2"/>
    <w:lvl w:ilvl="0" w:tplc="F3D6E718">
      <w:start w:val="1"/>
      <w:numFmt w:val="bullet"/>
      <w:lvlText w:val="•"/>
      <w:lvlJc w:val="left"/>
      <w:pPr>
        <w:tabs>
          <w:tab w:val="num" w:pos="720"/>
        </w:tabs>
        <w:ind w:left="720" w:hanging="360"/>
      </w:pPr>
      <w:rPr>
        <w:rFonts w:ascii="Arial" w:hAnsi="Arial" w:hint="default"/>
      </w:rPr>
    </w:lvl>
    <w:lvl w:ilvl="1" w:tplc="14D6C346">
      <w:start w:val="270"/>
      <w:numFmt w:val="bullet"/>
      <w:lvlText w:val="-"/>
      <w:lvlJc w:val="left"/>
      <w:pPr>
        <w:tabs>
          <w:tab w:val="num" w:pos="1440"/>
        </w:tabs>
        <w:ind w:left="1440" w:hanging="360"/>
      </w:pPr>
      <w:rPr>
        <w:rFonts w:ascii="Times New Roman" w:hAnsi="Times New Roman" w:hint="default"/>
      </w:rPr>
    </w:lvl>
    <w:lvl w:ilvl="2" w:tplc="D8D60600" w:tentative="1">
      <w:start w:val="1"/>
      <w:numFmt w:val="bullet"/>
      <w:lvlText w:val="•"/>
      <w:lvlJc w:val="left"/>
      <w:pPr>
        <w:tabs>
          <w:tab w:val="num" w:pos="2160"/>
        </w:tabs>
        <w:ind w:left="2160" w:hanging="360"/>
      </w:pPr>
      <w:rPr>
        <w:rFonts w:ascii="Arial" w:hAnsi="Arial" w:hint="default"/>
      </w:rPr>
    </w:lvl>
    <w:lvl w:ilvl="3" w:tplc="B178D994" w:tentative="1">
      <w:start w:val="1"/>
      <w:numFmt w:val="bullet"/>
      <w:lvlText w:val="•"/>
      <w:lvlJc w:val="left"/>
      <w:pPr>
        <w:tabs>
          <w:tab w:val="num" w:pos="2880"/>
        </w:tabs>
        <w:ind w:left="2880" w:hanging="360"/>
      </w:pPr>
      <w:rPr>
        <w:rFonts w:ascii="Arial" w:hAnsi="Arial" w:hint="default"/>
      </w:rPr>
    </w:lvl>
    <w:lvl w:ilvl="4" w:tplc="9B94F458" w:tentative="1">
      <w:start w:val="1"/>
      <w:numFmt w:val="bullet"/>
      <w:lvlText w:val="•"/>
      <w:lvlJc w:val="left"/>
      <w:pPr>
        <w:tabs>
          <w:tab w:val="num" w:pos="3600"/>
        </w:tabs>
        <w:ind w:left="3600" w:hanging="360"/>
      </w:pPr>
      <w:rPr>
        <w:rFonts w:ascii="Arial" w:hAnsi="Arial" w:hint="default"/>
      </w:rPr>
    </w:lvl>
    <w:lvl w:ilvl="5" w:tplc="9546410E" w:tentative="1">
      <w:start w:val="1"/>
      <w:numFmt w:val="bullet"/>
      <w:lvlText w:val="•"/>
      <w:lvlJc w:val="left"/>
      <w:pPr>
        <w:tabs>
          <w:tab w:val="num" w:pos="4320"/>
        </w:tabs>
        <w:ind w:left="4320" w:hanging="360"/>
      </w:pPr>
      <w:rPr>
        <w:rFonts w:ascii="Arial" w:hAnsi="Arial" w:hint="default"/>
      </w:rPr>
    </w:lvl>
    <w:lvl w:ilvl="6" w:tplc="1382DF76" w:tentative="1">
      <w:start w:val="1"/>
      <w:numFmt w:val="bullet"/>
      <w:lvlText w:val="•"/>
      <w:lvlJc w:val="left"/>
      <w:pPr>
        <w:tabs>
          <w:tab w:val="num" w:pos="5040"/>
        </w:tabs>
        <w:ind w:left="5040" w:hanging="360"/>
      </w:pPr>
      <w:rPr>
        <w:rFonts w:ascii="Arial" w:hAnsi="Arial" w:hint="default"/>
      </w:rPr>
    </w:lvl>
    <w:lvl w:ilvl="7" w:tplc="6AA01112" w:tentative="1">
      <w:start w:val="1"/>
      <w:numFmt w:val="bullet"/>
      <w:lvlText w:val="•"/>
      <w:lvlJc w:val="left"/>
      <w:pPr>
        <w:tabs>
          <w:tab w:val="num" w:pos="5760"/>
        </w:tabs>
        <w:ind w:left="5760" w:hanging="360"/>
      </w:pPr>
      <w:rPr>
        <w:rFonts w:ascii="Arial" w:hAnsi="Arial" w:hint="default"/>
      </w:rPr>
    </w:lvl>
    <w:lvl w:ilvl="8" w:tplc="2D50D8A8" w:tentative="1">
      <w:start w:val="1"/>
      <w:numFmt w:val="bullet"/>
      <w:lvlText w:val="•"/>
      <w:lvlJc w:val="left"/>
      <w:pPr>
        <w:tabs>
          <w:tab w:val="num" w:pos="6480"/>
        </w:tabs>
        <w:ind w:left="6480" w:hanging="360"/>
      </w:pPr>
      <w:rPr>
        <w:rFonts w:ascii="Arial" w:hAnsi="Arial" w:hint="default"/>
      </w:rPr>
    </w:lvl>
  </w:abstractNum>
  <w:abstractNum w:abstractNumId="29">
    <w:nsid w:val="54655B8A"/>
    <w:multiLevelType w:val="multilevel"/>
    <w:tmpl w:val="17D8377C"/>
    <w:lvl w:ilvl="0">
      <w:start w:val="1"/>
      <w:numFmt w:val="decimal"/>
      <w:lvlText w:val="%1."/>
      <w:lvlJc w:val="left"/>
      <w:pPr>
        <w:ind w:left="1004" w:hanging="720"/>
      </w:pPr>
      <w:rPr>
        <w:rFonts w:hint="default"/>
      </w:rPr>
    </w:lvl>
    <w:lvl w:ilvl="1">
      <w:start w:val="3"/>
      <w:numFmt w:val="decimal"/>
      <w:isLgl/>
      <w:lvlText w:val="%1.%2"/>
      <w:lvlJc w:val="left"/>
      <w:pPr>
        <w:ind w:left="1594" w:hanging="4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0">
    <w:nsid w:val="56C50B91"/>
    <w:multiLevelType w:val="hybridMultilevel"/>
    <w:tmpl w:val="F692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0B727A"/>
    <w:multiLevelType w:val="hybridMultilevel"/>
    <w:tmpl w:val="13843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131657"/>
    <w:multiLevelType w:val="hybridMultilevel"/>
    <w:tmpl w:val="80A82898"/>
    <w:lvl w:ilvl="0" w:tplc="D32AB178">
      <w:start w:val="1"/>
      <w:numFmt w:val="bullet"/>
      <w:lvlText w:val="•"/>
      <w:lvlJc w:val="left"/>
      <w:pPr>
        <w:tabs>
          <w:tab w:val="num" w:pos="720"/>
        </w:tabs>
        <w:ind w:left="720" w:hanging="360"/>
      </w:pPr>
      <w:rPr>
        <w:rFonts w:ascii="Arial" w:hAnsi="Arial" w:hint="default"/>
      </w:rPr>
    </w:lvl>
    <w:lvl w:ilvl="1" w:tplc="D20467DA" w:tentative="1">
      <w:start w:val="1"/>
      <w:numFmt w:val="bullet"/>
      <w:lvlText w:val="•"/>
      <w:lvlJc w:val="left"/>
      <w:pPr>
        <w:tabs>
          <w:tab w:val="num" w:pos="1440"/>
        </w:tabs>
        <w:ind w:left="1440" w:hanging="360"/>
      </w:pPr>
      <w:rPr>
        <w:rFonts w:ascii="Arial" w:hAnsi="Arial" w:hint="default"/>
      </w:rPr>
    </w:lvl>
    <w:lvl w:ilvl="2" w:tplc="AB264496" w:tentative="1">
      <w:start w:val="1"/>
      <w:numFmt w:val="bullet"/>
      <w:lvlText w:val="•"/>
      <w:lvlJc w:val="left"/>
      <w:pPr>
        <w:tabs>
          <w:tab w:val="num" w:pos="2160"/>
        </w:tabs>
        <w:ind w:left="2160" w:hanging="360"/>
      </w:pPr>
      <w:rPr>
        <w:rFonts w:ascii="Arial" w:hAnsi="Arial" w:hint="default"/>
      </w:rPr>
    </w:lvl>
    <w:lvl w:ilvl="3" w:tplc="A148F172" w:tentative="1">
      <w:start w:val="1"/>
      <w:numFmt w:val="bullet"/>
      <w:lvlText w:val="•"/>
      <w:lvlJc w:val="left"/>
      <w:pPr>
        <w:tabs>
          <w:tab w:val="num" w:pos="2880"/>
        </w:tabs>
        <w:ind w:left="2880" w:hanging="360"/>
      </w:pPr>
      <w:rPr>
        <w:rFonts w:ascii="Arial" w:hAnsi="Arial" w:hint="default"/>
      </w:rPr>
    </w:lvl>
    <w:lvl w:ilvl="4" w:tplc="2C54ED0E" w:tentative="1">
      <w:start w:val="1"/>
      <w:numFmt w:val="bullet"/>
      <w:lvlText w:val="•"/>
      <w:lvlJc w:val="left"/>
      <w:pPr>
        <w:tabs>
          <w:tab w:val="num" w:pos="3600"/>
        </w:tabs>
        <w:ind w:left="3600" w:hanging="360"/>
      </w:pPr>
      <w:rPr>
        <w:rFonts w:ascii="Arial" w:hAnsi="Arial" w:hint="default"/>
      </w:rPr>
    </w:lvl>
    <w:lvl w:ilvl="5" w:tplc="E9DC2B86" w:tentative="1">
      <w:start w:val="1"/>
      <w:numFmt w:val="bullet"/>
      <w:lvlText w:val="•"/>
      <w:lvlJc w:val="left"/>
      <w:pPr>
        <w:tabs>
          <w:tab w:val="num" w:pos="4320"/>
        </w:tabs>
        <w:ind w:left="4320" w:hanging="360"/>
      </w:pPr>
      <w:rPr>
        <w:rFonts w:ascii="Arial" w:hAnsi="Arial" w:hint="default"/>
      </w:rPr>
    </w:lvl>
    <w:lvl w:ilvl="6" w:tplc="1DBE5474" w:tentative="1">
      <w:start w:val="1"/>
      <w:numFmt w:val="bullet"/>
      <w:lvlText w:val="•"/>
      <w:lvlJc w:val="left"/>
      <w:pPr>
        <w:tabs>
          <w:tab w:val="num" w:pos="5040"/>
        </w:tabs>
        <w:ind w:left="5040" w:hanging="360"/>
      </w:pPr>
      <w:rPr>
        <w:rFonts w:ascii="Arial" w:hAnsi="Arial" w:hint="default"/>
      </w:rPr>
    </w:lvl>
    <w:lvl w:ilvl="7" w:tplc="5FCED228" w:tentative="1">
      <w:start w:val="1"/>
      <w:numFmt w:val="bullet"/>
      <w:lvlText w:val="•"/>
      <w:lvlJc w:val="left"/>
      <w:pPr>
        <w:tabs>
          <w:tab w:val="num" w:pos="5760"/>
        </w:tabs>
        <w:ind w:left="5760" w:hanging="360"/>
      </w:pPr>
      <w:rPr>
        <w:rFonts w:ascii="Arial" w:hAnsi="Arial" w:hint="default"/>
      </w:rPr>
    </w:lvl>
    <w:lvl w:ilvl="8" w:tplc="D68426FA" w:tentative="1">
      <w:start w:val="1"/>
      <w:numFmt w:val="bullet"/>
      <w:lvlText w:val="•"/>
      <w:lvlJc w:val="left"/>
      <w:pPr>
        <w:tabs>
          <w:tab w:val="num" w:pos="6480"/>
        </w:tabs>
        <w:ind w:left="6480" w:hanging="360"/>
      </w:pPr>
      <w:rPr>
        <w:rFonts w:ascii="Arial" w:hAnsi="Arial" w:hint="default"/>
      </w:rPr>
    </w:lvl>
  </w:abstractNum>
  <w:abstractNum w:abstractNumId="33">
    <w:nsid w:val="63590ADA"/>
    <w:multiLevelType w:val="hybridMultilevel"/>
    <w:tmpl w:val="16727EF0"/>
    <w:lvl w:ilvl="0" w:tplc="346C694C">
      <w:start w:val="1"/>
      <w:numFmt w:val="bullet"/>
      <w:lvlText w:val="•"/>
      <w:lvlJc w:val="left"/>
      <w:pPr>
        <w:tabs>
          <w:tab w:val="num" w:pos="720"/>
        </w:tabs>
        <w:ind w:left="720" w:hanging="360"/>
      </w:pPr>
      <w:rPr>
        <w:rFonts w:ascii="Arial" w:hAnsi="Arial" w:hint="default"/>
      </w:rPr>
    </w:lvl>
    <w:lvl w:ilvl="1" w:tplc="0D082FC0" w:tentative="1">
      <w:start w:val="1"/>
      <w:numFmt w:val="bullet"/>
      <w:lvlText w:val="•"/>
      <w:lvlJc w:val="left"/>
      <w:pPr>
        <w:tabs>
          <w:tab w:val="num" w:pos="1440"/>
        </w:tabs>
        <w:ind w:left="1440" w:hanging="360"/>
      </w:pPr>
      <w:rPr>
        <w:rFonts w:ascii="Arial" w:hAnsi="Arial" w:hint="default"/>
      </w:rPr>
    </w:lvl>
    <w:lvl w:ilvl="2" w:tplc="449A24A2" w:tentative="1">
      <w:start w:val="1"/>
      <w:numFmt w:val="bullet"/>
      <w:lvlText w:val="•"/>
      <w:lvlJc w:val="left"/>
      <w:pPr>
        <w:tabs>
          <w:tab w:val="num" w:pos="2160"/>
        </w:tabs>
        <w:ind w:left="2160" w:hanging="360"/>
      </w:pPr>
      <w:rPr>
        <w:rFonts w:ascii="Arial" w:hAnsi="Arial" w:hint="default"/>
      </w:rPr>
    </w:lvl>
    <w:lvl w:ilvl="3" w:tplc="9C3A0992" w:tentative="1">
      <w:start w:val="1"/>
      <w:numFmt w:val="bullet"/>
      <w:lvlText w:val="•"/>
      <w:lvlJc w:val="left"/>
      <w:pPr>
        <w:tabs>
          <w:tab w:val="num" w:pos="2880"/>
        </w:tabs>
        <w:ind w:left="2880" w:hanging="360"/>
      </w:pPr>
      <w:rPr>
        <w:rFonts w:ascii="Arial" w:hAnsi="Arial" w:hint="default"/>
      </w:rPr>
    </w:lvl>
    <w:lvl w:ilvl="4" w:tplc="76146F10" w:tentative="1">
      <w:start w:val="1"/>
      <w:numFmt w:val="bullet"/>
      <w:lvlText w:val="•"/>
      <w:lvlJc w:val="left"/>
      <w:pPr>
        <w:tabs>
          <w:tab w:val="num" w:pos="3600"/>
        </w:tabs>
        <w:ind w:left="3600" w:hanging="360"/>
      </w:pPr>
      <w:rPr>
        <w:rFonts w:ascii="Arial" w:hAnsi="Arial" w:hint="default"/>
      </w:rPr>
    </w:lvl>
    <w:lvl w:ilvl="5" w:tplc="3B4C1CDA" w:tentative="1">
      <w:start w:val="1"/>
      <w:numFmt w:val="bullet"/>
      <w:lvlText w:val="•"/>
      <w:lvlJc w:val="left"/>
      <w:pPr>
        <w:tabs>
          <w:tab w:val="num" w:pos="4320"/>
        </w:tabs>
        <w:ind w:left="4320" w:hanging="360"/>
      </w:pPr>
      <w:rPr>
        <w:rFonts w:ascii="Arial" w:hAnsi="Arial" w:hint="default"/>
      </w:rPr>
    </w:lvl>
    <w:lvl w:ilvl="6" w:tplc="3B98BF34" w:tentative="1">
      <w:start w:val="1"/>
      <w:numFmt w:val="bullet"/>
      <w:lvlText w:val="•"/>
      <w:lvlJc w:val="left"/>
      <w:pPr>
        <w:tabs>
          <w:tab w:val="num" w:pos="5040"/>
        </w:tabs>
        <w:ind w:left="5040" w:hanging="360"/>
      </w:pPr>
      <w:rPr>
        <w:rFonts w:ascii="Arial" w:hAnsi="Arial" w:hint="default"/>
      </w:rPr>
    </w:lvl>
    <w:lvl w:ilvl="7" w:tplc="9D88F596" w:tentative="1">
      <w:start w:val="1"/>
      <w:numFmt w:val="bullet"/>
      <w:lvlText w:val="•"/>
      <w:lvlJc w:val="left"/>
      <w:pPr>
        <w:tabs>
          <w:tab w:val="num" w:pos="5760"/>
        </w:tabs>
        <w:ind w:left="5760" w:hanging="360"/>
      </w:pPr>
      <w:rPr>
        <w:rFonts w:ascii="Arial" w:hAnsi="Arial" w:hint="default"/>
      </w:rPr>
    </w:lvl>
    <w:lvl w:ilvl="8" w:tplc="37566BD0" w:tentative="1">
      <w:start w:val="1"/>
      <w:numFmt w:val="bullet"/>
      <w:lvlText w:val="•"/>
      <w:lvlJc w:val="left"/>
      <w:pPr>
        <w:tabs>
          <w:tab w:val="num" w:pos="6480"/>
        </w:tabs>
        <w:ind w:left="6480" w:hanging="360"/>
      </w:pPr>
      <w:rPr>
        <w:rFonts w:ascii="Arial" w:hAnsi="Arial" w:hint="default"/>
      </w:rPr>
    </w:lvl>
  </w:abstractNum>
  <w:abstractNum w:abstractNumId="34">
    <w:nsid w:val="650F2E47"/>
    <w:multiLevelType w:val="hybridMultilevel"/>
    <w:tmpl w:val="057A9868"/>
    <w:lvl w:ilvl="0" w:tplc="3BF0B76A">
      <w:start w:val="1"/>
      <w:numFmt w:val="bullet"/>
      <w:lvlText w:val=""/>
      <w:lvlPicBulletId w:val="0"/>
      <w:lvlJc w:val="left"/>
      <w:pPr>
        <w:tabs>
          <w:tab w:val="num" w:pos="720"/>
        </w:tabs>
        <w:ind w:left="720" w:hanging="360"/>
      </w:pPr>
      <w:rPr>
        <w:rFonts w:ascii="Symbol" w:hAnsi="Symbol" w:hint="default"/>
      </w:rPr>
    </w:lvl>
    <w:lvl w:ilvl="1" w:tplc="DC924B50" w:tentative="1">
      <w:start w:val="1"/>
      <w:numFmt w:val="bullet"/>
      <w:lvlText w:val=""/>
      <w:lvlJc w:val="left"/>
      <w:pPr>
        <w:tabs>
          <w:tab w:val="num" w:pos="1440"/>
        </w:tabs>
        <w:ind w:left="1440" w:hanging="360"/>
      </w:pPr>
      <w:rPr>
        <w:rFonts w:ascii="Symbol" w:hAnsi="Symbol" w:hint="default"/>
      </w:rPr>
    </w:lvl>
    <w:lvl w:ilvl="2" w:tplc="A57C0FAA" w:tentative="1">
      <w:start w:val="1"/>
      <w:numFmt w:val="bullet"/>
      <w:lvlText w:val=""/>
      <w:lvlJc w:val="left"/>
      <w:pPr>
        <w:tabs>
          <w:tab w:val="num" w:pos="2160"/>
        </w:tabs>
        <w:ind w:left="2160" w:hanging="360"/>
      </w:pPr>
      <w:rPr>
        <w:rFonts w:ascii="Symbol" w:hAnsi="Symbol" w:hint="default"/>
      </w:rPr>
    </w:lvl>
    <w:lvl w:ilvl="3" w:tplc="2FF89D9E" w:tentative="1">
      <w:start w:val="1"/>
      <w:numFmt w:val="bullet"/>
      <w:lvlText w:val=""/>
      <w:lvlJc w:val="left"/>
      <w:pPr>
        <w:tabs>
          <w:tab w:val="num" w:pos="2880"/>
        </w:tabs>
        <w:ind w:left="2880" w:hanging="360"/>
      </w:pPr>
      <w:rPr>
        <w:rFonts w:ascii="Symbol" w:hAnsi="Symbol" w:hint="default"/>
      </w:rPr>
    </w:lvl>
    <w:lvl w:ilvl="4" w:tplc="21503B4E" w:tentative="1">
      <w:start w:val="1"/>
      <w:numFmt w:val="bullet"/>
      <w:lvlText w:val=""/>
      <w:lvlJc w:val="left"/>
      <w:pPr>
        <w:tabs>
          <w:tab w:val="num" w:pos="3600"/>
        </w:tabs>
        <w:ind w:left="3600" w:hanging="360"/>
      </w:pPr>
      <w:rPr>
        <w:rFonts w:ascii="Symbol" w:hAnsi="Symbol" w:hint="default"/>
      </w:rPr>
    </w:lvl>
    <w:lvl w:ilvl="5" w:tplc="86108D02" w:tentative="1">
      <w:start w:val="1"/>
      <w:numFmt w:val="bullet"/>
      <w:lvlText w:val=""/>
      <w:lvlJc w:val="left"/>
      <w:pPr>
        <w:tabs>
          <w:tab w:val="num" w:pos="4320"/>
        </w:tabs>
        <w:ind w:left="4320" w:hanging="360"/>
      </w:pPr>
      <w:rPr>
        <w:rFonts w:ascii="Symbol" w:hAnsi="Symbol" w:hint="default"/>
      </w:rPr>
    </w:lvl>
    <w:lvl w:ilvl="6" w:tplc="1C625BF6" w:tentative="1">
      <w:start w:val="1"/>
      <w:numFmt w:val="bullet"/>
      <w:lvlText w:val=""/>
      <w:lvlJc w:val="left"/>
      <w:pPr>
        <w:tabs>
          <w:tab w:val="num" w:pos="5040"/>
        </w:tabs>
        <w:ind w:left="5040" w:hanging="360"/>
      </w:pPr>
      <w:rPr>
        <w:rFonts w:ascii="Symbol" w:hAnsi="Symbol" w:hint="default"/>
      </w:rPr>
    </w:lvl>
    <w:lvl w:ilvl="7" w:tplc="64EC1A46" w:tentative="1">
      <w:start w:val="1"/>
      <w:numFmt w:val="bullet"/>
      <w:lvlText w:val=""/>
      <w:lvlJc w:val="left"/>
      <w:pPr>
        <w:tabs>
          <w:tab w:val="num" w:pos="5760"/>
        </w:tabs>
        <w:ind w:left="5760" w:hanging="360"/>
      </w:pPr>
      <w:rPr>
        <w:rFonts w:ascii="Symbol" w:hAnsi="Symbol" w:hint="default"/>
      </w:rPr>
    </w:lvl>
    <w:lvl w:ilvl="8" w:tplc="4524E5CA" w:tentative="1">
      <w:start w:val="1"/>
      <w:numFmt w:val="bullet"/>
      <w:lvlText w:val=""/>
      <w:lvlJc w:val="left"/>
      <w:pPr>
        <w:tabs>
          <w:tab w:val="num" w:pos="6480"/>
        </w:tabs>
        <w:ind w:left="6480" w:hanging="360"/>
      </w:pPr>
      <w:rPr>
        <w:rFonts w:ascii="Symbol" w:hAnsi="Symbol" w:hint="default"/>
      </w:rPr>
    </w:lvl>
  </w:abstractNum>
  <w:abstractNum w:abstractNumId="35">
    <w:nsid w:val="6953692E"/>
    <w:multiLevelType w:val="hybridMultilevel"/>
    <w:tmpl w:val="CCFA32A0"/>
    <w:lvl w:ilvl="0" w:tplc="9E5491AE">
      <w:start w:val="1"/>
      <w:numFmt w:val="bullet"/>
      <w:lvlText w:val="•"/>
      <w:lvlJc w:val="left"/>
      <w:pPr>
        <w:tabs>
          <w:tab w:val="num" w:pos="720"/>
        </w:tabs>
        <w:ind w:left="720" w:hanging="360"/>
      </w:pPr>
      <w:rPr>
        <w:rFonts w:ascii="Arial" w:hAnsi="Arial" w:hint="default"/>
      </w:rPr>
    </w:lvl>
    <w:lvl w:ilvl="1" w:tplc="40F8D1DA" w:tentative="1">
      <w:start w:val="1"/>
      <w:numFmt w:val="bullet"/>
      <w:lvlText w:val="•"/>
      <w:lvlJc w:val="left"/>
      <w:pPr>
        <w:tabs>
          <w:tab w:val="num" w:pos="1440"/>
        </w:tabs>
        <w:ind w:left="1440" w:hanging="360"/>
      </w:pPr>
      <w:rPr>
        <w:rFonts w:ascii="Arial" w:hAnsi="Arial" w:hint="default"/>
      </w:rPr>
    </w:lvl>
    <w:lvl w:ilvl="2" w:tplc="4BB00DE0" w:tentative="1">
      <w:start w:val="1"/>
      <w:numFmt w:val="bullet"/>
      <w:lvlText w:val="•"/>
      <w:lvlJc w:val="left"/>
      <w:pPr>
        <w:tabs>
          <w:tab w:val="num" w:pos="2160"/>
        </w:tabs>
        <w:ind w:left="2160" w:hanging="360"/>
      </w:pPr>
      <w:rPr>
        <w:rFonts w:ascii="Arial" w:hAnsi="Arial" w:hint="default"/>
      </w:rPr>
    </w:lvl>
    <w:lvl w:ilvl="3" w:tplc="AF3ACC44" w:tentative="1">
      <w:start w:val="1"/>
      <w:numFmt w:val="bullet"/>
      <w:lvlText w:val="•"/>
      <w:lvlJc w:val="left"/>
      <w:pPr>
        <w:tabs>
          <w:tab w:val="num" w:pos="2880"/>
        </w:tabs>
        <w:ind w:left="2880" w:hanging="360"/>
      </w:pPr>
      <w:rPr>
        <w:rFonts w:ascii="Arial" w:hAnsi="Arial" w:hint="default"/>
      </w:rPr>
    </w:lvl>
    <w:lvl w:ilvl="4" w:tplc="022830EE" w:tentative="1">
      <w:start w:val="1"/>
      <w:numFmt w:val="bullet"/>
      <w:lvlText w:val="•"/>
      <w:lvlJc w:val="left"/>
      <w:pPr>
        <w:tabs>
          <w:tab w:val="num" w:pos="3600"/>
        </w:tabs>
        <w:ind w:left="3600" w:hanging="360"/>
      </w:pPr>
      <w:rPr>
        <w:rFonts w:ascii="Arial" w:hAnsi="Arial" w:hint="default"/>
      </w:rPr>
    </w:lvl>
    <w:lvl w:ilvl="5" w:tplc="84182532" w:tentative="1">
      <w:start w:val="1"/>
      <w:numFmt w:val="bullet"/>
      <w:lvlText w:val="•"/>
      <w:lvlJc w:val="left"/>
      <w:pPr>
        <w:tabs>
          <w:tab w:val="num" w:pos="4320"/>
        </w:tabs>
        <w:ind w:left="4320" w:hanging="360"/>
      </w:pPr>
      <w:rPr>
        <w:rFonts w:ascii="Arial" w:hAnsi="Arial" w:hint="default"/>
      </w:rPr>
    </w:lvl>
    <w:lvl w:ilvl="6" w:tplc="4DE6D8C0" w:tentative="1">
      <w:start w:val="1"/>
      <w:numFmt w:val="bullet"/>
      <w:lvlText w:val="•"/>
      <w:lvlJc w:val="left"/>
      <w:pPr>
        <w:tabs>
          <w:tab w:val="num" w:pos="5040"/>
        </w:tabs>
        <w:ind w:left="5040" w:hanging="360"/>
      </w:pPr>
      <w:rPr>
        <w:rFonts w:ascii="Arial" w:hAnsi="Arial" w:hint="default"/>
      </w:rPr>
    </w:lvl>
    <w:lvl w:ilvl="7" w:tplc="F6F84AAE" w:tentative="1">
      <w:start w:val="1"/>
      <w:numFmt w:val="bullet"/>
      <w:lvlText w:val="•"/>
      <w:lvlJc w:val="left"/>
      <w:pPr>
        <w:tabs>
          <w:tab w:val="num" w:pos="5760"/>
        </w:tabs>
        <w:ind w:left="5760" w:hanging="360"/>
      </w:pPr>
      <w:rPr>
        <w:rFonts w:ascii="Arial" w:hAnsi="Arial" w:hint="default"/>
      </w:rPr>
    </w:lvl>
    <w:lvl w:ilvl="8" w:tplc="740C7D14" w:tentative="1">
      <w:start w:val="1"/>
      <w:numFmt w:val="bullet"/>
      <w:lvlText w:val="•"/>
      <w:lvlJc w:val="left"/>
      <w:pPr>
        <w:tabs>
          <w:tab w:val="num" w:pos="6480"/>
        </w:tabs>
        <w:ind w:left="6480" w:hanging="360"/>
      </w:pPr>
      <w:rPr>
        <w:rFonts w:ascii="Arial" w:hAnsi="Arial" w:hint="default"/>
      </w:rPr>
    </w:lvl>
  </w:abstractNum>
  <w:abstractNum w:abstractNumId="36">
    <w:nsid w:val="6BCD673A"/>
    <w:multiLevelType w:val="hybridMultilevel"/>
    <w:tmpl w:val="BF022C36"/>
    <w:lvl w:ilvl="0" w:tplc="6B784938">
      <w:start w:val="1"/>
      <w:numFmt w:val="bullet"/>
      <w:lvlText w:val="•"/>
      <w:lvlJc w:val="left"/>
      <w:pPr>
        <w:tabs>
          <w:tab w:val="num" w:pos="720"/>
        </w:tabs>
        <w:ind w:left="720" w:hanging="360"/>
      </w:pPr>
      <w:rPr>
        <w:rFonts w:ascii="Arial" w:hAnsi="Arial" w:hint="default"/>
      </w:rPr>
    </w:lvl>
    <w:lvl w:ilvl="1" w:tplc="48FC7FCC">
      <w:start w:val="270"/>
      <w:numFmt w:val="bullet"/>
      <w:lvlText w:val="•"/>
      <w:lvlJc w:val="left"/>
      <w:pPr>
        <w:tabs>
          <w:tab w:val="num" w:pos="1440"/>
        </w:tabs>
        <w:ind w:left="1440" w:hanging="360"/>
      </w:pPr>
      <w:rPr>
        <w:rFonts w:ascii="Times New Roman" w:hAnsi="Times New Roman" w:hint="default"/>
      </w:rPr>
    </w:lvl>
    <w:lvl w:ilvl="2" w:tplc="1B608954" w:tentative="1">
      <w:start w:val="1"/>
      <w:numFmt w:val="bullet"/>
      <w:lvlText w:val="•"/>
      <w:lvlJc w:val="left"/>
      <w:pPr>
        <w:tabs>
          <w:tab w:val="num" w:pos="2160"/>
        </w:tabs>
        <w:ind w:left="2160" w:hanging="360"/>
      </w:pPr>
      <w:rPr>
        <w:rFonts w:ascii="Arial" w:hAnsi="Arial" w:hint="default"/>
      </w:rPr>
    </w:lvl>
    <w:lvl w:ilvl="3" w:tplc="E61C47D4" w:tentative="1">
      <w:start w:val="1"/>
      <w:numFmt w:val="bullet"/>
      <w:lvlText w:val="•"/>
      <w:lvlJc w:val="left"/>
      <w:pPr>
        <w:tabs>
          <w:tab w:val="num" w:pos="2880"/>
        </w:tabs>
        <w:ind w:left="2880" w:hanging="360"/>
      </w:pPr>
      <w:rPr>
        <w:rFonts w:ascii="Arial" w:hAnsi="Arial" w:hint="default"/>
      </w:rPr>
    </w:lvl>
    <w:lvl w:ilvl="4" w:tplc="0A4EC4F2" w:tentative="1">
      <w:start w:val="1"/>
      <w:numFmt w:val="bullet"/>
      <w:lvlText w:val="•"/>
      <w:lvlJc w:val="left"/>
      <w:pPr>
        <w:tabs>
          <w:tab w:val="num" w:pos="3600"/>
        </w:tabs>
        <w:ind w:left="3600" w:hanging="360"/>
      </w:pPr>
      <w:rPr>
        <w:rFonts w:ascii="Arial" w:hAnsi="Arial" w:hint="default"/>
      </w:rPr>
    </w:lvl>
    <w:lvl w:ilvl="5" w:tplc="0F06C6A8" w:tentative="1">
      <w:start w:val="1"/>
      <w:numFmt w:val="bullet"/>
      <w:lvlText w:val="•"/>
      <w:lvlJc w:val="left"/>
      <w:pPr>
        <w:tabs>
          <w:tab w:val="num" w:pos="4320"/>
        </w:tabs>
        <w:ind w:left="4320" w:hanging="360"/>
      </w:pPr>
      <w:rPr>
        <w:rFonts w:ascii="Arial" w:hAnsi="Arial" w:hint="default"/>
      </w:rPr>
    </w:lvl>
    <w:lvl w:ilvl="6" w:tplc="98BA9C1C" w:tentative="1">
      <w:start w:val="1"/>
      <w:numFmt w:val="bullet"/>
      <w:lvlText w:val="•"/>
      <w:lvlJc w:val="left"/>
      <w:pPr>
        <w:tabs>
          <w:tab w:val="num" w:pos="5040"/>
        </w:tabs>
        <w:ind w:left="5040" w:hanging="360"/>
      </w:pPr>
      <w:rPr>
        <w:rFonts w:ascii="Arial" w:hAnsi="Arial" w:hint="default"/>
      </w:rPr>
    </w:lvl>
    <w:lvl w:ilvl="7" w:tplc="53BCC816" w:tentative="1">
      <w:start w:val="1"/>
      <w:numFmt w:val="bullet"/>
      <w:lvlText w:val="•"/>
      <w:lvlJc w:val="left"/>
      <w:pPr>
        <w:tabs>
          <w:tab w:val="num" w:pos="5760"/>
        </w:tabs>
        <w:ind w:left="5760" w:hanging="360"/>
      </w:pPr>
      <w:rPr>
        <w:rFonts w:ascii="Arial" w:hAnsi="Arial" w:hint="default"/>
      </w:rPr>
    </w:lvl>
    <w:lvl w:ilvl="8" w:tplc="ABF2CD34" w:tentative="1">
      <w:start w:val="1"/>
      <w:numFmt w:val="bullet"/>
      <w:lvlText w:val="•"/>
      <w:lvlJc w:val="left"/>
      <w:pPr>
        <w:tabs>
          <w:tab w:val="num" w:pos="6480"/>
        </w:tabs>
        <w:ind w:left="6480" w:hanging="360"/>
      </w:pPr>
      <w:rPr>
        <w:rFonts w:ascii="Arial" w:hAnsi="Arial" w:hint="default"/>
      </w:rPr>
    </w:lvl>
  </w:abstractNum>
  <w:abstractNum w:abstractNumId="37">
    <w:nsid w:val="6C9D17BF"/>
    <w:multiLevelType w:val="hybridMultilevel"/>
    <w:tmpl w:val="46D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355CE"/>
    <w:multiLevelType w:val="hybridMultilevel"/>
    <w:tmpl w:val="42B8E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E0C1E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C01BEE"/>
    <w:multiLevelType w:val="hybridMultilevel"/>
    <w:tmpl w:val="3F24BE60"/>
    <w:lvl w:ilvl="0" w:tplc="0888C176">
      <w:start w:val="1"/>
      <w:numFmt w:val="bullet"/>
      <w:lvlText w:val="•"/>
      <w:lvlJc w:val="left"/>
      <w:pPr>
        <w:tabs>
          <w:tab w:val="num" w:pos="720"/>
        </w:tabs>
        <w:ind w:left="720" w:hanging="360"/>
      </w:pPr>
      <w:rPr>
        <w:rFonts w:ascii="Arial" w:hAnsi="Arial" w:hint="default"/>
      </w:rPr>
    </w:lvl>
    <w:lvl w:ilvl="1" w:tplc="71B245D6" w:tentative="1">
      <w:start w:val="1"/>
      <w:numFmt w:val="bullet"/>
      <w:lvlText w:val="•"/>
      <w:lvlJc w:val="left"/>
      <w:pPr>
        <w:tabs>
          <w:tab w:val="num" w:pos="1440"/>
        </w:tabs>
        <w:ind w:left="1440" w:hanging="360"/>
      </w:pPr>
      <w:rPr>
        <w:rFonts w:ascii="Arial" w:hAnsi="Arial" w:hint="default"/>
      </w:rPr>
    </w:lvl>
    <w:lvl w:ilvl="2" w:tplc="B6402C44">
      <w:numFmt w:val="bullet"/>
      <w:lvlText w:val="-"/>
      <w:lvlJc w:val="left"/>
      <w:pPr>
        <w:tabs>
          <w:tab w:val="num" w:pos="2160"/>
        </w:tabs>
        <w:ind w:left="2160" w:hanging="360"/>
      </w:pPr>
      <w:rPr>
        <w:rFonts w:ascii="Times" w:hAnsi="Times" w:hint="default"/>
      </w:rPr>
    </w:lvl>
    <w:lvl w:ilvl="3" w:tplc="A80A14D4" w:tentative="1">
      <w:start w:val="1"/>
      <w:numFmt w:val="bullet"/>
      <w:lvlText w:val="•"/>
      <w:lvlJc w:val="left"/>
      <w:pPr>
        <w:tabs>
          <w:tab w:val="num" w:pos="2880"/>
        </w:tabs>
        <w:ind w:left="2880" w:hanging="360"/>
      </w:pPr>
      <w:rPr>
        <w:rFonts w:ascii="Arial" w:hAnsi="Arial" w:hint="default"/>
      </w:rPr>
    </w:lvl>
    <w:lvl w:ilvl="4" w:tplc="5C825190" w:tentative="1">
      <w:start w:val="1"/>
      <w:numFmt w:val="bullet"/>
      <w:lvlText w:val="•"/>
      <w:lvlJc w:val="left"/>
      <w:pPr>
        <w:tabs>
          <w:tab w:val="num" w:pos="3600"/>
        </w:tabs>
        <w:ind w:left="3600" w:hanging="360"/>
      </w:pPr>
      <w:rPr>
        <w:rFonts w:ascii="Arial" w:hAnsi="Arial" w:hint="default"/>
      </w:rPr>
    </w:lvl>
    <w:lvl w:ilvl="5" w:tplc="5D446042" w:tentative="1">
      <w:start w:val="1"/>
      <w:numFmt w:val="bullet"/>
      <w:lvlText w:val="•"/>
      <w:lvlJc w:val="left"/>
      <w:pPr>
        <w:tabs>
          <w:tab w:val="num" w:pos="4320"/>
        </w:tabs>
        <w:ind w:left="4320" w:hanging="360"/>
      </w:pPr>
      <w:rPr>
        <w:rFonts w:ascii="Arial" w:hAnsi="Arial" w:hint="default"/>
      </w:rPr>
    </w:lvl>
    <w:lvl w:ilvl="6" w:tplc="4C9686CE" w:tentative="1">
      <w:start w:val="1"/>
      <w:numFmt w:val="bullet"/>
      <w:lvlText w:val="•"/>
      <w:lvlJc w:val="left"/>
      <w:pPr>
        <w:tabs>
          <w:tab w:val="num" w:pos="5040"/>
        </w:tabs>
        <w:ind w:left="5040" w:hanging="360"/>
      </w:pPr>
      <w:rPr>
        <w:rFonts w:ascii="Arial" w:hAnsi="Arial" w:hint="default"/>
      </w:rPr>
    </w:lvl>
    <w:lvl w:ilvl="7" w:tplc="019AB564" w:tentative="1">
      <w:start w:val="1"/>
      <w:numFmt w:val="bullet"/>
      <w:lvlText w:val="•"/>
      <w:lvlJc w:val="left"/>
      <w:pPr>
        <w:tabs>
          <w:tab w:val="num" w:pos="5760"/>
        </w:tabs>
        <w:ind w:left="5760" w:hanging="360"/>
      </w:pPr>
      <w:rPr>
        <w:rFonts w:ascii="Arial" w:hAnsi="Arial" w:hint="default"/>
      </w:rPr>
    </w:lvl>
    <w:lvl w:ilvl="8" w:tplc="6CC4243A" w:tentative="1">
      <w:start w:val="1"/>
      <w:numFmt w:val="bullet"/>
      <w:lvlText w:val="•"/>
      <w:lvlJc w:val="left"/>
      <w:pPr>
        <w:tabs>
          <w:tab w:val="num" w:pos="6480"/>
        </w:tabs>
        <w:ind w:left="6480" w:hanging="360"/>
      </w:pPr>
      <w:rPr>
        <w:rFonts w:ascii="Arial" w:hAnsi="Arial" w:hint="default"/>
      </w:rPr>
    </w:lvl>
  </w:abstractNum>
  <w:abstractNum w:abstractNumId="41">
    <w:nsid w:val="742A528F"/>
    <w:multiLevelType w:val="multilevel"/>
    <w:tmpl w:val="20443516"/>
    <w:lvl w:ilvl="0">
      <w:numFmt w:val="bullet"/>
      <w:lvlText w:val="•"/>
      <w:lvlJc w:val="left"/>
      <w:pPr>
        <w:tabs>
          <w:tab w:val="num" w:pos="714"/>
        </w:tabs>
        <w:ind w:left="714" w:hanging="357"/>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2">
    <w:nsid w:val="768801C3"/>
    <w:multiLevelType w:val="hybridMultilevel"/>
    <w:tmpl w:val="239211CC"/>
    <w:lvl w:ilvl="0" w:tplc="BD94611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2201FC"/>
    <w:multiLevelType w:val="hybridMultilevel"/>
    <w:tmpl w:val="C2DC0D5A"/>
    <w:lvl w:ilvl="0" w:tplc="976EC1C0">
      <w:start w:val="1"/>
      <w:numFmt w:val="bullet"/>
      <w:lvlText w:val="•"/>
      <w:lvlJc w:val="left"/>
      <w:pPr>
        <w:tabs>
          <w:tab w:val="num" w:pos="720"/>
        </w:tabs>
        <w:ind w:left="720" w:hanging="360"/>
      </w:pPr>
      <w:rPr>
        <w:rFonts w:ascii="Arial" w:hAnsi="Arial" w:hint="default"/>
      </w:rPr>
    </w:lvl>
    <w:lvl w:ilvl="1" w:tplc="9508C03C">
      <w:start w:val="57"/>
      <w:numFmt w:val="bullet"/>
      <w:lvlText w:val="-"/>
      <w:lvlJc w:val="left"/>
      <w:pPr>
        <w:tabs>
          <w:tab w:val="num" w:pos="1440"/>
        </w:tabs>
        <w:ind w:left="1440" w:hanging="360"/>
      </w:pPr>
      <w:rPr>
        <w:rFonts w:ascii="Times New Roman" w:hAnsi="Times New Roman" w:hint="default"/>
      </w:rPr>
    </w:lvl>
    <w:lvl w:ilvl="2" w:tplc="595803BE" w:tentative="1">
      <w:start w:val="1"/>
      <w:numFmt w:val="bullet"/>
      <w:lvlText w:val="•"/>
      <w:lvlJc w:val="left"/>
      <w:pPr>
        <w:tabs>
          <w:tab w:val="num" w:pos="2160"/>
        </w:tabs>
        <w:ind w:left="2160" w:hanging="360"/>
      </w:pPr>
      <w:rPr>
        <w:rFonts w:ascii="Arial" w:hAnsi="Arial" w:hint="default"/>
      </w:rPr>
    </w:lvl>
    <w:lvl w:ilvl="3" w:tplc="DD6E64F0" w:tentative="1">
      <w:start w:val="1"/>
      <w:numFmt w:val="bullet"/>
      <w:lvlText w:val="•"/>
      <w:lvlJc w:val="left"/>
      <w:pPr>
        <w:tabs>
          <w:tab w:val="num" w:pos="2880"/>
        </w:tabs>
        <w:ind w:left="2880" w:hanging="360"/>
      </w:pPr>
      <w:rPr>
        <w:rFonts w:ascii="Arial" w:hAnsi="Arial" w:hint="default"/>
      </w:rPr>
    </w:lvl>
    <w:lvl w:ilvl="4" w:tplc="B7EA118A" w:tentative="1">
      <w:start w:val="1"/>
      <w:numFmt w:val="bullet"/>
      <w:lvlText w:val="•"/>
      <w:lvlJc w:val="left"/>
      <w:pPr>
        <w:tabs>
          <w:tab w:val="num" w:pos="3600"/>
        </w:tabs>
        <w:ind w:left="3600" w:hanging="360"/>
      </w:pPr>
      <w:rPr>
        <w:rFonts w:ascii="Arial" w:hAnsi="Arial" w:hint="default"/>
      </w:rPr>
    </w:lvl>
    <w:lvl w:ilvl="5" w:tplc="1E08629C" w:tentative="1">
      <w:start w:val="1"/>
      <w:numFmt w:val="bullet"/>
      <w:lvlText w:val="•"/>
      <w:lvlJc w:val="left"/>
      <w:pPr>
        <w:tabs>
          <w:tab w:val="num" w:pos="4320"/>
        </w:tabs>
        <w:ind w:left="4320" w:hanging="360"/>
      </w:pPr>
      <w:rPr>
        <w:rFonts w:ascii="Arial" w:hAnsi="Arial" w:hint="default"/>
      </w:rPr>
    </w:lvl>
    <w:lvl w:ilvl="6" w:tplc="90045EB2" w:tentative="1">
      <w:start w:val="1"/>
      <w:numFmt w:val="bullet"/>
      <w:lvlText w:val="•"/>
      <w:lvlJc w:val="left"/>
      <w:pPr>
        <w:tabs>
          <w:tab w:val="num" w:pos="5040"/>
        </w:tabs>
        <w:ind w:left="5040" w:hanging="360"/>
      </w:pPr>
      <w:rPr>
        <w:rFonts w:ascii="Arial" w:hAnsi="Arial" w:hint="default"/>
      </w:rPr>
    </w:lvl>
    <w:lvl w:ilvl="7" w:tplc="35881106" w:tentative="1">
      <w:start w:val="1"/>
      <w:numFmt w:val="bullet"/>
      <w:lvlText w:val="•"/>
      <w:lvlJc w:val="left"/>
      <w:pPr>
        <w:tabs>
          <w:tab w:val="num" w:pos="5760"/>
        </w:tabs>
        <w:ind w:left="5760" w:hanging="360"/>
      </w:pPr>
      <w:rPr>
        <w:rFonts w:ascii="Arial" w:hAnsi="Arial" w:hint="default"/>
      </w:rPr>
    </w:lvl>
    <w:lvl w:ilvl="8" w:tplc="53E4CCE4" w:tentative="1">
      <w:start w:val="1"/>
      <w:numFmt w:val="bullet"/>
      <w:lvlText w:val="•"/>
      <w:lvlJc w:val="left"/>
      <w:pPr>
        <w:tabs>
          <w:tab w:val="num" w:pos="6480"/>
        </w:tabs>
        <w:ind w:left="6480" w:hanging="360"/>
      </w:pPr>
      <w:rPr>
        <w:rFonts w:ascii="Arial" w:hAnsi="Arial" w:hint="default"/>
      </w:rPr>
    </w:lvl>
  </w:abstractNum>
  <w:abstractNum w:abstractNumId="44">
    <w:nsid w:val="7D6276C8"/>
    <w:multiLevelType w:val="hybridMultilevel"/>
    <w:tmpl w:val="6DA0F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A57163"/>
    <w:multiLevelType w:val="hybridMultilevel"/>
    <w:tmpl w:val="76367176"/>
    <w:lvl w:ilvl="0" w:tplc="27F079EE">
      <w:start w:val="1"/>
      <w:numFmt w:val="bullet"/>
      <w:lvlText w:val="•"/>
      <w:lvlJc w:val="left"/>
      <w:pPr>
        <w:tabs>
          <w:tab w:val="num" w:pos="720"/>
        </w:tabs>
        <w:ind w:left="720" w:hanging="360"/>
      </w:pPr>
      <w:rPr>
        <w:rFonts w:ascii="Arial" w:hAnsi="Arial" w:hint="default"/>
      </w:rPr>
    </w:lvl>
    <w:lvl w:ilvl="1" w:tplc="39B42F3C">
      <w:start w:val="13"/>
      <w:numFmt w:val="bullet"/>
      <w:lvlText w:val="•"/>
      <w:lvlJc w:val="left"/>
      <w:pPr>
        <w:tabs>
          <w:tab w:val="num" w:pos="1440"/>
        </w:tabs>
        <w:ind w:left="1440" w:hanging="360"/>
      </w:pPr>
      <w:rPr>
        <w:rFonts w:ascii="Times" w:hAnsi="Times" w:hint="default"/>
      </w:rPr>
    </w:lvl>
    <w:lvl w:ilvl="2" w:tplc="6D246674" w:tentative="1">
      <w:start w:val="1"/>
      <w:numFmt w:val="bullet"/>
      <w:lvlText w:val="•"/>
      <w:lvlJc w:val="left"/>
      <w:pPr>
        <w:tabs>
          <w:tab w:val="num" w:pos="2160"/>
        </w:tabs>
        <w:ind w:left="2160" w:hanging="360"/>
      </w:pPr>
      <w:rPr>
        <w:rFonts w:ascii="Arial" w:hAnsi="Arial" w:hint="default"/>
      </w:rPr>
    </w:lvl>
    <w:lvl w:ilvl="3" w:tplc="E83276F4" w:tentative="1">
      <w:start w:val="1"/>
      <w:numFmt w:val="bullet"/>
      <w:lvlText w:val="•"/>
      <w:lvlJc w:val="left"/>
      <w:pPr>
        <w:tabs>
          <w:tab w:val="num" w:pos="2880"/>
        </w:tabs>
        <w:ind w:left="2880" w:hanging="360"/>
      </w:pPr>
      <w:rPr>
        <w:rFonts w:ascii="Arial" w:hAnsi="Arial" w:hint="default"/>
      </w:rPr>
    </w:lvl>
    <w:lvl w:ilvl="4" w:tplc="E7E6EAE2" w:tentative="1">
      <w:start w:val="1"/>
      <w:numFmt w:val="bullet"/>
      <w:lvlText w:val="•"/>
      <w:lvlJc w:val="left"/>
      <w:pPr>
        <w:tabs>
          <w:tab w:val="num" w:pos="3600"/>
        </w:tabs>
        <w:ind w:left="3600" w:hanging="360"/>
      </w:pPr>
      <w:rPr>
        <w:rFonts w:ascii="Arial" w:hAnsi="Arial" w:hint="default"/>
      </w:rPr>
    </w:lvl>
    <w:lvl w:ilvl="5" w:tplc="9182A09A" w:tentative="1">
      <w:start w:val="1"/>
      <w:numFmt w:val="bullet"/>
      <w:lvlText w:val="•"/>
      <w:lvlJc w:val="left"/>
      <w:pPr>
        <w:tabs>
          <w:tab w:val="num" w:pos="4320"/>
        </w:tabs>
        <w:ind w:left="4320" w:hanging="360"/>
      </w:pPr>
      <w:rPr>
        <w:rFonts w:ascii="Arial" w:hAnsi="Arial" w:hint="default"/>
      </w:rPr>
    </w:lvl>
    <w:lvl w:ilvl="6" w:tplc="A2AC343C" w:tentative="1">
      <w:start w:val="1"/>
      <w:numFmt w:val="bullet"/>
      <w:lvlText w:val="•"/>
      <w:lvlJc w:val="left"/>
      <w:pPr>
        <w:tabs>
          <w:tab w:val="num" w:pos="5040"/>
        </w:tabs>
        <w:ind w:left="5040" w:hanging="360"/>
      </w:pPr>
      <w:rPr>
        <w:rFonts w:ascii="Arial" w:hAnsi="Arial" w:hint="default"/>
      </w:rPr>
    </w:lvl>
    <w:lvl w:ilvl="7" w:tplc="473E6206" w:tentative="1">
      <w:start w:val="1"/>
      <w:numFmt w:val="bullet"/>
      <w:lvlText w:val="•"/>
      <w:lvlJc w:val="left"/>
      <w:pPr>
        <w:tabs>
          <w:tab w:val="num" w:pos="5760"/>
        </w:tabs>
        <w:ind w:left="5760" w:hanging="360"/>
      </w:pPr>
      <w:rPr>
        <w:rFonts w:ascii="Arial" w:hAnsi="Arial" w:hint="default"/>
      </w:rPr>
    </w:lvl>
    <w:lvl w:ilvl="8" w:tplc="D8FA909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14"/>
  </w:num>
  <w:num w:numId="4">
    <w:abstractNumId w:val="20"/>
  </w:num>
  <w:num w:numId="5">
    <w:abstractNumId w:val="25"/>
  </w:num>
  <w:num w:numId="6">
    <w:abstractNumId w:val="31"/>
  </w:num>
  <w:num w:numId="7">
    <w:abstractNumId w:val="44"/>
  </w:num>
  <w:num w:numId="8">
    <w:abstractNumId w:val="24"/>
  </w:num>
  <w:num w:numId="9">
    <w:abstractNumId w:val="6"/>
  </w:num>
  <w:num w:numId="10">
    <w:abstractNumId w:val="30"/>
  </w:num>
  <w:num w:numId="11">
    <w:abstractNumId w:val="7"/>
  </w:num>
  <w:num w:numId="12">
    <w:abstractNumId w:val="15"/>
  </w:num>
  <w:num w:numId="13">
    <w:abstractNumId w:val="5"/>
  </w:num>
  <w:num w:numId="14">
    <w:abstractNumId w:val="13"/>
  </w:num>
  <w:num w:numId="15">
    <w:abstractNumId w:val="27"/>
  </w:num>
  <w:num w:numId="16">
    <w:abstractNumId w:val="18"/>
  </w:num>
  <w:num w:numId="17">
    <w:abstractNumId w:val="17"/>
  </w:num>
  <w:num w:numId="18">
    <w:abstractNumId w:val="23"/>
  </w:num>
  <w:num w:numId="19">
    <w:abstractNumId w:val="4"/>
  </w:num>
  <w:num w:numId="20">
    <w:abstractNumId w:val="41"/>
  </w:num>
  <w:num w:numId="21">
    <w:abstractNumId w:val="3"/>
  </w:num>
  <w:num w:numId="22">
    <w:abstractNumId w:val="26"/>
  </w:num>
  <w:num w:numId="23">
    <w:abstractNumId w:val="28"/>
  </w:num>
  <w:num w:numId="24">
    <w:abstractNumId w:val="12"/>
  </w:num>
  <w:num w:numId="25">
    <w:abstractNumId w:val="2"/>
  </w:num>
  <w:num w:numId="26">
    <w:abstractNumId w:val="19"/>
  </w:num>
  <w:num w:numId="27">
    <w:abstractNumId w:val="22"/>
  </w:num>
  <w:num w:numId="28">
    <w:abstractNumId w:val="36"/>
  </w:num>
  <w:num w:numId="29">
    <w:abstractNumId w:val="10"/>
  </w:num>
  <w:num w:numId="30">
    <w:abstractNumId w:val="35"/>
  </w:num>
  <w:num w:numId="31">
    <w:abstractNumId w:val="11"/>
  </w:num>
  <w:num w:numId="32">
    <w:abstractNumId w:val="32"/>
  </w:num>
  <w:num w:numId="33">
    <w:abstractNumId w:val="33"/>
  </w:num>
  <w:num w:numId="34">
    <w:abstractNumId w:val="21"/>
  </w:num>
  <w:num w:numId="35">
    <w:abstractNumId w:val="37"/>
  </w:num>
  <w:num w:numId="36">
    <w:abstractNumId w:val="0"/>
  </w:num>
  <w:num w:numId="37">
    <w:abstractNumId w:val="40"/>
  </w:num>
  <w:num w:numId="38">
    <w:abstractNumId w:val="8"/>
  </w:num>
  <w:num w:numId="39">
    <w:abstractNumId w:val="45"/>
  </w:num>
  <w:num w:numId="40">
    <w:abstractNumId w:val="29"/>
  </w:num>
  <w:num w:numId="41">
    <w:abstractNumId w:val="43"/>
  </w:num>
  <w:num w:numId="42">
    <w:abstractNumId w:val="16"/>
  </w:num>
  <w:num w:numId="43">
    <w:abstractNumId w:val="34"/>
  </w:num>
  <w:num w:numId="44">
    <w:abstractNumId w:val="39"/>
  </w:num>
  <w:num w:numId="45">
    <w:abstractNumId w:val="4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it-IT" w:vendorID="64" w:dllVersion="6" w:nlCheck="1" w:checkStyle="0"/>
  <w:activeWritingStyle w:appName="MSWord" w:lang="es-ES" w:vendorID="64" w:dllVersion="6" w:nlCheck="1" w:checkStyle="0"/>
  <w:activeWritingStyle w:appName="MSWord" w:lang="nb-NO"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nl-NL" w:vendorID="64" w:dllVersion="6" w:nlCheck="1" w:checkStyle="0"/>
  <w:activeWritingStyle w:appName="MSWord" w:lang="fr-FR"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nl-NL" w:vendorID="64" w:dllVersion="131078" w:nlCheck="1" w:checkStyle="0"/>
  <w:activeWritingStyle w:appName="MSWord" w:lang="es-ES" w:vendorID="64" w:dllVersion="131078" w:nlCheck="1" w:checkStyle="0"/>
  <w:activeWritingStyle w:appName="MSWord" w:lang="nb-NO" w:vendorID="64" w:dllVersion="131078" w:nlCheck="1" w:checkStyle="0"/>
  <w:activeWritingStyle w:appName="MSWord" w:lang="pt-PT" w:vendorID="64" w:dllVersion="131078" w:nlCheck="1" w:checkStyle="0"/>
  <w:activeWritingStyle w:appName="MSWord" w:lang="en-IE" w:vendorID="64" w:dllVersion="131078" w:nlCheck="1" w:checkStyle="1"/>
  <w:revisionView w:markup="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52ECF7B-505A-42F4-B32F-D51062BC1F66"/>
    <w:docVar w:name="LW_COVERPAGE_TYPE" w:val="1"/>
    <w:docVar w:name="LW_CROSSREFERENCE" w:val="&lt;EMPTY&gt;"/>
    <w:docVar w:name="LW_DocType" w:val="NORMAL"/>
    <w:docVar w:name="LW_EMISSION" w:val="24.1.2019"/>
    <w:docVar w:name="LW_EMISSION_ISODATE" w:val="2019-01-24"/>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gulamentul (UE) nr. 511/2014 al Parlamentului European \u537?i al Consiliului din_x000b_16 aprilie 2014 privind m\u259?surile de conformitate destinate utilizatorilor prev\u259?zute în Protocolul de la Nagoya privind accesul la resursele genetice \u537?i împ\u259?r\u539?irea corect\u259? \u537?i echitabil\u259? a beneficiilor care rezult\u259? din utilizarea acestora în Uniune _x000d__x000b_"/>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MS Gothic" w:hAnsi="Cambria" w:cs="Times New Roman"/>
      <w:color w:val="365F91"/>
      <w:sz w:val="32"/>
      <w:szCs w:val="32"/>
    </w:rPr>
  </w:style>
  <w:style w:type="character" w:customStyle="1" w:styleId="Heading2Char">
    <w:name w:val="Heading 2 Char"/>
    <w:link w:val="Heading2"/>
    <w:uiPriority w:val="9"/>
    <w:rPr>
      <w:rFonts w:ascii="Cambria" w:eastAsia="MS Gothic" w:hAnsi="Cambria" w:cs="Times New Roman"/>
      <w:color w:val="365F91"/>
      <w:sz w:val="26"/>
      <w:szCs w:val="26"/>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Footnote text,Reference"/>
    <w:basedOn w:val="Normal"/>
    <w:link w:val="FootnoteTextChar"/>
    <w:unhideWhenUsed/>
    <w:qFormat/>
    <w:rPr>
      <w:sz w:val="20"/>
      <w:szCs w:val="20"/>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link w:val="FootnoteText"/>
    <w:rPr>
      <w:rFonts w:ascii="Calibri" w:eastAsia="Calibri" w:hAnsi="Calibri" w:cs="Times New Roman"/>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Strong">
    <w:name w:val="Strong"/>
    <w:uiPriority w:val="22"/>
    <w:qFormat/>
    <w:rPr>
      <w:b/>
      <w:bCs/>
    </w:rPr>
  </w:style>
  <w:style w:type="paragraph" w:customStyle="1" w:styleId="Standa2">
    <w:name w:val="Standa2"/>
    <w:link w:val="Standa2Char"/>
    <w:uiPriority w:val="99"/>
    <w:pPr>
      <w:spacing w:after="200" w:line="276" w:lineRule="auto"/>
    </w:pPr>
    <w:rPr>
      <w:rFonts w:eastAsia="Times New Roman"/>
      <w:sz w:val="22"/>
      <w:szCs w:val="22"/>
    </w:rPr>
  </w:style>
  <w:style w:type="character" w:customStyle="1" w:styleId="Standa2Char">
    <w:name w:val="Standa2 Char"/>
    <w:link w:val="Standa2"/>
    <w:uiPriority w:val="99"/>
    <w:rPr>
      <w:rFonts w:ascii="Calibri" w:eastAsia="Times New Roman" w:hAnsi="Calibri" w:cs="Times New Roman"/>
      <w:lang w:val="ro-RO" w:bidi="ro-RO"/>
    </w:rPr>
  </w:style>
  <w:style w:type="character" w:customStyle="1" w:styleId="FootnoteTextChar2">
    <w:name w:val="Footnote Text Char2"/>
    <w:aliases w:val="Footnote Char1,Testo nota a piè di pagina_Rientro Char1,stile 1 Char1,Footnote1 Char1,Footnote2 Char1,Footnote3 Char1,Footnote4 Char1,Footnote5 Char1,Footnote6 Char1,Footnote7 Char1,Footnote8 Char1,Footnote9 Char1,Footnote10 Char1"/>
    <w:uiPriority w:val="99"/>
    <w:rPr>
      <w:rFonts w:eastAsia="Times New Roman"/>
      <w:lang w:val="ro-RO" w:eastAsia="ro-RO" w:bidi="ro-RO"/>
    </w:rPr>
  </w:style>
  <w:style w:type="paragraph" w:styleId="CommentText">
    <w:name w:val="annotation text"/>
    <w:basedOn w:val="Standa2"/>
    <w:link w:val="CommentTextChar"/>
    <w:semiHidden/>
    <w:rPr>
      <w:sz w:val="20"/>
      <w:szCs w:val="20"/>
    </w:rPr>
  </w:style>
  <w:style w:type="character" w:customStyle="1" w:styleId="CommentTextChar">
    <w:name w:val="Comment Text Char"/>
    <w:link w:val="CommentText"/>
    <w:semiHidden/>
    <w:rPr>
      <w:rFonts w:ascii="Calibri" w:eastAsia="Times New Roman" w:hAnsi="Calibri" w:cs="Times New Roman"/>
      <w:sz w:val="20"/>
      <w:szCs w:val="20"/>
      <w:lang w:val="ro-RO" w:bidi="ro-RO"/>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Hyperlink">
    <w:name w:val="Hyperlink"/>
    <w:uiPriority w:val="99"/>
    <w:rPr>
      <w:rFonts w:cs="Times New Roman"/>
      <w:color w:val="0000FF"/>
      <w:u w:val="single"/>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rFonts w:eastAsia="Calibri"/>
      <w:b/>
      <w:bCs/>
    </w:rPr>
  </w:style>
  <w:style w:type="character" w:customStyle="1" w:styleId="CommentSubjectChar">
    <w:name w:val="Comment Subject Char"/>
    <w:link w:val="CommentSubject"/>
    <w:uiPriority w:val="99"/>
    <w:semiHidden/>
    <w:rPr>
      <w:rFonts w:ascii="Calibri" w:eastAsia="Times New Roman" w:hAnsi="Calibri" w:cs="Times New Roman"/>
      <w:b/>
      <w:bCs/>
      <w:sz w:val="20"/>
      <w:szCs w:val="20"/>
      <w:lang w:val="ro-RO" w:bidi="ro-R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Pr>
      <w:sz w:val="22"/>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apple-converted-space">
    <w:name w:val="apple-converted-space"/>
    <w:basedOn w:val="DefaultParagraphFont"/>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Continue">
    <w:name w:val="List Continue"/>
    <w:basedOn w:val="Normal"/>
    <w:uiPriority w:val="99"/>
    <w:unhideWhenUsed/>
    <w:pPr>
      <w:spacing w:after="120"/>
      <w:ind w:left="283"/>
      <w:contextualSpacing/>
    </w:pPr>
  </w:style>
  <w:style w:type="paragraph" w:styleId="Title">
    <w:name w:val="Title"/>
    <w:basedOn w:val="Normal"/>
    <w:next w:val="Normal"/>
    <w:link w:val="TitleChar"/>
    <w:uiPriority w:val="10"/>
    <w:qFormat/>
    <w:pPr>
      <w:spacing w:after="0" w:line="240" w:lineRule="auto"/>
      <w:contextualSpacing/>
    </w:pPr>
    <w:rPr>
      <w:rFonts w:ascii="Cambria" w:eastAsia="MS Gothic" w:hAnsi="Cambria"/>
      <w:spacing w:val="-10"/>
      <w:kern w:val="28"/>
      <w:sz w:val="56"/>
      <w:szCs w:val="56"/>
    </w:rPr>
  </w:style>
  <w:style w:type="character" w:customStyle="1" w:styleId="TitleChar">
    <w:name w:val="Title Char"/>
    <w:link w:val="Title"/>
    <w:uiPriority w:val="10"/>
    <w:rPr>
      <w:rFonts w:ascii="Cambria" w:eastAsia="MS Gothic" w:hAnsi="Cambria" w:cs="Times New Roman"/>
      <w:spacing w:val="-10"/>
      <w:kern w:val="28"/>
      <w:sz w:val="56"/>
      <w:szCs w:val="5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character" w:styleId="FollowedHyperlink">
    <w:name w:val="FollowedHyperlink"/>
    <w:uiPriority w:val="99"/>
    <w:semiHidden/>
    <w:unhideWhenUsed/>
    <w:rPr>
      <w:color w:val="800080"/>
      <w:u w:val="single"/>
    </w:rPr>
  </w:style>
  <w:style w:type="paragraph" w:customStyle="1" w:styleId="doc-ti2">
    <w:name w:val="doc-ti2"/>
    <w:basedOn w:val="Normal"/>
    <w:pPr>
      <w:spacing w:before="240" w:after="120" w:line="312" w:lineRule="atLeast"/>
      <w:jc w:val="center"/>
    </w:pPr>
    <w:rPr>
      <w:rFonts w:ascii="Times New Roman" w:eastAsia="Times New Roman" w:hAnsi="Times New Roman"/>
      <w:b/>
      <w:bCs/>
      <w:sz w:val="24"/>
      <w:szCs w:val="24"/>
    </w:rPr>
  </w:style>
  <w:style w:type="character" w:customStyle="1" w:styleId="Heading3Char">
    <w:name w:val="Heading 3 Char"/>
    <w:link w:val="Heading3"/>
    <w:uiPriority w:val="9"/>
    <w:semiHidden/>
    <w:rPr>
      <w:rFonts w:ascii="Cambria" w:eastAsia="MS Gothic" w:hAnsi="Cambria" w:cs="Times New Roman"/>
      <w:b/>
      <w:bCs/>
      <w:color w:val="4F81BD"/>
    </w:rPr>
  </w:style>
  <w:style w:type="paragraph" w:customStyle="1" w:styleId="ti-art2">
    <w:name w:val="ti-art2"/>
    <w:basedOn w:val="Normal"/>
    <w:pPr>
      <w:spacing w:before="360" w:after="120" w:line="312" w:lineRule="atLeast"/>
      <w:jc w:val="center"/>
    </w:pPr>
    <w:rPr>
      <w:rFonts w:ascii="Times New Roman" w:eastAsia="Times New Roman" w:hAnsi="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sz w:val="24"/>
      <w:szCs w:val="24"/>
    </w:rPr>
  </w:style>
  <w:style w:type="character" w:customStyle="1" w:styleId="Lgendedutableau2">
    <w:name w:val="Légende du tableau (2)_"/>
    <w:link w:val="Lgendedutableau20"/>
    <w:rPr>
      <w:rFonts w:ascii="Arial" w:eastAsia="Arial" w:hAnsi="Arial" w:cs="Arial"/>
      <w:sz w:val="17"/>
      <w:szCs w:val="17"/>
      <w:shd w:val="clear" w:color="auto" w:fill="FFFFFF"/>
    </w:rPr>
  </w:style>
  <w:style w:type="paragraph" w:customStyle="1" w:styleId="Lgendedutableau20">
    <w:name w:val="Légende du tableau (2)"/>
    <w:basedOn w:val="Normal"/>
    <w:link w:val="Lgendedutableau2"/>
    <w:pPr>
      <w:widowControl w:val="0"/>
      <w:shd w:val="clear" w:color="auto" w:fill="FFFFFF"/>
      <w:spacing w:after="0" w:line="235" w:lineRule="exact"/>
    </w:pPr>
    <w:rPr>
      <w:rFonts w:ascii="Arial" w:eastAsia="Arial" w:hAnsi="Arial" w:cs="Arial"/>
      <w:sz w:val="17"/>
      <w:szCs w:val="17"/>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MS Gothic" w:hAnsi="Cambria" w:cs="Times New Roman"/>
      <w:color w:val="365F91"/>
      <w:sz w:val="32"/>
      <w:szCs w:val="32"/>
    </w:rPr>
  </w:style>
  <w:style w:type="character" w:customStyle="1" w:styleId="Heading2Char">
    <w:name w:val="Heading 2 Char"/>
    <w:link w:val="Heading2"/>
    <w:uiPriority w:val="9"/>
    <w:rPr>
      <w:rFonts w:ascii="Cambria" w:eastAsia="MS Gothic" w:hAnsi="Cambria" w:cs="Times New Roman"/>
      <w:color w:val="365F91"/>
      <w:sz w:val="26"/>
      <w:szCs w:val="26"/>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Footnote text,Reference"/>
    <w:basedOn w:val="Normal"/>
    <w:link w:val="FootnoteTextChar"/>
    <w:unhideWhenUsed/>
    <w:qFormat/>
    <w:rPr>
      <w:sz w:val="20"/>
      <w:szCs w:val="20"/>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link w:val="FootnoteText"/>
    <w:rPr>
      <w:rFonts w:ascii="Calibri" w:eastAsia="Calibri" w:hAnsi="Calibri" w:cs="Times New Roman"/>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Strong">
    <w:name w:val="Strong"/>
    <w:uiPriority w:val="22"/>
    <w:qFormat/>
    <w:rPr>
      <w:b/>
      <w:bCs/>
    </w:rPr>
  </w:style>
  <w:style w:type="paragraph" w:customStyle="1" w:styleId="Standa2">
    <w:name w:val="Standa2"/>
    <w:link w:val="Standa2Char"/>
    <w:uiPriority w:val="99"/>
    <w:pPr>
      <w:spacing w:after="200" w:line="276" w:lineRule="auto"/>
    </w:pPr>
    <w:rPr>
      <w:rFonts w:eastAsia="Times New Roman"/>
      <w:sz w:val="22"/>
      <w:szCs w:val="22"/>
    </w:rPr>
  </w:style>
  <w:style w:type="character" w:customStyle="1" w:styleId="Standa2Char">
    <w:name w:val="Standa2 Char"/>
    <w:link w:val="Standa2"/>
    <w:uiPriority w:val="99"/>
    <w:rPr>
      <w:rFonts w:ascii="Calibri" w:eastAsia="Times New Roman" w:hAnsi="Calibri" w:cs="Times New Roman"/>
      <w:lang w:val="ro-RO" w:bidi="ro-RO"/>
    </w:rPr>
  </w:style>
  <w:style w:type="character" w:customStyle="1" w:styleId="FootnoteTextChar2">
    <w:name w:val="Footnote Text Char2"/>
    <w:aliases w:val="Footnote Char1,Testo nota a piè di pagina_Rientro Char1,stile 1 Char1,Footnote1 Char1,Footnote2 Char1,Footnote3 Char1,Footnote4 Char1,Footnote5 Char1,Footnote6 Char1,Footnote7 Char1,Footnote8 Char1,Footnote9 Char1,Footnote10 Char1"/>
    <w:uiPriority w:val="99"/>
    <w:rPr>
      <w:rFonts w:eastAsia="Times New Roman"/>
      <w:lang w:val="ro-RO" w:eastAsia="ro-RO" w:bidi="ro-RO"/>
    </w:rPr>
  </w:style>
  <w:style w:type="paragraph" w:styleId="CommentText">
    <w:name w:val="annotation text"/>
    <w:basedOn w:val="Standa2"/>
    <w:link w:val="CommentTextChar"/>
    <w:semiHidden/>
    <w:rPr>
      <w:sz w:val="20"/>
      <w:szCs w:val="20"/>
    </w:rPr>
  </w:style>
  <w:style w:type="character" w:customStyle="1" w:styleId="CommentTextChar">
    <w:name w:val="Comment Text Char"/>
    <w:link w:val="CommentText"/>
    <w:semiHidden/>
    <w:rPr>
      <w:rFonts w:ascii="Calibri" w:eastAsia="Times New Roman" w:hAnsi="Calibri" w:cs="Times New Roman"/>
      <w:sz w:val="20"/>
      <w:szCs w:val="20"/>
      <w:lang w:val="ro-RO" w:bidi="ro-RO"/>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Hyperlink">
    <w:name w:val="Hyperlink"/>
    <w:uiPriority w:val="99"/>
    <w:rPr>
      <w:rFonts w:cs="Times New Roman"/>
      <w:color w:val="0000FF"/>
      <w:u w:val="single"/>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rFonts w:eastAsia="Calibri"/>
      <w:b/>
      <w:bCs/>
    </w:rPr>
  </w:style>
  <w:style w:type="character" w:customStyle="1" w:styleId="CommentSubjectChar">
    <w:name w:val="Comment Subject Char"/>
    <w:link w:val="CommentSubject"/>
    <w:uiPriority w:val="99"/>
    <w:semiHidden/>
    <w:rPr>
      <w:rFonts w:ascii="Calibri" w:eastAsia="Times New Roman" w:hAnsi="Calibri" w:cs="Times New Roman"/>
      <w:b/>
      <w:bCs/>
      <w:sz w:val="20"/>
      <w:szCs w:val="20"/>
      <w:lang w:val="ro-RO" w:bidi="ro-R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Pr>
      <w:sz w:val="22"/>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apple-converted-space">
    <w:name w:val="apple-converted-space"/>
    <w:basedOn w:val="DefaultParagraphFont"/>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Continue">
    <w:name w:val="List Continue"/>
    <w:basedOn w:val="Normal"/>
    <w:uiPriority w:val="99"/>
    <w:unhideWhenUsed/>
    <w:pPr>
      <w:spacing w:after="120"/>
      <w:ind w:left="283"/>
      <w:contextualSpacing/>
    </w:pPr>
  </w:style>
  <w:style w:type="paragraph" w:styleId="Title">
    <w:name w:val="Title"/>
    <w:basedOn w:val="Normal"/>
    <w:next w:val="Normal"/>
    <w:link w:val="TitleChar"/>
    <w:uiPriority w:val="10"/>
    <w:qFormat/>
    <w:pPr>
      <w:spacing w:after="0" w:line="240" w:lineRule="auto"/>
      <w:contextualSpacing/>
    </w:pPr>
    <w:rPr>
      <w:rFonts w:ascii="Cambria" w:eastAsia="MS Gothic" w:hAnsi="Cambria"/>
      <w:spacing w:val="-10"/>
      <w:kern w:val="28"/>
      <w:sz w:val="56"/>
      <w:szCs w:val="56"/>
    </w:rPr>
  </w:style>
  <w:style w:type="character" w:customStyle="1" w:styleId="TitleChar">
    <w:name w:val="Title Char"/>
    <w:link w:val="Title"/>
    <w:uiPriority w:val="10"/>
    <w:rPr>
      <w:rFonts w:ascii="Cambria" w:eastAsia="MS Gothic" w:hAnsi="Cambria" w:cs="Times New Roman"/>
      <w:spacing w:val="-10"/>
      <w:kern w:val="28"/>
      <w:sz w:val="56"/>
      <w:szCs w:val="5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character" w:styleId="FollowedHyperlink">
    <w:name w:val="FollowedHyperlink"/>
    <w:uiPriority w:val="99"/>
    <w:semiHidden/>
    <w:unhideWhenUsed/>
    <w:rPr>
      <w:color w:val="800080"/>
      <w:u w:val="single"/>
    </w:rPr>
  </w:style>
  <w:style w:type="paragraph" w:customStyle="1" w:styleId="doc-ti2">
    <w:name w:val="doc-ti2"/>
    <w:basedOn w:val="Normal"/>
    <w:pPr>
      <w:spacing w:before="240" w:after="120" w:line="312" w:lineRule="atLeast"/>
      <w:jc w:val="center"/>
    </w:pPr>
    <w:rPr>
      <w:rFonts w:ascii="Times New Roman" w:eastAsia="Times New Roman" w:hAnsi="Times New Roman"/>
      <w:b/>
      <w:bCs/>
      <w:sz w:val="24"/>
      <w:szCs w:val="24"/>
    </w:rPr>
  </w:style>
  <w:style w:type="character" w:customStyle="1" w:styleId="Heading3Char">
    <w:name w:val="Heading 3 Char"/>
    <w:link w:val="Heading3"/>
    <w:uiPriority w:val="9"/>
    <w:semiHidden/>
    <w:rPr>
      <w:rFonts w:ascii="Cambria" w:eastAsia="MS Gothic" w:hAnsi="Cambria" w:cs="Times New Roman"/>
      <w:b/>
      <w:bCs/>
      <w:color w:val="4F81BD"/>
    </w:rPr>
  </w:style>
  <w:style w:type="paragraph" w:customStyle="1" w:styleId="ti-art2">
    <w:name w:val="ti-art2"/>
    <w:basedOn w:val="Normal"/>
    <w:pPr>
      <w:spacing w:before="360" w:after="120" w:line="312" w:lineRule="atLeast"/>
      <w:jc w:val="center"/>
    </w:pPr>
    <w:rPr>
      <w:rFonts w:ascii="Times New Roman" w:eastAsia="Times New Roman" w:hAnsi="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sz w:val="24"/>
      <w:szCs w:val="24"/>
    </w:rPr>
  </w:style>
  <w:style w:type="character" w:customStyle="1" w:styleId="Lgendedutableau2">
    <w:name w:val="Légende du tableau (2)_"/>
    <w:link w:val="Lgendedutableau20"/>
    <w:rPr>
      <w:rFonts w:ascii="Arial" w:eastAsia="Arial" w:hAnsi="Arial" w:cs="Arial"/>
      <w:sz w:val="17"/>
      <w:szCs w:val="17"/>
      <w:shd w:val="clear" w:color="auto" w:fill="FFFFFF"/>
    </w:rPr>
  </w:style>
  <w:style w:type="paragraph" w:customStyle="1" w:styleId="Lgendedutableau20">
    <w:name w:val="Légende du tableau (2)"/>
    <w:basedOn w:val="Normal"/>
    <w:link w:val="Lgendedutableau2"/>
    <w:pPr>
      <w:widowControl w:val="0"/>
      <w:shd w:val="clear" w:color="auto" w:fill="FFFFFF"/>
      <w:spacing w:after="0" w:line="235" w:lineRule="exact"/>
    </w:pPr>
    <w:rPr>
      <w:rFonts w:ascii="Arial" w:eastAsia="Arial" w:hAnsi="Arial" w:cs="Arial"/>
      <w:sz w:val="17"/>
      <w:szCs w:val="17"/>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215">
      <w:bodyDiv w:val="1"/>
      <w:marLeft w:val="0"/>
      <w:marRight w:val="0"/>
      <w:marTop w:val="0"/>
      <w:marBottom w:val="0"/>
      <w:divBdr>
        <w:top w:val="none" w:sz="0" w:space="0" w:color="auto"/>
        <w:left w:val="none" w:sz="0" w:space="0" w:color="auto"/>
        <w:bottom w:val="none" w:sz="0" w:space="0" w:color="auto"/>
        <w:right w:val="none" w:sz="0" w:space="0" w:color="auto"/>
      </w:divBdr>
    </w:div>
    <w:div w:id="137378528">
      <w:bodyDiv w:val="1"/>
      <w:marLeft w:val="0"/>
      <w:marRight w:val="0"/>
      <w:marTop w:val="0"/>
      <w:marBottom w:val="0"/>
      <w:divBdr>
        <w:top w:val="none" w:sz="0" w:space="0" w:color="auto"/>
        <w:left w:val="none" w:sz="0" w:space="0" w:color="auto"/>
        <w:bottom w:val="none" w:sz="0" w:space="0" w:color="auto"/>
        <w:right w:val="none" w:sz="0" w:space="0" w:color="auto"/>
      </w:divBdr>
    </w:div>
    <w:div w:id="193733100">
      <w:bodyDiv w:val="1"/>
      <w:marLeft w:val="0"/>
      <w:marRight w:val="0"/>
      <w:marTop w:val="0"/>
      <w:marBottom w:val="0"/>
      <w:divBdr>
        <w:top w:val="none" w:sz="0" w:space="0" w:color="auto"/>
        <w:left w:val="none" w:sz="0" w:space="0" w:color="auto"/>
        <w:bottom w:val="none" w:sz="0" w:space="0" w:color="auto"/>
        <w:right w:val="none" w:sz="0" w:space="0" w:color="auto"/>
      </w:divBdr>
      <w:divsChild>
        <w:div w:id="381441170">
          <w:marLeft w:val="2246"/>
          <w:marRight w:val="0"/>
          <w:marTop w:val="77"/>
          <w:marBottom w:val="0"/>
          <w:divBdr>
            <w:top w:val="none" w:sz="0" w:space="0" w:color="auto"/>
            <w:left w:val="none" w:sz="0" w:space="0" w:color="auto"/>
            <w:bottom w:val="none" w:sz="0" w:space="0" w:color="auto"/>
            <w:right w:val="none" w:sz="0" w:space="0" w:color="auto"/>
          </w:divBdr>
        </w:div>
        <w:div w:id="461000022">
          <w:marLeft w:val="0"/>
          <w:marRight w:val="0"/>
          <w:marTop w:val="86"/>
          <w:marBottom w:val="0"/>
          <w:divBdr>
            <w:top w:val="none" w:sz="0" w:space="0" w:color="auto"/>
            <w:left w:val="none" w:sz="0" w:space="0" w:color="auto"/>
            <w:bottom w:val="none" w:sz="0" w:space="0" w:color="auto"/>
            <w:right w:val="none" w:sz="0" w:space="0" w:color="auto"/>
          </w:divBdr>
        </w:div>
        <w:div w:id="550775391">
          <w:marLeft w:val="2246"/>
          <w:marRight w:val="0"/>
          <w:marTop w:val="77"/>
          <w:marBottom w:val="0"/>
          <w:divBdr>
            <w:top w:val="none" w:sz="0" w:space="0" w:color="auto"/>
            <w:left w:val="none" w:sz="0" w:space="0" w:color="auto"/>
            <w:bottom w:val="none" w:sz="0" w:space="0" w:color="auto"/>
            <w:right w:val="none" w:sz="0" w:space="0" w:color="auto"/>
          </w:divBdr>
        </w:div>
        <w:div w:id="1438452699">
          <w:marLeft w:val="0"/>
          <w:marRight w:val="0"/>
          <w:marTop w:val="86"/>
          <w:marBottom w:val="0"/>
          <w:divBdr>
            <w:top w:val="none" w:sz="0" w:space="0" w:color="auto"/>
            <w:left w:val="none" w:sz="0" w:space="0" w:color="auto"/>
            <w:bottom w:val="none" w:sz="0" w:space="0" w:color="auto"/>
            <w:right w:val="none" w:sz="0" w:space="0" w:color="auto"/>
          </w:divBdr>
        </w:div>
        <w:div w:id="1675767563">
          <w:marLeft w:val="2246"/>
          <w:marRight w:val="0"/>
          <w:marTop w:val="77"/>
          <w:marBottom w:val="0"/>
          <w:divBdr>
            <w:top w:val="none" w:sz="0" w:space="0" w:color="auto"/>
            <w:left w:val="none" w:sz="0" w:space="0" w:color="auto"/>
            <w:bottom w:val="none" w:sz="0" w:space="0" w:color="auto"/>
            <w:right w:val="none" w:sz="0" w:space="0" w:color="auto"/>
          </w:divBdr>
        </w:div>
        <w:div w:id="1843276450">
          <w:marLeft w:val="0"/>
          <w:marRight w:val="0"/>
          <w:marTop w:val="86"/>
          <w:marBottom w:val="0"/>
          <w:divBdr>
            <w:top w:val="none" w:sz="0" w:space="0" w:color="auto"/>
            <w:left w:val="none" w:sz="0" w:space="0" w:color="auto"/>
            <w:bottom w:val="none" w:sz="0" w:space="0" w:color="auto"/>
            <w:right w:val="none" w:sz="0" w:space="0" w:color="auto"/>
          </w:divBdr>
        </w:div>
      </w:divsChild>
    </w:div>
    <w:div w:id="256912310">
      <w:bodyDiv w:val="1"/>
      <w:marLeft w:val="0"/>
      <w:marRight w:val="0"/>
      <w:marTop w:val="0"/>
      <w:marBottom w:val="0"/>
      <w:divBdr>
        <w:top w:val="none" w:sz="0" w:space="0" w:color="auto"/>
        <w:left w:val="none" w:sz="0" w:space="0" w:color="auto"/>
        <w:bottom w:val="none" w:sz="0" w:space="0" w:color="auto"/>
        <w:right w:val="none" w:sz="0" w:space="0" w:color="auto"/>
      </w:divBdr>
    </w:div>
    <w:div w:id="268394539">
      <w:bodyDiv w:val="1"/>
      <w:marLeft w:val="0"/>
      <w:marRight w:val="0"/>
      <w:marTop w:val="0"/>
      <w:marBottom w:val="0"/>
      <w:divBdr>
        <w:top w:val="none" w:sz="0" w:space="0" w:color="auto"/>
        <w:left w:val="none" w:sz="0" w:space="0" w:color="auto"/>
        <w:bottom w:val="none" w:sz="0" w:space="0" w:color="auto"/>
        <w:right w:val="none" w:sz="0" w:space="0" w:color="auto"/>
      </w:divBdr>
    </w:div>
    <w:div w:id="343868514">
      <w:bodyDiv w:val="1"/>
      <w:marLeft w:val="0"/>
      <w:marRight w:val="0"/>
      <w:marTop w:val="0"/>
      <w:marBottom w:val="0"/>
      <w:divBdr>
        <w:top w:val="none" w:sz="0" w:space="0" w:color="auto"/>
        <w:left w:val="none" w:sz="0" w:space="0" w:color="auto"/>
        <w:bottom w:val="none" w:sz="0" w:space="0" w:color="auto"/>
        <w:right w:val="none" w:sz="0" w:space="0" w:color="auto"/>
      </w:divBdr>
      <w:divsChild>
        <w:div w:id="38404631">
          <w:marLeft w:val="0"/>
          <w:marRight w:val="0"/>
          <w:marTop w:val="96"/>
          <w:marBottom w:val="0"/>
          <w:divBdr>
            <w:top w:val="none" w:sz="0" w:space="0" w:color="auto"/>
            <w:left w:val="none" w:sz="0" w:space="0" w:color="auto"/>
            <w:bottom w:val="none" w:sz="0" w:space="0" w:color="auto"/>
            <w:right w:val="none" w:sz="0" w:space="0" w:color="auto"/>
          </w:divBdr>
        </w:div>
        <w:div w:id="242109648">
          <w:marLeft w:val="1166"/>
          <w:marRight w:val="0"/>
          <w:marTop w:val="77"/>
          <w:marBottom w:val="0"/>
          <w:divBdr>
            <w:top w:val="none" w:sz="0" w:space="0" w:color="auto"/>
            <w:left w:val="none" w:sz="0" w:space="0" w:color="auto"/>
            <w:bottom w:val="none" w:sz="0" w:space="0" w:color="auto"/>
            <w:right w:val="none" w:sz="0" w:space="0" w:color="auto"/>
          </w:divBdr>
        </w:div>
        <w:div w:id="314575377">
          <w:marLeft w:val="1166"/>
          <w:marRight w:val="0"/>
          <w:marTop w:val="77"/>
          <w:marBottom w:val="0"/>
          <w:divBdr>
            <w:top w:val="none" w:sz="0" w:space="0" w:color="auto"/>
            <w:left w:val="none" w:sz="0" w:space="0" w:color="auto"/>
            <w:bottom w:val="none" w:sz="0" w:space="0" w:color="auto"/>
            <w:right w:val="none" w:sz="0" w:space="0" w:color="auto"/>
          </w:divBdr>
        </w:div>
        <w:div w:id="697438194">
          <w:marLeft w:val="0"/>
          <w:marRight w:val="0"/>
          <w:marTop w:val="96"/>
          <w:marBottom w:val="0"/>
          <w:divBdr>
            <w:top w:val="none" w:sz="0" w:space="0" w:color="auto"/>
            <w:left w:val="none" w:sz="0" w:space="0" w:color="auto"/>
            <w:bottom w:val="none" w:sz="0" w:space="0" w:color="auto"/>
            <w:right w:val="none" w:sz="0" w:space="0" w:color="auto"/>
          </w:divBdr>
        </w:div>
        <w:div w:id="956180889">
          <w:marLeft w:val="1166"/>
          <w:marRight w:val="0"/>
          <w:marTop w:val="77"/>
          <w:marBottom w:val="0"/>
          <w:divBdr>
            <w:top w:val="none" w:sz="0" w:space="0" w:color="auto"/>
            <w:left w:val="none" w:sz="0" w:space="0" w:color="auto"/>
            <w:bottom w:val="none" w:sz="0" w:space="0" w:color="auto"/>
            <w:right w:val="none" w:sz="0" w:space="0" w:color="auto"/>
          </w:divBdr>
        </w:div>
        <w:div w:id="1032654550">
          <w:marLeft w:val="1166"/>
          <w:marRight w:val="0"/>
          <w:marTop w:val="77"/>
          <w:marBottom w:val="0"/>
          <w:divBdr>
            <w:top w:val="none" w:sz="0" w:space="0" w:color="auto"/>
            <w:left w:val="none" w:sz="0" w:space="0" w:color="auto"/>
            <w:bottom w:val="none" w:sz="0" w:space="0" w:color="auto"/>
            <w:right w:val="none" w:sz="0" w:space="0" w:color="auto"/>
          </w:divBdr>
        </w:div>
        <w:div w:id="1439448662">
          <w:marLeft w:val="1166"/>
          <w:marRight w:val="0"/>
          <w:marTop w:val="77"/>
          <w:marBottom w:val="0"/>
          <w:divBdr>
            <w:top w:val="none" w:sz="0" w:space="0" w:color="auto"/>
            <w:left w:val="none" w:sz="0" w:space="0" w:color="auto"/>
            <w:bottom w:val="none" w:sz="0" w:space="0" w:color="auto"/>
            <w:right w:val="none" w:sz="0" w:space="0" w:color="auto"/>
          </w:divBdr>
        </w:div>
        <w:div w:id="1448424278">
          <w:marLeft w:val="0"/>
          <w:marRight w:val="0"/>
          <w:marTop w:val="96"/>
          <w:marBottom w:val="0"/>
          <w:divBdr>
            <w:top w:val="none" w:sz="0" w:space="0" w:color="auto"/>
            <w:left w:val="none" w:sz="0" w:space="0" w:color="auto"/>
            <w:bottom w:val="none" w:sz="0" w:space="0" w:color="auto"/>
            <w:right w:val="none" w:sz="0" w:space="0" w:color="auto"/>
          </w:divBdr>
        </w:div>
      </w:divsChild>
    </w:div>
    <w:div w:id="390007861">
      <w:bodyDiv w:val="1"/>
      <w:marLeft w:val="0"/>
      <w:marRight w:val="0"/>
      <w:marTop w:val="0"/>
      <w:marBottom w:val="0"/>
      <w:divBdr>
        <w:top w:val="none" w:sz="0" w:space="0" w:color="auto"/>
        <w:left w:val="none" w:sz="0" w:space="0" w:color="auto"/>
        <w:bottom w:val="none" w:sz="0" w:space="0" w:color="auto"/>
        <w:right w:val="none" w:sz="0" w:space="0" w:color="auto"/>
      </w:divBdr>
    </w:div>
    <w:div w:id="474225548">
      <w:bodyDiv w:val="1"/>
      <w:marLeft w:val="0"/>
      <w:marRight w:val="0"/>
      <w:marTop w:val="0"/>
      <w:marBottom w:val="0"/>
      <w:divBdr>
        <w:top w:val="none" w:sz="0" w:space="0" w:color="auto"/>
        <w:left w:val="none" w:sz="0" w:space="0" w:color="auto"/>
        <w:bottom w:val="none" w:sz="0" w:space="0" w:color="auto"/>
        <w:right w:val="none" w:sz="0" w:space="0" w:color="auto"/>
      </w:divBdr>
    </w:div>
    <w:div w:id="485441191">
      <w:bodyDiv w:val="1"/>
      <w:marLeft w:val="0"/>
      <w:marRight w:val="0"/>
      <w:marTop w:val="0"/>
      <w:marBottom w:val="0"/>
      <w:divBdr>
        <w:top w:val="none" w:sz="0" w:space="0" w:color="auto"/>
        <w:left w:val="none" w:sz="0" w:space="0" w:color="auto"/>
        <w:bottom w:val="none" w:sz="0" w:space="0" w:color="auto"/>
        <w:right w:val="none" w:sz="0" w:space="0" w:color="auto"/>
      </w:divBdr>
      <w:divsChild>
        <w:div w:id="243611306">
          <w:marLeft w:val="0"/>
          <w:marRight w:val="0"/>
          <w:marTop w:val="0"/>
          <w:marBottom w:val="0"/>
          <w:divBdr>
            <w:top w:val="none" w:sz="0" w:space="0" w:color="auto"/>
            <w:left w:val="none" w:sz="0" w:space="0" w:color="auto"/>
            <w:bottom w:val="none" w:sz="0" w:space="0" w:color="auto"/>
            <w:right w:val="none" w:sz="0" w:space="0" w:color="auto"/>
          </w:divBdr>
          <w:divsChild>
            <w:div w:id="173229905">
              <w:marLeft w:val="0"/>
              <w:marRight w:val="0"/>
              <w:marTop w:val="0"/>
              <w:marBottom w:val="0"/>
              <w:divBdr>
                <w:top w:val="none" w:sz="0" w:space="0" w:color="auto"/>
                <w:left w:val="none" w:sz="0" w:space="0" w:color="auto"/>
                <w:bottom w:val="none" w:sz="0" w:space="0" w:color="auto"/>
                <w:right w:val="none" w:sz="0" w:space="0" w:color="auto"/>
              </w:divBdr>
              <w:divsChild>
                <w:div w:id="246574378">
                  <w:marLeft w:val="0"/>
                  <w:marRight w:val="0"/>
                  <w:marTop w:val="0"/>
                  <w:marBottom w:val="0"/>
                  <w:divBdr>
                    <w:top w:val="none" w:sz="0" w:space="0" w:color="auto"/>
                    <w:left w:val="none" w:sz="0" w:space="0" w:color="auto"/>
                    <w:bottom w:val="none" w:sz="0" w:space="0" w:color="auto"/>
                    <w:right w:val="none" w:sz="0" w:space="0" w:color="auto"/>
                  </w:divBdr>
                  <w:divsChild>
                    <w:div w:id="610089331">
                      <w:marLeft w:val="1"/>
                      <w:marRight w:val="1"/>
                      <w:marTop w:val="0"/>
                      <w:marBottom w:val="0"/>
                      <w:divBdr>
                        <w:top w:val="none" w:sz="0" w:space="0" w:color="auto"/>
                        <w:left w:val="none" w:sz="0" w:space="0" w:color="auto"/>
                        <w:bottom w:val="none" w:sz="0" w:space="0" w:color="auto"/>
                        <w:right w:val="none" w:sz="0" w:space="0" w:color="auto"/>
                      </w:divBdr>
                      <w:divsChild>
                        <w:div w:id="1008754485">
                          <w:marLeft w:val="0"/>
                          <w:marRight w:val="0"/>
                          <w:marTop w:val="0"/>
                          <w:marBottom w:val="0"/>
                          <w:divBdr>
                            <w:top w:val="none" w:sz="0" w:space="0" w:color="auto"/>
                            <w:left w:val="none" w:sz="0" w:space="0" w:color="auto"/>
                            <w:bottom w:val="none" w:sz="0" w:space="0" w:color="auto"/>
                            <w:right w:val="none" w:sz="0" w:space="0" w:color="auto"/>
                          </w:divBdr>
                          <w:divsChild>
                            <w:div w:id="524639583">
                              <w:marLeft w:val="0"/>
                              <w:marRight w:val="0"/>
                              <w:marTop w:val="0"/>
                              <w:marBottom w:val="360"/>
                              <w:divBdr>
                                <w:top w:val="none" w:sz="0" w:space="0" w:color="auto"/>
                                <w:left w:val="none" w:sz="0" w:space="0" w:color="auto"/>
                                <w:bottom w:val="none" w:sz="0" w:space="0" w:color="auto"/>
                                <w:right w:val="none" w:sz="0" w:space="0" w:color="auto"/>
                              </w:divBdr>
                              <w:divsChild>
                                <w:div w:id="2041315445">
                                  <w:marLeft w:val="0"/>
                                  <w:marRight w:val="0"/>
                                  <w:marTop w:val="0"/>
                                  <w:marBottom w:val="0"/>
                                  <w:divBdr>
                                    <w:top w:val="none" w:sz="0" w:space="0" w:color="auto"/>
                                    <w:left w:val="none" w:sz="0" w:space="0" w:color="auto"/>
                                    <w:bottom w:val="none" w:sz="0" w:space="0" w:color="auto"/>
                                    <w:right w:val="none" w:sz="0" w:space="0" w:color="auto"/>
                                  </w:divBdr>
                                  <w:divsChild>
                                    <w:div w:id="2098356434">
                                      <w:marLeft w:val="0"/>
                                      <w:marRight w:val="0"/>
                                      <w:marTop w:val="0"/>
                                      <w:marBottom w:val="0"/>
                                      <w:divBdr>
                                        <w:top w:val="none" w:sz="0" w:space="0" w:color="auto"/>
                                        <w:left w:val="none" w:sz="0" w:space="0" w:color="auto"/>
                                        <w:bottom w:val="none" w:sz="0" w:space="0" w:color="auto"/>
                                        <w:right w:val="none" w:sz="0" w:space="0" w:color="auto"/>
                                      </w:divBdr>
                                      <w:divsChild>
                                        <w:div w:id="227885477">
                                          <w:marLeft w:val="0"/>
                                          <w:marRight w:val="0"/>
                                          <w:marTop w:val="0"/>
                                          <w:marBottom w:val="0"/>
                                          <w:divBdr>
                                            <w:top w:val="none" w:sz="0" w:space="0" w:color="auto"/>
                                            <w:left w:val="none" w:sz="0" w:space="0" w:color="auto"/>
                                            <w:bottom w:val="none" w:sz="0" w:space="0" w:color="auto"/>
                                            <w:right w:val="none" w:sz="0" w:space="0" w:color="auto"/>
                                          </w:divBdr>
                                          <w:divsChild>
                                            <w:div w:id="1617443838">
                                              <w:marLeft w:val="0"/>
                                              <w:marRight w:val="0"/>
                                              <w:marTop w:val="0"/>
                                              <w:marBottom w:val="0"/>
                                              <w:divBdr>
                                                <w:top w:val="none" w:sz="0" w:space="0" w:color="auto"/>
                                                <w:left w:val="none" w:sz="0" w:space="0" w:color="auto"/>
                                                <w:bottom w:val="none" w:sz="0" w:space="0" w:color="auto"/>
                                                <w:right w:val="none" w:sz="0" w:space="0" w:color="auto"/>
                                              </w:divBdr>
                                              <w:divsChild>
                                                <w:div w:id="194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310612">
      <w:bodyDiv w:val="1"/>
      <w:marLeft w:val="0"/>
      <w:marRight w:val="0"/>
      <w:marTop w:val="0"/>
      <w:marBottom w:val="0"/>
      <w:divBdr>
        <w:top w:val="none" w:sz="0" w:space="0" w:color="auto"/>
        <w:left w:val="none" w:sz="0" w:space="0" w:color="auto"/>
        <w:bottom w:val="none" w:sz="0" w:space="0" w:color="auto"/>
        <w:right w:val="none" w:sz="0" w:space="0" w:color="auto"/>
      </w:divBdr>
      <w:divsChild>
        <w:div w:id="475030197">
          <w:marLeft w:val="1166"/>
          <w:marRight w:val="0"/>
          <w:marTop w:val="86"/>
          <w:marBottom w:val="0"/>
          <w:divBdr>
            <w:top w:val="none" w:sz="0" w:space="0" w:color="auto"/>
            <w:left w:val="none" w:sz="0" w:space="0" w:color="auto"/>
            <w:bottom w:val="none" w:sz="0" w:space="0" w:color="auto"/>
            <w:right w:val="none" w:sz="0" w:space="0" w:color="auto"/>
          </w:divBdr>
        </w:div>
        <w:div w:id="622855723">
          <w:marLeft w:val="0"/>
          <w:marRight w:val="0"/>
          <w:marTop w:val="115"/>
          <w:marBottom w:val="0"/>
          <w:divBdr>
            <w:top w:val="none" w:sz="0" w:space="0" w:color="auto"/>
            <w:left w:val="none" w:sz="0" w:space="0" w:color="auto"/>
            <w:bottom w:val="none" w:sz="0" w:space="0" w:color="auto"/>
            <w:right w:val="none" w:sz="0" w:space="0" w:color="auto"/>
          </w:divBdr>
        </w:div>
        <w:div w:id="943221421">
          <w:marLeft w:val="1166"/>
          <w:marRight w:val="0"/>
          <w:marTop w:val="86"/>
          <w:marBottom w:val="0"/>
          <w:divBdr>
            <w:top w:val="none" w:sz="0" w:space="0" w:color="auto"/>
            <w:left w:val="none" w:sz="0" w:space="0" w:color="auto"/>
            <w:bottom w:val="none" w:sz="0" w:space="0" w:color="auto"/>
            <w:right w:val="none" w:sz="0" w:space="0" w:color="auto"/>
          </w:divBdr>
        </w:div>
        <w:div w:id="2115204756">
          <w:marLeft w:val="0"/>
          <w:marRight w:val="0"/>
          <w:marTop w:val="115"/>
          <w:marBottom w:val="0"/>
          <w:divBdr>
            <w:top w:val="none" w:sz="0" w:space="0" w:color="auto"/>
            <w:left w:val="none" w:sz="0" w:space="0" w:color="auto"/>
            <w:bottom w:val="none" w:sz="0" w:space="0" w:color="auto"/>
            <w:right w:val="none" w:sz="0" w:space="0" w:color="auto"/>
          </w:divBdr>
        </w:div>
      </w:divsChild>
    </w:div>
    <w:div w:id="546070927">
      <w:bodyDiv w:val="1"/>
      <w:marLeft w:val="0"/>
      <w:marRight w:val="0"/>
      <w:marTop w:val="0"/>
      <w:marBottom w:val="0"/>
      <w:divBdr>
        <w:top w:val="none" w:sz="0" w:space="0" w:color="auto"/>
        <w:left w:val="none" w:sz="0" w:space="0" w:color="auto"/>
        <w:bottom w:val="none" w:sz="0" w:space="0" w:color="auto"/>
        <w:right w:val="none" w:sz="0" w:space="0" w:color="auto"/>
      </w:divBdr>
    </w:div>
    <w:div w:id="554465104">
      <w:bodyDiv w:val="1"/>
      <w:marLeft w:val="0"/>
      <w:marRight w:val="0"/>
      <w:marTop w:val="0"/>
      <w:marBottom w:val="0"/>
      <w:divBdr>
        <w:top w:val="none" w:sz="0" w:space="0" w:color="auto"/>
        <w:left w:val="none" w:sz="0" w:space="0" w:color="auto"/>
        <w:bottom w:val="none" w:sz="0" w:space="0" w:color="auto"/>
        <w:right w:val="none" w:sz="0" w:space="0" w:color="auto"/>
      </w:divBdr>
      <w:divsChild>
        <w:div w:id="587617787">
          <w:marLeft w:val="0"/>
          <w:marRight w:val="0"/>
          <w:marTop w:val="115"/>
          <w:marBottom w:val="0"/>
          <w:divBdr>
            <w:top w:val="none" w:sz="0" w:space="0" w:color="auto"/>
            <w:left w:val="none" w:sz="0" w:space="0" w:color="auto"/>
            <w:bottom w:val="none" w:sz="0" w:space="0" w:color="auto"/>
            <w:right w:val="none" w:sz="0" w:space="0" w:color="auto"/>
          </w:divBdr>
        </w:div>
        <w:div w:id="684359366">
          <w:marLeft w:val="1166"/>
          <w:marRight w:val="0"/>
          <w:marTop w:val="96"/>
          <w:marBottom w:val="0"/>
          <w:divBdr>
            <w:top w:val="none" w:sz="0" w:space="0" w:color="auto"/>
            <w:left w:val="none" w:sz="0" w:space="0" w:color="auto"/>
            <w:bottom w:val="none" w:sz="0" w:space="0" w:color="auto"/>
            <w:right w:val="none" w:sz="0" w:space="0" w:color="auto"/>
          </w:divBdr>
        </w:div>
        <w:div w:id="840047235">
          <w:marLeft w:val="0"/>
          <w:marRight w:val="0"/>
          <w:marTop w:val="115"/>
          <w:marBottom w:val="0"/>
          <w:divBdr>
            <w:top w:val="none" w:sz="0" w:space="0" w:color="auto"/>
            <w:left w:val="none" w:sz="0" w:space="0" w:color="auto"/>
            <w:bottom w:val="none" w:sz="0" w:space="0" w:color="auto"/>
            <w:right w:val="none" w:sz="0" w:space="0" w:color="auto"/>
          </w:divBdr>
        </w:div>
        <w:div w:id="1203009775">
          <w:marLeft w:val="1166"/>
          <w:marRight w:val="0"/>
          <w:marTop w:val="96"/>
          <w:marBottom w:val="0"/>
          <w:divBdr>
            <w:top w:val="none" w:sz="0" w:space="0" w:color="auto"/>
            <w:left w:val="none" w:sz="0" w:space="0" w:color="auto"/>
            <w:bottom w:val="none" w:sz="0" w:space="0" w:color="auto"/>
            <w:right w:val="none" w:sz="0" w:space="0" w:color="auto"/>
          </w:divBdr>
        </w:div>
        <w:div w:id="1258519898">
          <w:marLeft w:val="1166"/>
          <w:marRight w:val="0"/>
          <w:marTop w:val="96"/>
          <w:marBottom w:val="0"/>
          <w:divBdr>
            <w:top w:val="none" w:sz="0" w:space="0" w:color="auto"/>
            <w:left w:val="none" w:sz="0" w:space="0" w:color="auto"/>
            <w:bottom w:val="none" w:sz="0" w:space="0" w:color="auto"/>
            <w:right w:val="none" w:sz="0" w:space="0" w:color="auto"/>
          </w:divBdr>
        </w:div>
        <w:div w:id="1936204169">
          <w:marLeft w:val="1166"/>
          <w:marRight w:val="0"/>
          <w:marTop w:val="96"/>
          <w:marBottom w:val="0"/>
          <w:divBdr>
            <w:top w:val="none" w:sz="0" w:space="0" w:color="auto"/>
            <w:left w:val="none" w:sz="0" w:space="0" w:color="auto"/>
            <w:bottom w:val="none" w:sz="0" w:space="0" w:color="auto"/>
            <w:right w:val="none" w:sz="0" w:space="0" w:color="auto"/>
          </w:divBdr>
        </w:div>
      </w:divsChild>
    </w:div>
    <w:div w:id="563639824">
      <w:bodyDiv w:val="1"/>
      <w:marLeft w:val="0"/>
      <w:marRight w:val="0"/>
      <w:marTop w:val="0"/>
      <w:marBottom w:val="0"/>
      <w:divBdr>
        <w:top w:val="none" w:sz="0" w:space="0" w:color="auto"/>
        <w:left w:val="none" w:sz="0" w:space="0" w:color="auto"/>
        <w:bottom w:val="none" w:sz="0" w:space="0" w:color="auto"/>
        <w:right w:val="none" w:sz="0" w:space="0" w:color="auto"/>
      </w:divBdr>
    </w:div>
    <w:div w:id="589504395">
      <w:bodyDiv w:val="1"/>
      <w:marLeft w:val="0"/>
      <w:marRight w:val="0"/>
      <w:marTop w:val="0"/>
      <w:marBottom w:val="0"/>
      <w:divBdr>
        <w:top w:val="none" w:sz="0" w:space="0" w:color="auto"/>
        <w:left w:val="none" w:sz="0" w:space="0" w:color="auto"/>
        <w:bottom w:val="none" w:sz="0" w:space="0" w:color="auto"/>
        <w:right w:val="none" w:sz="0" w:space="0" w:color="auto"/>
      </w:divBdr>
      <w:divsChild>
        <w:div w:id="625700550">
          <w:marLeft w:val="0"/>
          <w:marRight w:val="0"/>
          <w:marTop w:val="86"/>
          <w:marBottom w:val="0"/>
          <w:divBdr>
            <w:top w:val="none" w:sz="0" w:space="0" w:color="auto"/>
            <w:left w:val="none" w:sz="0" w:space="0" w:color="auto"/>
            <w:bottom w:val="none" w:sz="0" w:space="0" w:color="auto"/>
            <w:right w:val="none" w:sz="0" w:space="0" w:color="auto"/>
          </w:divBdr>
        </w:div>
        <w:div w:id="933971942">
          <w:marLeft w:val="1800"/>
          <w:marRight w:val="0"/>
          <w:marTop w:val="86"/>
          <w:marBottom w:val="0"/>
          <w:divBdr>
            <w:top w:val="none" w:sz="0" w:space="0" w:color="auto"/>
            <w:left w:val="none" w:sz="0" w:space="0" w:color="auto"/>
            <w:bottom w:val="none" w:sz="0" w:space="0" w:color="auto"/>
            <w:right w:val="none" w:sz="0" w:space="0" w:color="auto"/>
          </w:divBdr>
        </w:div>
        <w:div w:id="1240366384">
          <w:marLeft w:val="547"/>
          <w:marRight w:val="0"/>
          <w:marTop w:val="86"/>
          <w:marBottom w:val="0"/>
          <w:divBdr>
            <w:top w:val="none" w:sz="0" w:space="0" w:color="auto"/>
            <w:left w:val="none" w:sz="0" w:space="0" w:color="auto"/>
            <w:bottom w:val="none" w:sz="0" w:space="0" w:color="auto"/>
            <w:right w:val="none" w:sz="0" w:space="0" w:color="auto"/>
          </w:divBdr>
        </w:div>
        <w:div w:id="1433745676">
          <w:marLeft w:val="1800"/>
          <w:marRight w:val="0"/>
          <w:marTop w:val="86"/>
          <w:marBottom w:val="0"/>
          <w:divBdr>
            <w:top w:val="none" w:sz="0" w:space="0" w:color="auto"/>
            <w:left w:val="none" w:sz="0" w:space="0" w:color="auto"/>
            <w:bottom w:val="none" w:sz="0" w:space="0" w:color="auto"/>
            <w:right w:val="none" w:sz="0" w:space="0" w:color="auto"/>
          </w:divBdr>
        </w:div>
        <w:div w:id="1977685421">
          <w:marLeft w:val="1800"/>
          <w:marRight w:val="0"/>
          <w:marTop w:val="86"/>
          <w:marBottom w:val="0"/>
          <w:divBdr>
            <w:top w:val="none" w:sz="0" w:space="0" w:color="auto"/>
            <w:left w:val="none" w:sz="0" w:space="0" w:color="auto"/>
            <w:bottom w:val="none" w:sz="0" w:space="0" w:color="auto"/>
            <w:right w:val="none" w:sz="0" w:space="0" w:color="auto"/>
          </w:divBdr>
        </w:div>
      </w:divsChild>
    </w:div>
    <w:div w:id="686636217">
      <w:bodyDiv w:val="1"/>
      <w:marLeft w:val="0"/>
      <w:marRight w:val="0"/>
      <w:marTop w:val="0"/>
      <w:marBottom w:val="0"/>
      <w:divBdr>
        <w:top w:val="none" w:sz="0" w:space="0" w:color="auto"/>
        <w:left w:val="none" w:sz="0" w:space="0" w:color="auto"/>
        <w:bottom w:val="none" w:sz="0" w:space="0" w:color="auto"/>
        <w:right w:val="none" w:sz="0" w:space="0" w:color="auto"/>
      </w:divBdr>
      <w:divsChild>
        <w:div w:id="1038510520">
          <w:marLeft w:val="1800"/>
          <w:marRight w:val="0"/>
          <w:marTop w:val="67"/>
          <w:marBottom w:val="0"/>
          <w:divBdr>
            <w:top w:val="none" w:sz="0" w:space="0" w:color="auto"/>
            <w:left w:val="none" w:sz="0" w:space="0" w:color="auto"/>
            <w:bottom w:val="none" w:sz="0" w:space="0" w:color="auto"/>
            <w:right w:val="none" w:sz="0" w:space="0" w:color="auto"/>
          </w:divBdr>
        </w:div>
        <w:div w:id="1291744341">
          <w:marLeft w:val="2520"/>
          <w:marRight w:val="0"/>
          <w:marTop w:val="77"/>
          <w:marBottom w:val="0"/>
          <w:divBdr>
            <w:top w:val="none" w:sz="0" w:space="0" w:color="auto"/>
            <w:left w:val="none" w:sz="0" w:space="0" w:color="auto"/>
            <w:bottom w:val="none" w:sz="0" w:space="0" w:color="auto"/>
            <w:right w:val="none" w:sz="0" w:space="0" w:color="auto"/>
          </w:divBdr>
        </w:div>
        <w:div w:id="1487431803">
          <w:marLeft w:val="2520"/>
          <w:marRight w:val="0"/>
          <w:marTop w:val="77"/>
          <w:marBottom w:val="0"/>
          <w:divBdr>
            <w:top w:val="none" w:sz="0" w:space="0" w:color="auto"/>
            <w:left w:val="none" w:sz="0" w:space="0" w:color="auto"/>
            <w:bottom w:val="none" w:sz="0" w:space="0" w:color="auto"/>
            <w:right w:val="none" w:sz="0" w:space="0" w:color="auto"/>
          </w:divBdr>
        </w:div>
        <w:div w:id="1678802853">
          <w:marLeft w:val="1166"/>
          <w:marRight w:val="0"/>
          <w:marTop w:val="77"/>
          <w:marBottom w:val="0"/>
          <w:divBdr>
            <w:top w:val="none" w:sz="0" w:space="0" w:color="auto"/>
            <w:left w:val="none" w:sz="0" w:space="0" w:color="auto"/>
            <w:bottom w:val="none" w:sz="0" w:space="0" w:color="auto"/>
            <w:right w:val="none" w:sz="0" w:space="0" w:color="auto"/>
          </w:divBdr>
        </w:div>
        <w:div w:id="1681157259">
          <w:marLeft w:val="2520"/>
          <w:marRight w:val="0"/>
          <w:marTop w:val="77"/>
          <w:marBottom w:val="0"/>
          <w:divBdr>
            <w:top w:val="none" w:sz="0" w:space="0" w:color="auto"/>
            <w:left w:val="none" w:sz="0" w:space="0" w:color="auto"/>
            <w:bottom w:val="none" w:sz="0" w:space="0" w:color="auto"/>
            <w:right w:val="none" w:sz="0" w:space="0" w:color="auto"/>
          </w:divBdr>
        </w:div>
        <w:div w:id="1715500840">
          <w:marLeft w:val="0"/>
          <w:marRight w:val="0"/>
          <w:marTop w:val="96"/>
          <w:marBottom w:val="0"/>
          <w:divBdr>
            <w:top w:val="none" w:sz="0" w:space="0" w:color="auto"/>
            <w:left w:val="none" w:sz="0" w:space="0" w:color="auto"/>
            <w:bottom w:val="none" w:sz="0" w:space="0" w:color="auto"/>
            <w:right w:val="none" w:sz="0" w:space="0" w:color="auto"/>
          </w:divBdr>
        </w:div>
        <w:div w:id="2053070317">
          <w:marLeft w:val="0"/>
          <w:marRight w:val="0"/>
          <w:marTop w:val="96"/>
          <w:marBottom w:val="0"/>
          <w:divBdr>
            <w:top w:val="none" w:sz="0" w:space="0" w:color="auto"/>
            <w:left w:val="none" w:sz="0" w:space="0" w:color="auto"/>
            <w:bottom w:val="none" w:sz="0" w:space="0" w:color="auto"/>
            <w:right w:val="none" w:sz="0" w:space="0" w:color="auto"/>
          </w:divBdr>
        </w:div>
        <w:div w:id="2139374237">
          <w:marLeft w:val="0"/>
          <w:marRight w:val="0"/>
          <w:marTop w:val="96"/>
          <w:marBottom w:val="0"/>
          <w:divBdr>
            <w:top w:val="none" w:sz="0" w:space="0" w:color="auto"/>
            <w:left w:val="none" w:sz="0" w:space="0" w:color="auto"/>
            <w:bottom w:val="none" w:sz="0" w:space="0" w:color="auto"/>
            <w:right w:val="none" w:sz="0" w:space="0" w:color="auto"/>
          </w:divBdr>
        </w:div>
      </w:divsChild>
    </w:div>
    <w:div w:id="850680948">
      <w:bodyDiv w:val="1"/>
      <w:marLeft w:val="0"/>
      <w:marRight w:val="0"/>
      <w:marTop w:val="0"/>
      <w:marBottom w:val="0"/>
      <w:divBdr>
        <w:top w:val="none" w:sz="0" w:space="0" w:color="auto"/>
        <w:left w:val="none" w:sz="0" w:space="0" w:color="auto"/>
        <w:bottom w:val="none" w:sz="0" w:space="0" w:color="auto"/>
        <w:right w:val="none" w:sz="0" w:space="0" w:color="auto"/>
      </w:divBdr>
    </w:div>
    <w:div w:id="921068711">
      <w:bodyDiv w:val="1"/>
      <w:marLeft w:val="0"/>
      <w:marRight w:val="0"/>
      <w:marTop w:val="0"/>
      <w:marBottom w:val="0"/>
      <w:divBdr>
        <w:top w:val="none" w:sz="0" w:space="0" w:color="auto"/>
        <w:left w:val="none" w:sz="0" w:space="0" w:color="auto"/>
        <w:bottom w:val="none" w:sz="0" w:space="0" w:color="auto"/>
        <w:right w:val="none" w:sz="0" w:space="0" w:color="auto"/>
      </w:divBdr>
      <w:divsChild>
        <w:div w:id="50080676">
          <w:marLeft w:val="547"/>
          <w:marRight w:val="0"/>
          <w:marTop w:val="86"/>
          <w:marBottom w:val="0"/>
          <w:divBdr>
            <w:top w:val="none" w:sz="0" w:space="0" w:color="auto"/>
            <w:left w:val="none" w:sz="0" w:space="0" w:color="auto"/>
            <w:bottom w:val="none" w:sz="0" w:space="0" w:color="auto"/>
            <w:right w:val="none" w:sz="0" w:space="0" w:color="auto"/>
          </w:divBdr>
        </w:div>
        <w:div w:id="639845175">
          <w:marLeft w:val="1800"/>
          <w:marRight w:val="0"/>
          <w:marTop w:val="86"/>
          <w:marBottom w:val="0"/>
          <w:divBdr>
            <w:top w:val="none" w:sz="0" w:space="0" w:color="auto"/>
            <w:left w:val="none" w:sz="0" w:space="0" w:color="auto"/>
            <w:bottom w:val="none" w:sz="0" w:space="0" w:color="auto"/>
            <w:right w:val="none" w:sz="0" w:space="0" w:color="auto"/>
          </w:divBdr>
        </w:div>
        <w:div w:id="704865542">
          <w:marLeft w:val="1800"/>
          <w:marRight w:val="0"/>
          <w:marTop w:val="86"/>
          <w:marBottom w:val="0"/>
          <w:divBdr>
            <w:top w:val="none" w:sz="0" w:space="0" w:color="auto"/>
            <w:left w:val="none" w:sz="0" w:space="0" w:color="auto"/>
            <w:bottom w:val="none" w:sz="0" w:space="0" w:color="auto"/>
            <w:right w:val="none" w:sz="0" w:space="0" w:color="auto"/>
          </w:divBdr>
        </w:div>
        <w:div w:id="1346517028">
          <w:marLeft w:val="1800"/>
          <w:marRight w:val="0"/>
          <w:marTop w:val="86"/>
          <w:marBottom w:val="0"/>
          <w:divBdr>
            <w:top w:val="none" w:sz="0" w:space="0" w:color="auto"/>
            <w:left w:val="none" w:sz="0" w:space="0" w:color="auto"/>
            <w:bottom w:val="none" w:sz="0" w:space="0" w:color="auto"/>
            <w:right w:val="none" w:sz="0" w:space="0" w:color="auto"/>
          </w:divBdr>
        </w:div>
      </w:divsChild>
    </w:div>
    <w:div w:id="1139683637">
      <w:bodyDiv w:val="1"/>
      <w:marLeft w:val="0"/>
      <w:marRight w:val="0"/>
      <w:marTop w:val="0"/>
      <w:marBottom w:val="0"/>
      <w:divBdr>
        <w:top w:val="none" w:sz="0" w:space="0" w:color="auto"/>
        <w:left w:val="none" w:sz="0" w:space="0" w:color="auto"/>
        <w:bottom w:val="none" w:sz="0" w:space="0" w:color="auto"/>
        <w:right w:val="none" w:sz="0" w:space="0" w:color="auto"/>
      </w:divBdr>
    </w:div>
    <w:div w:id="1162702497">
      <w:bodyDiv w:val="1"/>
      <w:marLeft w:val="0"/>
      <w:marRight w:val="0"/>
      <w:marTop w:val="0"/>
      <w:marBottom w:val="0"/>
      <w:divBdr>
        <w:top w:val="none" w:sz="0" w:space="0" w:color="auto"/>
        <w:left w:val="none" w:sz="0" w:space="0" w:color="auto"/>
        <w:bottom w:val="none" w:sz="0" w:space="0" w:color="auto"/>
        <w:right w:val="none" w:sz="0" w:space="0" w:color="auto"/>
      </w:divBdr>
    </w:div>
    <w:div w:id="1171483332">
      <w:bodyDiv w:val="1"/>
      <w:marLeft w:val="0"/>
      <w:marRight w:val="0"/>
      <w:marTop w:val="0"/>
      <w:marBottom w:val="0"/>
      <w:divBdr>
        <w:top w:val="none" w:sz="0" w:space="0" w:color="auto"/>
        <w:left w:val="none" w:sz="0" w:space="0" w:color="auto"/>
        <w:bottom w:val="none" w:sz="0" w:space="0" w:color="auto"/>
        <w:right w:val="none" w:sz="0" w:space="0" w:color="auto"/>
      </w:divBdr>
    </w:div>
    <w:div w:id="1305281643">
      <w:bodyDiv w:val="1"/>
      <w:marLeft w:val="0"/>
      <w:marRight w:val="0"/>
      <w:marTop w:val="0"/>
      <w:marBottom w:val="0"/>
      <w:divBdr>
        <w:top w:val="none" w:sz="0" w:space="0" w:color="auto"/>
        <w:left w:val="none" w:sz="0" w:space="0" w:color="auto"/>
        <w:bottom w:val="none" w:sz="0" w:space="0" w:color="auto"/>
        <w:right w:val="none" w:sz="0" w:space="0" w:color="auto"/>
      </w:divBdr>
    </w:div>
    <w:div w:id="1588147036">
      <w:bodyDiv w:val="1"/>
      <w:marLeft w:val="0"/>
      <w:marRight w:val="0"/>
      <w:marTop w:val="0"/>
      <w:marBottom w:val="0"/>
      <w:divBdr>
        <w:top w:val="none" w:sz="0" w:space="0" w:color="auto"/>
        <w:left w:val="none" w:sz="0" w:space="0" w:color="auto"/>
        <w:bottom w:val="none" w:sz="0" w:space="0" w:color="auto"/>
        <w:right w:val="none" w:sz="0" w:space="0" w:color="auto"/>
      </w:divBdr>
      <w:divsChild>
        <w:div w:id="198473359">
          <w:marLeft w:val="547"/>
          <w:marRight w:val="0"/>
          <w:marTop w:val="86"/>
          <w:marBottom w:val="0"/>
          <w:divBdr>
            <w:top w:val="none" w:sz="0" w:space="0" w:color="auto"/>
            <w:left w:val="none" w:sz="0" w:space="0" w:color="auto"/>
            <w:bottom w:val="none" w:sz="0" w:space="0" w:color="auto"/>
            <w:right w:val="none" w:sz="0" w:space="0" w:color="auto"/>
          </w:divBdr>
        </w:div>
        <w:div w:id="199973728">
          <w:marLeft w:val="1886"/>
          <w:marRight w:val="0"/>
          <w:marTop w:val="86"/>
          <w:marBottom w:val="0"/>
          <w:divBdr>
            <w:top w:val="none" w:sz="0" w:space="0" w:color="auto"/>
            <w:left w:val="none" w:sz="0" w:space="0" w:color="auto"/>
            <w:bottom w:val="none" w:sz="0" w:space="0" w:color="auto"/>
            <w:right w:val="none" w:sz="0" w:space="0" w:color="auto"/>
          </w:divBdr>
        </w:div>
        <w:div w:id="837036337">
          <w:marLeft w:val="1886"/>
          <w:marRight w:val="0"/>
          <w:marTop w:val="86"/>
          <w:marBottom w:val="0"/>
          <w:divBdr>
            <w:top w:val="none" w:sz="0" w:space="0" w:color="auto"/>
            <w:left w:val="none" w:sz="0" w:space="0" w:color="auto"/>
            <w:bottom w:val="none" w:sz="0" w:space="0" w:color="auto"/>
            <w:right w:val="none" w:sz="0" w:space="0" w:color="auto"/>
          </w:divBdr>
        </w:div>
        <w:div w:id="840967536">
          <w:marLeft w:val="1886"/>
          <w:marRight w:val="0"/>
          <w:marTop w:val="86"/>
          <w:marBottom w:val="0"/>
          <w:divBdr>
            <w:top w:val="none" w:sz="0" w:space="0" w:color="auto"/>
            <w:left w:val="none" w:sz="0" w:space="0" w:color="auto"/>
            <w:bottom w:val="none" w:sz="0" w:space="0" w:color="auto"/>
            <w:right w:val="none" w:sz="0" w:space="0" w:color="auto"/>
          </w:divBdr>
        </w:div>
        <w:div w:id="1081948861">
          <w:marLeft w:val="1886"/>
          <w:marRight w:val="0"/>
          <w:marTop w:val="86"/>
          <w:marBottom w:val="0"/>
          <w:divBdr>
            <w:top w:val="none" w:sz="0" w:space="0" w:color="auto"/>
            <w:left w:val="none" w:sz="0" w:space="0" w:color="auto"/>
            <w:bottom w:val="none" w:sz="0" w:space="0" w:color="auto"/>
            <w:right w:val="none" w:sz="0" w:space="0" w:color="auto"/>
          </w:divBdr>
        </w:div>
        <w:div w:id="2000691529">
          <w:marLeft w:val="1886"/>
          <w:marRight w:val="0"/>
          <w:marTop w:val="86"/>
          <w:marBottom w:val="0"/>
          <w:divBdr>
            <w:top w:val="none" w:sz="0" w:space="0" w:color="auto"/>
            <w:left w:val="none" w:sz="0" w:space="0" w:color="auto"/>
            <w:bottom w:val="none" w:sz="0" w:space="0" w:color="auto"/>
            <w:right w:val="none" w:sz="0" w:space="0" w:color="auto"/>
          </w:divBdr>
        </w:div>
        <w:div w:id="2096508643">
          <w:marLeft w:val="1886"/>
          <w:marRight w:val="0"/>
          <w:marTop w:val="86"/>
          <w:marBottom w:val="0"/>
          <w:divBdr>
            <w:top w:val="none" w:sz="0" w:space="0" w:color="auto"/>
            <w:left w:val="none" w:sz="0" w:space="0" w:color="auto"/>
            <w:bottom w:val="none" w:sz="0" w:space="0" w:color="auto"/>
            <w:right w:val="none" w:sz="0" w:space="0" w:color="auto"/>
          </w:divBdr>
        </w:div>
      </w:divsChild>
    </w:div>
    <w:div w:id="1604533481">
      <w:bodyDiv w:val="1"/>
      <w:marLeft w:val="0"/>
      <w:marRight w:val="0"/>
      <w:marTop w:val="0"/>
      <w:marBottom w:val="0"/>
      <w:divBdr>
        <w:top w:val="none" w:sz="0" w:space="0" w:color="auto"/>
        <w:left w:val="none" w:sz="0" w:space="0" w:color="auto"/>
        <w:bottom w:val="none" w:sz="0" w:space="0" w:color="auto"/>
        <w:right w:val="none" w:sz="0" w:space="0" w:color="auto"/>
      </w:divBdr>
    </w:div>
    <w:div w:id="1635482297">
      <w:bodyDiv w:val="1"/>
      <w:marLeft w:val="0"/>
      <w:marRight w:val="0"/>
      <w:marTop w:val="0"/>
      <w:marBottom w:val="0"/>
      <w:divBdr>
        <w:top w:val="none" w:sz="0" w:space="0" w:color="auto"/>
        <w:left w:val="none" w:sz="0" w:space="0" w:color="auto"/>
        <w:bottom w:val="none" w:sz="0" w:space="0" w:color="auto"/>
        <w:right w:val="none" w:sz="0" w:space="0" w:color="auto"/>
      </w:divBdr>
      <w:divsChild>
        <w:div w:id="694579637">
          <w:marLeft w:val="0"/>
          <w:marRight w:val="0"/>
          <w:marTop w:val="96"/>
          <w:marBottom w:val="0"/>
          <w:divBdr>
            <w:top w:val="none" w:sz="0" w:space="0" w:color="auto"/>
            <w:left w:val="none" w:sz="0" w:space="0" w:color="auto"/>
            <w:bottom w:val="none" w:sz="0" w:space="0" w:color="auto"/>
            <w:right w:val="none" w:sz="0" w:space="0" w:color="auto"/>
          </w:divBdr>
        </w:div>
        <w:div w:id="1253781816">
          <w:marLeft w:val="0"/>
          <w:marRight w:val="0"/>
          <w:marTop w:val="96"/>
          <w:marBottom w:val="0"/>
          <w:divBdr>
            <w:top w:val="none" w:sz="0" w:space="0" w:color="auto"/>
            <w:left w:val="none" w:sz="0" w:space="0" w:color="auto"/>
            <w:bottom w:val="none" w:sz="0" w:space="0" w:color="auto"/>
            <w:right w:val="none" w:sz="0" w:space="0" w:color="auto"/>
          </w:divBdr>
        </w:div>
        <w:div w:id="1368680955">
          <w:marLeft w:val="1166"/>
          <w:marRight w:val="0"/>
          <w:marTop w:val="96"/>
          <w:marBottom w:val="0"/>
          <w:divBdr>
            <w:top w:val="none" w:sz="0" w:space="0" w:color="auto"/>
            <w:left w:val="none" w:sz="0" w:space="0" w:color="auto"/>
            <w:bottom w:val="none" w:sz="0" w:space="0" w:color="auto"/>
            <w:right w:val="none" w:sz="0" w:space="0" w:color="auto"/>
          </w:divBdr>
        </w:div>
        <w:div w:id="2015330229">
          <w:marLeft w:val="1166"/>
          <w:marRight w:val="0"/>
          <w:marTop w:val="96"/>
          <w:marBottom w:val="0"/>
          <w:divBdr>
            <w:top w:val="none" w:sz="0" w:space="0" w:color="auto"/>
            <w:left w:val="none" w:sz="0" w:space="0" w:color="auto"/>
            <w:bottom w:val="none" w:sz="0" w:space="0" w:color="auto"/>
            <w:right w:val="none" w:sz="0" w:space="0" w:color="auto"/>
          </w:divBdr>
        </w:div>
      </w:divsChild>
    </w:div>
    <w:div w:id="1636332715">
      <w:bodyDiv w:val="1"/>
      <w:marLeft w:val="0"/>
      <w:marRight w:val="0"/>
      <w:marTop w:val="0"/>
      <w:marBottom w:val="0"/>
      <w:divBdr>
        <w:top w:val="none" w:sz="0" w:space="0" w:color="auto"/>
        <w:left w:val="none" w:sz="0" w:space="0" w:color="auto"/>
        <w:bottom w:val="none" w:sz="0" w:space="0" w:color="auto"/>
        <w:right w:val="none" w:sz="0" w:space="0" w:color="auto"/>
      </w:divBdr>
      <w:divsChild>
        <w:div w:id="171069855">
          <w:marLeft w:val="0"/>
          <w:marRight w:val="0"/>
          <w:marTop w:val="96"/>
          <w:marBottom w:val="0"/>
          <w:divBdr>
            <w:top w:val="none" w:sz="0" w:space="0" w:color="auto"/>
            <w:left w:val="none" w:sz="0" w:space="0" w:color="auto"/>
            <w:bottom w:val="none" w:sz="0" w:space="0" w:color="auto"/>
            <w:right w:val="none" w:sz="0" w:space="0" w:color="auto"/>
          </w:divBdr>
        </w:div>
        <w:div w:id="1155531318">
          <w:marLeft w:val="0"/>
          <w:marRight w:val="0"/>
          <w:marTop w:val="96"/>
          <w:marBottom w:val="0"/>
          <w:divBdr>
            <w:top w:val="none" w:sz="0" w:space="0" w:color="auto"/>
            <w:left w:val="none" w:sz="0" w:space="0" w:color="auto"/>
            <w:bottom w:val="none" w:sz="0" w:space="0" w:color="auto"/>
            <w:right w:val="none" w:sz="0" w:space="0" w:color="auto"/>
          </w:divBdr>
        </w:div>
        <w:div w:id="1593203864">
          <w:marLeft w:val="0"/>
          <w:marRight w:val="0"/>
          <w:marTop w:val="96"/>
          <w:marBottom w:val="0"/>
          <w:divBdr>
            <w:top w:val="none" w:sz="0" w:space="0" w:color="auto"/>
            <w:left w:val="none" w:sz="0" w:space="0" w:color="auto"/>
            <w:bottom w:val="none" w:sz="0" w:space="0" w:color="auto"/>
            <w:right w:val="none" w:sz="0" w:space="0" w:color="auto"/>
          </w:divBdr>
        </w:div>
      </w:divsChild>
    </w:div>
    <w:div w:id="1637025248">
      <w:bodyDiv w:val="1"/>
      <w:marLeft w:val="0"/>
      <w:marRight w:val="0"/>
      <w:marTop w:val="0"/>
      <w:marBottom w:val="0"/>
      <w:divBdr>
        <w:top w:val="none" w:sz="0" w:space="0" w:color="auto"/>
        <w:left w:val="none" w:sz="0" w:space="0" w:color="auto"/>
        <w:bottom w:val="none" w:sz="0" w:space="0" w:color="auto"/>
        <w:right w:val="none" w:sz="0" w:space="0" w:color="auto"/>
      </w:divBdr>
      <w:divsChild>
        <w:div w:id="239482173">
          <w:marLeft w:val="1800"/>
          <w:marRight w:val="0"/>
          <w:marTop w:val="67"/>
          <w:marBottom w:val="0"/>
          <w:divBdr>
            <w:top w:val="none" w:sz="0" w:space="0" w:color="auto"/>
            <w:left w:val="none" w:sz="0" w:space="0" w:color="auto"/>
            <w:bottom w:val="none" w:sz="0" w:space="0" w:color="auto"/>
            <w:right w:val="none" w:sz="0" w:space="0" w:color="auto"/>
          </w:divBdr>
        </w:div>
        <w:div w:id="772164024">
          <w:marLeft w:val="1800"/>
          <w:marRight w:val="0"/>
          <w:marTop w:val="67"/>
          <w:marBottom w:val="0"/>
          <w:divBdr>
            <w:top w:val="none" w:sz="0" w:space="0" w:color="auto"/>
            <w:left w:val="none" w:sz="0" w:space="0" w:color="auto"/>
            <w:bottom w:val="none" w:sz="0" w:space="0" w:color="auto"/>
            <w:right w:val="none" w:sz="0" w:space="0" w:color="auto"/>
          </w:divBdr>
        </w:div>
        <w:div w:id="825557039">
          <w:marLeft w:val="1800"/>
          <w:marRight w:val="0"/>
          <w:marTop w:val="67"/>
          <w:marBottom w:val="0"/>
          <w:divBdr>
            <w:top w:val="none" w:sz="0" w:space="0" w:color="auto"/>
            <w:left w:val="none" w:sz="0" w:space="0" w:color="auto"/>
            <w:bottom w:val="none" w:sz="0" w:space="0" w:color="auto"/>
            <w:right w:val="none" w:sz="0" w:space="0" w:color="auto"/>
          </w:divBdr>
        </w:div>
        <w:div w:id="995572780">
          <w:marLeft w:val="0"/>
          <w:marRight w:val="0"/>
          <w:marTop w:val="96"/>
          <w:marBottom w:val="0"/>
          <w:divBdr>
            <w:top w:val="none" w:sz="0" w:space="0" w:color="auto"/>
            <w:left w:val="none" w:sz="0" w:space="0" w:color="auto"/>
            <w:bottom w:val="none" w:sz="0" w:space="0" w:color="auto"/>
            <w:right w:val="none" w:sz="0" w:space="0" w:color="auto"/>
          </w:divBdr>
        </w:div>
        <w:div w:id="1221016903">
          <w:marLeft w:val="0"/>
          <w:marRight w:val="0"/>
          <w:marTop w:val="96"/>
          <w:marBottom w:val="0"/>
          <w:divBdr>
            <w:top w:val="none" w:sz="0" w:space="0" w:color="auto"/>
            <w:left w:val="none" w:sz="0" w:space="0" w:color="auto"/>
            <w:bottom w:val="none" w:sz="0" w:space="0" w:color="auto"/>
            <w:right w:val="none" w:sz="0" w:space="0" w:color="auto"/>
          </w:divBdr>
        </w:div>
        <w:div w:id="1280722464">
          <w:marLeft w:val="1800"/>
          <w:marRight w:val="0"/>
          <w:marTop w:val="67"/>
          <w:marBottom w:val="0"/>
          <w:divBdr>
            <w:top w:val="none" w:sz="0" w:space="0" w:color="auto"/>
            <w:left w:val="none" w:sz="0" w:space="0" w:color="auto"/>
            <w:bottom w:val="none" w:sz="0" w:space="0" w:color="auto"/>
            <w:right w:val="none" w:sz="0" w:space="0" w:color="auto"/>
          </w:divBdr>
        </w:div>
        <w:div w:id="1382828598">
          <w:marLeft w:val="1800"/>
          <w:marRight w:val="0"/>
          <w:marTop w:val="67"/>
          <w:marBottom w:val="0"/>
          <w:divBdr>
            <w:top w:val="none" w:sz="0" w:space="0" w:color="auto"/>
            <w:left w:val="none" w:sz="0" w:space="0" w:color="auto"/>
            <w:bottom w:val="none" w:sz="0" w:space="0" w:color="auto"/>
            <w:right w:val="none" w:sz="0" w:space="0" w:color="auto"/>
          </w:divBdr>
        </w:div>
        <w:div w:id="1401709731">
          <w:marLeft w:val="1800"/>
          <w:marRight w:val="0"/>
          <w:marTop w:val="67"/>
          <w:marBottom w:val="0"/>
          <w:divBdr>
            <w:top w:val="none" w:sz="0" w:space="0" w:color="auto"/>
            <w:left w:val="none" w:sz="0" w:space="0" w:color="auto"/>
            <w:bottom w:val="none" w:sz="0" w:space="0" w:color="auto"/>
            <w:right w:val="none" w:sz="0" w:space="0" w:color="auto"/>
          </w:divBdr>
        </w:div>
        <w:div w:id="1962180574">
          <w:marLeft w:val="0"/>
          <w:marRight w:val="0"/>
          <w:marTop w:val="96"/>
          <w:marBottom w:val="0"/>
          <w:divBdr>
            <w:top w:val="none" w:sz="0" w:space="0" w:color="auto"/>
            <w:left w:val="none" w:sz="0" w:space="0" w:color="auto"/>
            <w:bottom w:val="none" w:sz="0" w:space="0" w:color="auto"/>
            <w:right w:val="none" w:sz="0" w:space="0" w:color="auto"/>
          </w:divBdr>
        </w:div>
      </w:divsChild>
    </w:div>
    <w:div w:id="1691831999">
      <w:bodyDiv w:val="1"/>
      <w:marLeft w:val="0"/>
      <w:marRight w:val="0"/>
      <w:marTop w:val="0"/>
      <w:marBottom w:val="0"/>
      <w:divBdr>
        <w:top w:val="none" w:sz="0" w:space="0" w:color="auto"/>
        <w:left w:val="none" w:sz="0" w:space="0" w:color="auto"/>
        <w:bottom w:val="none" w:sz="0" w:space="0" w:color="auto"/>
        <w:right w:val="none" w:sz="0" w:space="0" w:color="auto"/>
      </w:divBdr>
      <w:divsChild>
        <w:div w:id="1375808875">
          <w:marLeft w:val="0"/>
          <w:marRight w:val="0"/>
          <w:marTop w:val="0"/>
          <w:marBottom w:val="0"/>
          <w:divBdr>
            <w:top w:val="none" w:sz="0" w:space="0" w:color="auto"/>
            <w:left w:val="none" w:sz="0" w:space="0" w:color="auto"/>
            <w:bottom w:val="none" w:sz="0" w:space="0" w:color="auto"/>
            <w:right w:val="none" w:sz="0" w:space="0" w:color="auto"/>
          </w:divBdr>
        </w:div>
      </w:divsChild>
    </w:div>
    <w:div w:id="1765879964">
      <w:bodyDiv w:val="1"/>
      <w:marLeft w:val="0"/>
      <w:marRight w:val="0"/>
      <w:marTop w:val="0"/>
      <w:marBottom w:val="0"/>
      <w:divBdr>
        <w:top w:val="none" w:sz="0" w:space="0" w:color="auto"/>
        <w:left w:val="none" w:sz="0" w:space="0" w:color="auto"/>
        <w:bottom w:val="none" w:sz="0" w:space="0" w:color="auto"/>
        <w:right w:val="none" w:sz="0" w:space="0" w:color="auto"/>
      </w:divBdr>
      <w:divsChild>
        <w:div w:id="1091438532">
          <w:marLeft w:val="446"/>
          <w:marRight w:val="0"/>
          <w:marTop w:val="96"/>
          <w:marBottom w:val="0"/>
          <w:divBdr>
            <w:top w:val="none" w:sz="0" w:space="0" w:color="auto"/>
            <w:left w:val="none" w:sz="0" w:space="0" w:color="auto"/>
            <w:bottom w:val="none" w:sz="0" w:space="0" w:color="auto"/>
            <w:right w:val="none" w:sz="0" w:space="0" w:color="auto"/>
          </w:divBdr>
        </w:div>
        <w:div w:id="1135565587">
          <w:marLeft w:val="547"/>
          <w:marRight w:val="0"/>
          <w:marTop w:val="96"/>
          <w:marBottom w:val="0"/>
          <w:divBdr>
            <w:top w:val="none" w:sz="0" w:space="0" w:color="auto"/>
            <w:left w:val="none" w:sz="0" w:space="0" w:color="auto"/>
            <w:bottom w:val="none" w:sz="0" w:space="0" w:color="auto"/>
            <w:right w:val="none" w:sz="0" w:space="0" w:color="auto"/>
          </w:divBdr>
        </w:div>
        <w:div w:id="1454637220">
          <w:marLeft w:val="1627"/>
          <w:marRight w:val="0"/>
          <w:marTop w:val="86"/>
          <w:marBottom w:val="0"/>
          <w:divBdr>
            <w:top w:val="none" w:sz="0" w:space="0" w:color="auto"/>
            <w:left w:val="none" w:sz="0" w:space="0" w:color="auto"/>
            <w:bottom w:val="none" w:sz="0" w:space="0" w:color="auto"/>
            <w:right w:val="none" w:sz="0" w:space="0" w:color="auto"/>
          </w:divBdr>
        </w:div>
        <w:div w:id="1647007720">
          <w:marLeft w:val="1627"/>
          <w:marRight w:val="0"/>
          <w:marTop w:val="86"/>
          <w:marBottom w:val="0"/>
          <w:divBdr>
            <w:top w:val="none" w:sz="0" w:space="0" w:color="auto"/>
            <w:left w:val="none" w:sz="0" w:space="0" w:color="auto"/>
            <w:bottom w:val="none" w:sz="0" w:space="0" w:color="auto"/>
            <w:right w:val="none" w:sz="0" w:space="0" w:color="auto"/>
          </w:divBdr>
        </w:div>
      </w:divsChild>
    </w:div>
    <w:div w:id="1884557477">
      <w:bodyDiv w:val="1"/>
      <w:marLeft w:val="0"/>
      <w:marRight w:val="0"/>
      <w:marTop w:val="0"/>
      <w:marBottom w:val="0"/>
      <w:divBdr>
        <w:top w:val="none" w:sz="0" w:space="0" w:color="auto"/>
        <w:left w:val="none" w:sz="0" w:space="0" w:color="auto"/>
        <w:bottom w:val="none" w:sz="0" w:space="0" w:color="auto"/>
        <w:right w:val="none" w:sz="0" w:space="0" w:color="auto"/>
      </w:divBdr>
      <w:divsChild>
        <w:div w:id="1783694730">
          <w:marLeft w:val="0"/>
          <w:marRight w:val="0"/>
          <w:marTop w:val="96"/>
          <w:marBottom w:val="0"/>
          <w:divBdr>
            <w:top w:val="none" w:sz="0" w:space="0" w:color="auto"/>
            <w:left w:val="none" w:sz="0" w:space="0" w:color="auto"/>
            <w:bottom w:val="none" w:sz="0" w:space="0" w:color="auto"/>
            <w:right w:val="none" w:sz="0" w:space="0" w:color="auto"/>
          </w:divBdr>
        </w:div>
        <w:div w:id="1878008317">
          <w:marLeft w:val="0"/>
          <w:marRight w:val="0"/>
          <w:marTop w:val="96"/>
          <w:marBottom w:val="0"/>
          <w:divBdr>
            <w:top w:val="none" w:sz="0" w:space="0" w:color="auto"/>
            <w:left w:val="none" w:sz="0" w:space="0" w:color="auto"/>
            <w:bottom w:val="none" w:sz="0" w:space="0" w:color="auto"/>
            <w:right w:val="none" w:sz="0" w:space="0" w:color="auto"/>
          </w:divBdr>
        </w:div>
      </w:divsChild>
    </w:div>
    <w:div w:id="1924141278">
      <w:bodyDiv w:val="1"/>
      <w:marLeft w:val="0"/>
      <w:marRight w:val="0"/>
      <w:marTop w:val="0"/>
      <w:marBottom w:val="0"/>
      <w:divBdr>
        <w:top w:val="none" w:sz="0" w:space="0" w:color="auto"/>
        <w:left w:val="none" w:sz="0" w:space="0" w:color="auto"/>
        <w:bottom w:val="none" w:sz="0" w:space="0" w:color="auto"/>
        <w:right w:val="none" w:sz="0" w:space="0" w:color="auto"/>
      </w:divBdr>
    </w:div>
    <w:div w:id="1961034646">
      <w:bodyDiv w:val="1"/>
      <w:marLeft w:val="0"/>
      <w:marRight w:val="0"/>
      <w:marTop w:val="0"/>
      <w:marBottom w:val="0"/>
      <w:divBdr>
        <w:top w:val="none" w:sz="0" w:space="0" w:color="auto"/>
        <w:left w:val="none" w:sz="0" w:space="0" w:color="auto"/>
        <w:bottom w:val="none" w:sz="0" w:space="0" w:color="auto"/>
        <w:right w:val="none" w:sz="0" w:space="0" w:color="auto"/>
      </w:divBdr>
      <w:divsChild>
        <w:div w:id="515269216">
          <w:marLeft w:val="0"/>
          <w:marRight w:val="0"/>
          <w:marTop w:val="96"/>
          <w:marBottom w:val="0"/>
          <w:divBdr>
            <w:top w:val="none" w:sz="0" w:space="0" w:color="auto"/>
            <w:left w:val="none" w:sz="0" w:space="0" w:color="auto"/>
            <w:bottom w:val="none" w:sz="0" w:space="0" w:color="auto"/>
            <w:right w:val="none" w:sz="0" w:space="0" w:color="auto"/>
          </w:divBdr>
        </w:div>
        <w:div w:id="656761759">
          <w:marLeft w:val="0"/>
          <w:marRight w:val="0"/>
          <w:marTop w:val="96"/>
          <w:marBottom w:val="0"/>
          <w:divBdr>
            <w:top w:val="none" w:sz="0" w:space="0" w:color="auto"/>
            <w:left w:val="none" w:sz="0" w:space="0" w:color="auto"/>
            <w:bottom w:val="none" w:sz="0" w:space="0" w:color="auto"/>
            <w:right w:val="none" w:sz="0" w:space="0" w:color="auto"/>
          </w:divBdr>
        </w:div>
        <w:div w:id="1603563278">
          <w:marLeft w:val="1166"/>
          <w:marRight w:val="0"/>
          <w:marTop w:val="96"/>
          <w:marBottom w:val="0"/>
          <w:divBdr>
            <w:top w:val="none" w:sz="0" w:space="0" w:color="auto"/>
            <w:left w:val="none" w:sz="0" w:space="0" w:color="auto"/>
            <w:bottom w:val="none" w:sz="0" w:space="0" w:color="auto"/>
            <w:right w:val="none" w:sz="0" w:space="0" w:color="auto"/>
          </w:divBdr>
        </w:div>
        <w:div w:id="1898323693">
          <w:marLeft w:val="1166"/>
          <w:marRight w:val="0"/>
          <w:marTop w:val="96"/>
          <w:marBottom w:val="0"/>
          <w:divBdr>
            <w:top w:val="none" w:sz="0" w:space="0" w:color="auto"/>
            <w:left w:val="none" w:sz="0" w:space="0" w:color="auto"/>
            <w:bottom w:val="none" w:sz="0" w:space="0" w:color="auto"/>
            <w:right w:val="none" w:sz="0" w:space="0" w:color="auto"/>
          </w:divBdr>
        </w:div>
      </w:divsChild>
    </w:div>
    <w:div w:id="2042045603">
      <w:bodyDiv w:val="1"/>
      <w:marLeft w:val="0"/>
      <w:marRight w:val="0"/>
      <w:marTop w:val="0"/>
      <w:marBottom w:val="0"/>
      <w:divBdr>
        <w:top w:val="none" w:sz="0" w:space="0" w:color="auto"/>
        <w:left w:val="none" w:sz="0" w:space="0" w:color="auto"/>
        <w:bottom w:val="none" w:sz="0" w:space="0" w:color="auto"/>
        <w:right w:val="none" w:sz="0" w:space="0" w:color="auto"/>
      </w:divBdr>
      <w:divsChild>
        <w:div w:id="210264435">
          <w:marLeft w:val="0"/>
          <w:marRight w:val="0"/>
          <w:marTop w:val="86"/>
          <w:marBottom w:val="0"/>
          <w:divBdr>
            <w:top w:val="none" w:sz="0" w:space="0" w:color="auto"/>
            <w:left w:val="none" w:sz="0" w:space="0" w:color="auto"/>
            <w:bottom w:val="none" w:sz="0" w:space="0" w:color="auto"/>
            <w:right w:val="none" w:sz="0" w:space="0" w:color="auto"/>
          </w:divBdr>
        </w:div>
        <w:div w:id="233206920">
          <w:marLeft w:val="0"/>
          <w:marRight w:val="0"/>
          <w:marTop w:val="86"/>
          <w:marBottom w:val="0"/>
          <w:divBdr>
            <w:top w:val="none" w:sz="0" w:space="0" w:color="auto"/>
            <w:left w:val="none" w:sz="0" w:space="0" w:color="auto"/>
            <w:bottom w:val="none" w:sz="0" w:space="0" w:color="auto"/>
            <w:right w:val="none" w:sz="0" w:space="0" w:color="auto"/>
          </w:divBdr>
        </w:div>
        <w:div w:id="325399235">
          <w:marLeft w:val="1166"/>
          <w:marRight w:val="0"/>
          <w:marTop w:val="86"/>
          <w:marBottom w:val="0"/>
          <w:divBdr>
            <w:top w:val="none" w:sz="0" w:space="0" w:color="auto"/>
            <w:left w:val="none" w:sz="0" w:space="0" w:color="auto"/>
            <w:bottom w:val="none" w:sz="0" w:space="0" w:color="auto"/>
            <w:right w:val="none" w:sz="0" w:space="0" w:color="auto"/>
          </w:divBdr>
        </w:div>
        <w:div w:id="791676736">
          <w:marLeft w:val="0"/>
          <w:marRight w:val="0"/>
          <w:marTop w:val="86"/>
          <w:marBottom w:val="0"/>
          <w:divBdr>
            <w:top w:val="none" w:sz="0" w:space="0" w:color="auto"/>
            <w:left w:val="none" w:sz="0" w:space="0" w:color="auto"/>
            <w:bottom w:val="none" w:sz="0" w:space="0" w:color="auto"/>
            <w:right w:val="none" w:sz="0" w:space="0" w:color="auto"/>
          </w:divBdr>
        </w:div>
        <w:div w:id="819468054">
          <w:marLeft w:val="1166"/>
          <w:marRight w:val="0"/>
          <w:marTop w:val="86"/>
          <w:marBottom w:val="0"/>
          <w:divBdr>
            <w:top w:val="none" w:sz="0" w:space="0" w:color="auto"/>
            <w:left w:val="none" w:sz="0" w:space="0" w:color="auto"/>
            <w:bottom w:val="none" w:sz="0" w:space="0" w:color="auto"/>
            <w:right w:val="none" w:sz="0" w:space="0" w:color="auto"/>
          </w:divBdr>
        </w:div>
        <w:div w:id="1715424182">
          <w:marLeft w:val="1166"/>
          <w:marRight w:val="0"/>
          <w:marTop w:val="86"/>
          <w:marBottom w:val="0"/>
          <w:divBdr>
            <w:top w:val="none" w:sz="0" w:space="0" w:color="auto"/>
            <w:left w:val="none" w:sz="0" w:space="0" w:color="auto"/>
            <w:bottom w:val="none" w:sz="0" w:space="0" w:color="auto"/>
            <w:right w:val="none" w:sz="0" w:space="0" w:color="auto"/>
          </w:divBdr>
        </w:div>
        <w:div w:id="2063401200">
          <w:marLeft w:val="547"/>
          <w:marRight w:val="0"/>
          <w:marTop w:val="86"/>
          <w:marBottom w:val="0"/>
          <w:divBdr>
            <w:top w:val="none" w:sz="0" w:space="0" w:color="auto"/>
            <w:left w:val="none" w:sz="0" w:space="0" w:color="auto"/>
            <w:bottom w:val="none" w:sz="0" w:space="0" w:color="auto"/>
            <w:right w:val="none" w:sz="0" w:space="0" w:color="auto"/>
          </w:divBdr>
        </w:div>
        <w:div w:id="206891139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biodiversity/international/abs/legislation_en.htm" TargetMode="External"/><Relationship Id="rId2" Type="http://schemas.openxmlformats.org/officeDocument/2006/relationships/hyperlink" Target="http://www.cbd.int/abs/" TargetMode="External"/><Relationship Id="rId1" Type="http://schemas.openxmlformats.org/officeDocument/2006/relationships/hyperlink" Target="https://eur-lex.europa.eu/legal-content/RO/TXT/?uri=celex:32014R0511" TargetMode="External"/><Relationship Id="rId5" Type="http://schemas.openxmlformats.org/officeDocument/2006/relationships/hyperlink" Target="http://ec.europa.eu/environment/nature/biodiversity/international/abs/index_en.htm" TargetMode="External"/><Relationship Id="rId4" Type="http://schemas.openxmlformats.org/officeDocument/2006/relationships/hyperlink" Target="https://europa.eu/capacity4de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64E0-26E6-4E10-9C1E-310A8582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5108</Words>
  <Characters>30445</Characters>
  <Application>Microsoft Office Word</Application>
  <DocSecurity>0</DocSecurity>
  <Lines>468</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dcterms:created xsi:type="dcterms:W3CDTF">2019-01-14T13:01:00Z</dcterms:created>
  <dcterms:modified xsi:type="dcterms:W3CDTF">2019-01-23T09:09:00Z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