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7DA07B5-96C6-4CA0-A184-6A6345169FC8" style="width:450.4pt;height:406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Prilog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Osnovne informacije o Izvješću na temelju članka 16. stavka 1.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Uredbe (EU) br. 511/2014</w:t>
      </w:r>
    </w:p>
    <w:p>
      <w:pPr>
        <w:spacing w:after="15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  <w:u w:color="12282C"/>
        </w:rPr>
      </w:pPr>
      <w:r>
        <w:rPr>
          <w:rFonts w:ascii="Times New Roman" w:hAnsi="Times New Roman"/>
          <w:i/>
          <w:noProof/>
          <w:sz w:val="24"/>
          <w:u w:color="12282C"/>
        </w:rPr>
        <w:t>Međunarodne obveze koje proizlaze iz Protokola iz Nagoye</w:t>
      </w:r>
    </w:p>
    <w:p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u w:color="12282C"/>
        </w:rPr>
      </w:pPr>
      <w:r>
        <w:rPr>
          <w:rFonts w:ascii="Times New Roman" w:hAnsi="Times New Roman"/>
          <w:noProof/>
          <w:sz w:val="24"/>
          <w:u w:color="12282C"/>
        </w:rPr>
        <w:t>Protokol iz Nagoye međunarodni je sporazum donesen u listopadu 2010.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u w:color="12282C"/>
        </w:rPr>
        <w:t xml:space="preserve"> kojim se provodi treći cilj Konvencije o biološkoj raznolikosti,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u w:color="12282C"/>
        </w:rPr>
        <w:t xml:space="preserve"> a to je poštena i pravična podjela dobiti koja proizlazi iz korištenja genetskih resursa. Očekuje se da se dobiti usmjere k ostvarenju prvog i drugog cilja Konvencije, odnosno očuvanja biološke raznolikosti i održive uporabe njezinih sastavnica, te tako doprinesu ostvarenju tih ciljeva. </w:t>
      </w:r>
    </w:p>
    <w:p>
      <w:pPr>
        <w:spacing w:after="1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color="12282C"/>
        </w:rPr>
        <w:t xml:space="preserve">Protokolom se uspostavlja zajednički okvir načela i mjera pristupa genetskim resursima i podjele dobiti koja proizlazi iz njihova korištenja (što se uobičajeno naziva okvirom za pristup i podjelu dobiti). </w:t>
      </w:r>
      <w:r>
        <w:rPr>
          <w:rFonts w:ascii="Times New Roman" w:hAnsi="Times New Roman"/>
          <w:noProof/>
          <w:sz w:val="24"/>
        </w:rPr>
        <w:t>Protokol iz Nagoye obuhvaća tri vrste mjera: mjere pristupa, podjele dobiti i usklađivanja. Sve stranke Protokola mogu u ostvarivanju svojih suverenih prava nad genetskim resursima odrediti mjere pristupa vodeći računa o zahtjevima Protokola u pogledu takvih mjera (jasnoća, transparentnost, pošteni i neproizvoljni postupci za pristup itd.). Mjerama pristupa trebalo bi odrediti uvjete pribavljanja prethodnog informiranog pristanka od zemlje osiguravateljice i utvrđivanja uzajamno dogovorenih uvjeta u pogledu podjele dobiti između osiguravatelja i korisnika genetskih resursa. Druga vrsta mjera, tj. podjela dobiti, obuhvaćena je ugovornim sporazumima (uzajamno dogovoreni uvjeti) i na nju se primjenjuje ugovorno pravo. Treća vrsta mjera odnosi se na utvrđivanje mjera usklađivanja, a to je obveza na temelju Protokola. Svaka stranka treba poduzeti odgovarajuće, učinkovite i proporcionalne zakonodavne i upravne mjere ili mjere politike kojima će se osigurati da je pristup genetskim resursima u njezinoj nadležnosti u skladu s prethodnim informiranim pristankom i da su utvrđeni uzajamno dogovoreni uvjeti, kao što se zahtijeva u domaćem zakonodavstvu zemlje osiguravateljice o pristupu i podjeli dobiti. Kako bi se postigla usklađenost, stranke trebaju poduzeti odgovarajuće mjere za praćenje korištenja genetskih resursa. U tom se kontekstu od stranaka zahtijeva da uspostave kontrolne točke za prikupljanje relevantnih informacija povezanih s prethodnim informiranim pristankom i uzajamno dogovorenim uvjetima. Te se informacije prosljeđuju Mehanizmu za razmjenu informacija o pristupu i podjeli dobiti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i zemlji osiguravateljici. Mehanizam za razmjenu informacija o pristupu i podjeli dobiti informatička je platforma na kojoj stranke obavještavaju o svim bitnim zakonodavnim i upravnim mjerama te mjerama politike, kao što su zakoni o pristupu, dopuštenja koja daje određena zemlja (prenesena u međunarodno priznat certifikat o sukladnosti), informacije o praćenju korištenja genetskih resursa (prenesene potom u obavijesti kontrolnih točaka), </w:t>
      </w:r>
      <w:r>
        <w:rPr>
          <w:rFonts w:ascii="Times New Roman" w:hAnsi="Times New Roman"/>
          <w:noProof/>
          <w:sz w:val="24"/>
        </w:rPr>
        <w:lastRenderedPageBreak/>
        <w:t>informacije o nadležnim nacionalnim tijelima itd. Mehanizmom za razmjenu informacija o pristupu i podjeli dobiti omogućuje se razmjena relevantnih informacija među svim uključenim dionicima.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57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noProof/>
          <w:color w:val="333333"/>
          <w:sz w:val="20"/>
          <w:shd w:val="clear" w:color="auto" w:fill="FFFFFF"/>
        </w:rPr>
        <w:t>Protokol</w:t>
      </w:r>
      <w:r>
        <w:rPr>
          <w:rStyle w:val="apple-converted-space"/>
          <w:rFonts w:ascii="Times New Roman" w:hAnsi="Times New Roman"/>
          <w:noProof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noProof/>
          <w:color w:val="333333"/>
          <w:sz w:val="20"/>
          <w:shd w:val="clear" w:color="auto" w:fill="FFFFFF"/>
        </w:rPr>
        <w:t>iz Nagoye o pristupu genetskim resursima te poštenoj i pravičnoj podjeli dobiti koja proizlazi iz njihova korištenja uz Konvenciju o biološkoj raznolikosti</w:t>
      </w:r>
      <w:r>
        <w:rPr>
          <w:rStyle w:val="apple-converted-space"/>
          <w:rFonts w:ascii="Times New Roman" w:hAnsi="Times New Roman"/>
          <w:noProof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333333"/>
          <w:sz w:val="20"/>
          <w:shd w:val="clear" w:color="auto" w:fill="FFFFFF"/>
        </w:rPr>
        <w:t>donesen je 29. listopada 2010. u Nagoyi, Japanu, na desetom sastanku Konferencije stranaka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color w:val="333333"/>
          <w:sz w:val="20"/>
          <w:shd w:val="clear" w:color="auto" w:fill="FFFFFF"/>
        </w:rPr>
        <w:t>Konvencije o biološkoj raznolikosti i stupio je na snagu 12. listopada 2014.,</w:t>
      </w:r>
      <w:r>
        <w:rPr>
          <w:rFonts w:ascii="Times New Roman" w:hAnsi="Times New Roman"/>
          <w:noProof/>
          <w:sz w:val="20"/>
        </w:rPr>
        <w:t xml:space="preserve"> http://www.cbd.int/abs/.</w:t>
      </w:r>
      <w:r>
        <w:rPr>
          <w:rStyle w:val="Hyperlink"/>
          <w:rFonts w:ascii="Times New Roman" w:hAnsi="Times New Roman"/>
          <w:noProof/>
          <w:sz w:val="20"/>
          <w:u w:color="12282C"/>
        </w:rPr>
        <w:t xml:space="preserve"> </w:t>
      </w:r>
    </w:p>
  </w:footnote>
  <w:footnote w:id="2">
    <w:p>
      <w:pPr>
        <w:spacing w:after="0" w:line="240" w:lineRule="auto"/>
        <w:jc w:val="both"/>
        <w:rPr>
          <w:noProof/>
        </w:rPr>
      </w:pPr>
      <w:r>
        <w:rPr>
          <w:rStyle w:val="FootnoteReference"/>
          <w:rFonts w:ascii="Times New Roman" w:hAnsi="Times New Roman"/>
          <w:noProof/>
          <w:sz w:val="20"/>
        </w:rPr>
        <w:footnoteRef/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color w:val="333333"/>
          <w:sz w:val="20"/>
          <w:shd w:val="clear" w:color="auto" w:fill="FFFFFF"/>
        </w:rPr>
        <w:t>Konvencija UN-a o biološkoj raznolikosti donesena je 1992. u Nairobiju i otvorena za potpisivanje na sastanku na vrhu u Rio de Janeiru (</w:t>
      </w:r>
      <w:r>
        <w:rPr>
          <w:rFonts w:ascii="Times New Roman" w:hAnsi="Times New Roman"/>
          <w:i/>
          <w:noProof/>
          <w:color w:val="333333"/>
          <w:sz w:val="20"/>
          <w:shd w:val="clear" w:color="auto" w:fill="FFFFFF"/>
        </w:rPr>
        <w:t>Rio Earth Summit</w:t>
      </w:r>
      <w:r>
        <w:rPr>
          <w:rFonts w:ascii="Times New Roman" w:hAnsi="Times New Roman"/>
          <w:noProof/>
          <w:color w:val="333333"/>
          <w:sz w:val="20"/>
          <w:shd w:val="clear" w:color="auto" w:fill="FFFFFF"/>
        </w:rPr>
        <w:t>) (5. lipnja 1992.). Europska unija odobrila je Konvenciju o biološkoj raznolikosti Odlukom Vijeća od 25. listopada 1993. o sklapanju Konvencije o biološkoj raznolikosti; SL L 309 od 13.12.1993., str. 1. – https://eur-lex.europa.eu/legal-content/HR/TXT/?uri=celex:31993D0626.</w:t>
      </w:r>
    </w:p>
  </w:footnote>
  <w:footnote w:id="3">
    <w:p>
      <w:pPr>
        <w:pStyle w:val="FootnoteText"/>
        <w:rPr>
          <w:rFonts w:ascii="Times New Roman" w:hAnsi="Times New Roman"/>
          <w:noProof/>
        </w:rPr>
      </w:pPr>
      <w:r>
        <w:rPr>
          <w:rStyle w:val="FootnoteReference"/>
          <w:rFonts w:ascii="Times New Roman" w:hAnsi="Times New Roman"/>
          <w:noProof/>
        </w:rPr>
        <w:footnoteRef/>
      </w:r>
      <w:r>
        <w:rPr>
          <w:rFonts w:ascii="Times New Roman" w:hAnsi="Times New Roman"/>
          <w:noProof/>
        </w:rPr>
        <w:t xml:space="preserve"> Članak 14. Protokola.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7DA07B5-96C6-4CA0-A184-6A6345169FC8"/>
    <w:docVar w:name="LW_COVERPAGE_TYPE" w:val="1"/>
    <w:docVar w:name="LW_CROSSREFERENCE" w:val="&lt;UNUSED&gt;"/>
    <w:docVar w:name="LW_DocType" w:val="NORMAL"/>
    <w:docVar w:name="LW_EMISSION" w:val="24.1.2019."/>
    <w:docVar w:name="LW_EMISSION_ISODATE" w:val="2019-01-24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Uredba (EU) br. 511/2014 Europskog parlamenta i Vije\u263?a od 16. travnja 2014. o mjerama uskla\u273?ivanja za korisnike Protokola iz Nagoye o pristupu genetskim resursima te po\u353?tenoj i pravi\u269?noj podjeli dobiti koja proizlazi iz njihova kori\u353?tenja u Unij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2621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Mery (ENV)</dc:creator>
  <cp:keywords/>
  <dc:description/>
  <cp:lastModifiedBy>WES PDFC Administrator</cp:lastModifiedBy>
  <cp:revision>8</cp:revision>
  <dcterms:created xsi:type="dcterms:W3CDTF">2019-01-10T18:36:00Z</dcterms:created>
  <dcterms:modified xsi:type="dcterms:W3CDTF">2019-01-23T09:11:00Z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