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A3F9860-F281-478A-87AC-BFB1E9D17BA0" style="width:450.75pt;height:406.5pt">
            <v:imagedata r:id="rId7" o:title=""/>
          </v:shape>
        </w:pict>
      </w:r>
    </w:p>
    <w:bookmarkEnd w:id="0"/>
    <w:p>
      <w:pPr>
        <w:rPr>
          <w:noProof/>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pPr>
        <w:jc w:val="center"/>
        <w:rPr>
          <w:rFonts w:ascii="Times New Roman" w:eastAsia="Times New Roman" w:hAnsi="Times New Roman" w:cs="Times New Roman"/>
          <w:b/>
          <w:noProof/>
          <w:sz w:val="24"/>
          <w:szCs w:val="24"/>
        </w:rPr>
      </w:pPr>
      <w:bookmarkStart w:id="1" w:name="_GoBack"/>
      <w:bookmarkEnd w:id="1"/>
      <w:r>
        <w:rPr>
          <w:rFonts w:ascii="Times New Roman" w:hAnsi="Times New Roman"/>
          <w:b/>
          <w:noProof/>
          <w:sz w:val="24"/>
        </w:rPr>
        <w:lastRenderedPageBreak/>
        <w:t>Pielikums</w:t>
      </w:r>
    </w:p>
    <w:p>
      <w:pPr>
        <w:jc w:val="center"/>
        <w:rPr>
          <w:rFonts w:ascii="Times New Roman" w:eastAsia="Times New Roman" w:hAnsi="Times New Roman" w:cs="Times New Roman"/>
          <w:b/>
          <w:noProof/>
          <w:sz w:val="24"/>
          <w:szCs w:val="24"/>
        </w:rPr>
      </w:pPr>
      <w:r>
        <w:rPr>
          <w:rFonts w:ascii="Times New Roman" w:hAnsi="Times New Roman"/>
          <w:b/>
          <w:noProof/>
          <w:sz w:val="24"/>
        </w:rPr>
        <w:t>Vispārīga informācija par ziņojumu saskaņā ar Regulas (ES) Nr. 511/2014</w:t>
      </w:r>
    </w:p>
    <w:p>
      <w:pPr>
        <w:jc w:val="center"/>
        <w:rPr>
          <w:rFonts w:ascii="Times New Roman" w:eastAsia="Times New Roman" w:hAnsi="Times New Roman" w:cs="Times New Roman"/>
          <w:b/>
          <w:noProof/>
          <w:sz w:val="24"/>
          <w:szCs w:val="24"/>
        </w:rPr>
      </w:pPr>
      <w:r>
        <w:rPr>
          <w:rFonts w:ascii="Times New Roman" w:hAnsi="Times New Roman"/>
          <w:b/>
          <w:noProof/>
          <w:sz w:val="24"/>
        </w:rPr>
        <w:t>16. panta 1. punktu</w:t>
      </w:r>
    </w:p>
    <w:p>
      <w:pPr>
        <w:spacing w:after="150"/>
        <w:jc w:val="both"/>
        <w:outlineLvl w:val="0"/>
        <w:rPr>
          <w:rFonts w:ascii="Times New Roman" w:hAnsi="Times New Roman" w:cs="Times New Roman"/>
          <w:i/>
          <w:noProof/>
          <w:sz w:val="24"/>
          <w:szCs w:val="24"/>
          <w:u w:color="12282C"/>
        </w:rPr>
      </w:pPr>
      <w:r>
        <w:rPr>
          <w:rFonts w:ascii="Times New Roman" w:hAnsi="Times New Roman"/>
          <w:i/>
          <w:noProof/>
          <w:sz w:val="24"/>
          <w:u w:color="12282C"/>
        </w:rPr>
        <w:t>No Nagojas protokola izrietošās starptautiskās saistības</w:t>
      </w:r>
    </w:p>
    <w:p>
      <w:pPr>
        <w:spacing w:after="150"/>
        <w:jc w:val="both"/>
        <w:rPr>
          <w:rFonts w:ascii="Times New Roman" w:hAnsi="Times New Roman" w:cs="Times New Roman"/>
          <w:noProof/>
          <w:sz w:val="24"/>
          <w:szCs w:val="24"/>
          <w:u w:color="12282C"/>
        </w:rPr>
      </w:pPr>
      <w:r>
        <w:rPr>
          <w:rFonts w:ascii="Times New Roman" w:hAnsi="Times New Roman"/>
          <w:noProof/>
          <w:sz w:val="24"/>
          <w:u w:color="12282C"/>
        </w:rPr>
        <w:t>Nagojas protokols ir starptautisks nolīgums, kas pieņemts 2010. gada oktobrī</w:t>
      </w:r>
      <w:r>
        <w:rPr>
          <w:rFonts w:ascii="Times New Roman" w:hAnsi="Times New Roman"/>
          <w:noProof/>
          <w:sz w:val="24"/>
          <w:u w:color="12282C"/>
          <w:vertAlign w:val="superscript"/>
        </w:rPr>
        <w:footnoteReference w:id="1"/>
      </w:r>
      <w:r>
        <w:rPr>
          <w:rFonts w:ascii="Times New Roman" w:hAnsi="Times New Roman"/>
          <w:noProof/>
          <w:sz w:val="24"/>
          <w:u w:color="12282C"/>
        </w:rPr>
        <w:t xml:space="preserve"> ar nolūku īstenot Konvencijas par bioloģisko daudzveidību</w:t>
      </w:r>
      <w:r>
        <w:rPr>
          <w:rFonts w:ascii="Times New Roman" w:hAnsi="Times New Roman"/>
          <w:noProof/>
          <w:sz w:val="24"/>
          <w:u w:color="12282C"/>
          <w:vertAlign w:val="superscript"/>
        </w:rPr>
        <w:footnoteReference w:id="2"/>
      </w:r>
      <w:r>
        <w:rPr>
          <w:rFonts w:ascii="Times New Roman" w:hAnsi="Times New Roman"/>
          <w:noProof/>
          <w:sz w:val="24"/>
          <w:u w:color="12282C"/>
        </w:rPr>
        <w:t xml:space="preserve"> trešo mērķi — no ģenētisko resursu izmantošanas gūto ieguvumu taisnīgu un godīgu sadali. Ir sagaidāms, ka ieguvumi tiks novirzīti un tādējādi veicinās KBD pirmā un otrā mērķa īstenošanu — bioloģiskās daudzveidības saglabāšanu un tās komponentu ilgtspējīgu izmantošanu.</w:t>
      </w:r>
    </w:p>
    <w:p>
      <w:pPr>
        <w:spacing w:after="150"/>
        <w:jc w:val="both"/>
        <w:rPr>
          <w:rFonts w:ascii="Times New Roman" w:hAnsi="Times New Roman"/>
          <w:noProof/>
          <w:sz w:val="24"/>
          <w:szCs w:val="24"/>
        </w:rPr>
      </w:pPr>
      <w:r>
        <w:rPr>
          <w:rFonts w:ascii="Times New Roman" w:hAnsi="Times New Roman"/>
          <w:noProof/>
          <w:sz w:val="24"/>
          <w:u w:color="12282C"/>
        </w:rPr>
        <w:t xml:space="preserve">Protokols izveido vienotu principu un pasākumu satvaru attiecībā uz piekļuvi ģenētiskajiem resursiem un no šo resursu izmantošanas gūto ieguvumu taisnīgu un godīgu sadali (parasti dēvē par </w:t>
      </w:r>
      <w:r>
        <w:rPr>
          <w:rFonts w:ascii="Times New Roman" w:hAnsi="Times New Roman"/>
          <w:i/>
          <w:noProof/>
          <w:sz w:val="24"/>
          <w:u w:color="12282C"/>
        </w:rPr>
        <w:t>ABS</w:t>
      </w:r>
      <w:r>
        <w:rPr>
          <w:rFonts w:ascii="Times New Roman" w:hAnsi="Times New Roman"/>
          <w:noProof/>
          <w:sz w:val="24"/>
          <w:u w:color="12282C"/>
        </w:rPr>
        <w:t xml:space="preserve">). </w:t>
      </w:r>
      <w:r>
        <w:rPr>
          <w:rFonts w:ascii="Times New Roman" w:hAnsi="Times New Roman"/>
          <w:noProof/>
          <w:sz w:val="24"/>
        </w:rPr>
        <w:t>Nagojas protokols aptver trīs pasākumu veidus: piekļuves, ieguvumu sadales un atbilstības pasākumus. Visas protokola puses, izmantojot savas suverēnās tiesības uz ģenētiskajiem resursiem, var izveidot piekļuves pasākumus, taču tām ir jaievēro protokola prasības attiecībā uz šādiem pasākumiem (skaidrība, pārredzamība, taisnīgas un objektīvas piekļuves procedūras u. c.). Piekļuves pasākumos ir jāparedz nosacījumi, kā iegūt no piegādātājvalsts iepriekš norunātu piekrišanu (</w:t>
      </w:r>
      <w:r>
        <w:rPr>
          <w:rFonts w:ascii="Times New Roman" w:hAnsi="Times New Roman"/>
          <w:i/>
          <w:noProof/>
          <w:sz w:val="24"/>
        </w:rPr>
        <w:t>PIC</w:t>
      </w:r>
      <w:r>
        <w:rPr>
          <w:rFonts w:ascii="Times New Roman" w:hAnsi="Times New Roman"/>
          <w:noProof/>
          <w:sz w:val="24"/>
        </w:rPr>
        <w:t xml:space="preserve">) un kā izveidot savstarpēji saskaņotus noteikumus (SSN) ieguvumu sadalei starp piegādātāju un ģenētisko resursu lietotāju. Uz otrā veida pasākumiem, t. i., ieguvumu sadali, attiecas līgumiskas vienošanās (savstarpēji saskaņoti noteikumi), un tiem piemēro līgumtiesības. Trešā veida pasākumi attiecas uz atbilstības pasākumu izveidi, kas ir protokolā noteikts pienākums. Katrai pusei ir jāīsteno atbilstīgi, efektīvi un samērīgi likumdošanas, administratīvie vai politikas pasākumi, lai nodrošinātu, ka tās jurisdikcijā izmantotajiem ģenētiskajiem resursiem piekļūst saskaņā ar </w:t>
      </w:r>
      <w:r>
        <w:rPr>
          <w:rFonts w:ascii="Times New Roman" w:hAnsi="Times New Roman"/>
          <w:i/>
          <w:noProof/>
          <w:sz w:val="24"/>
        </w:rPr>
        <w:t>PIC</w:t>
      </w:r>
      <w:r>
        <w:rPr>
          <w:rFonts w:ascii="Times New Roman" w:hAnsi="Times New Roman"/>
          <w:noProof/>
          <w:sz w:val="24"/>
        </w:rPr>
        <w:t xml:space="preserve"> un ka SSN tiek izveidoti atbilstoši piegādātājvalsts vietējiem </w:t>
      </w:r>
      <w:r>
        <w:rPr>
          <w:rFonts w:ascii="Times New Roman" w:hAnsi="Times New Roman"/>
          <w:i/>
          <w:noProof/>
          <w:sz w:val="24"/>
        </w:rPr>
        <w:t>ABS</w:t>
      </w:r>
      <w:r>
        <w:rPr>
          <w:rFonts w:ascii="Times New Roman" w:hAnsi="Times New Roman"/>
          <w:noProof/>
          <w:sz w:val="24"/>
        </w:rPr>
        <w:t xml:space="preserve"> tiesību aktiem. Lai veicinātu atbilstību, pusēm ir jāīsteno atbilstīgi pasākumi, ar kuriem uzrauga ģenētisko resursu izmantošanu. Šajā kontekstā pusēm ir jāizveido kontrolpunkti attiecīgās ar </w:t>
      </w:r>
      <w:r>
        <w:rPr>
          <w:rFonts w:ascii="Times New Roman" w:hAnsi="Times New Roman"/>
          <w:i/>
          <w:noProof/>
          <w:sz w:val="24"/>
        </w:rPr>
        <w:t>PIC</w:t>
      </w:r>
      <w:r>
        <w:rPr>
          <w:rFonts w:ascii="Times New Roman" w:hAnsi="Times New Roman"/>
          <w:noProof/>
          <w:sz w:val="24"/>
        </w:rPr>
        <w:t xml:space="preserve"> un SSN saistītās informācijas vākšanai. Šo informāciju nodod </w:t>
      </w:r>
      <w:r>
        <w:rPr>
          <w:rFonts w:ascii="Times New Roman" w:hAnsi="Times New Roman"/>
          <w:i/>
          <w:noProof/>
          <w:sz w:val="24"/>
        </w:rPr>
        <w:t>ABS</w:t>
      </w:r>
      <w:r>
        <w:rPr>
          <w:rFonts w:ascii="Times New Roman" w:hAnsi="Times New Roman"/>
          <w:noProof/>
          <w:sz w:val="24"/>
        </w:rPr>
        <w:t xml:space="preserve"> starpniecības centram (</w:t>
      </w:r>
      <w:r>
        <w:rPr>
          <w:rFonts w:ascii="Times New Roman" w:hAnsi="Times New Roman"/>
          <w:i/>
          <w:noProof/>
          <w:sz w:val="24"/>
        </w:rPr>
        <w:t>ABSCH</w:t>
      </w:r>
      <w:r>
        <w:rPr>
          <w:rFonts w:ascii="Times New Roman" w:hAnsi="Times New Roman"/>
          <w:noProof/>
          <w:sz w:val="24"/>
        </w:rPr>
        <w:t>)</w:t>
      </w:r>
      <w:r>
        <w:rPr>
          <w:rFonts w:ascii="Times New Roman" w:hAnsi="Times New Roman"/>
          <w:noProof/>
          <w:sz w:val="24"/>
          <w:vertAlign w:val="superscript"/>
        </w:rPr>
        <w:footnoteReference w:id="3"/>
      </w:r>
      <w:r>
        <w:rPr>
          <w:rFonts w:ascii="Times New Roman" w:hAnsi="Times New Roman"/>
          <w:noProof/>
          <w:sz w:val="24"/>
        </w:rPr>
        <w:t xml:space="preserve"> un arī piegādātājvalstij. </w:t>
      </w:r>
      <w:r>
        <w:rPr>
          <w:rFonts w:ascii="Times New Roman" w:hAnsi="Times New Roman"/>
          <w:i/>
          <w:noProof/>
          <w:sz w:val="24"/>
        </w:rPr>
        <w:t>ABSCH</w:t>
      </w:r>
      <w:r>
        <w:rPr>
          <w:rFonts w:ascii="Times New Roman" w:hAnsi="Times New Roman"/>
          <w:noProof/>
          <w:sz w:val="24"/>
        </w:rPr>
        <w:t xml:space="preserve"> ir IT platforma, kur puses norāda visus attiecīgos likumdošanas, administratīvos un politiskos pasākumus, piemēram, tiesību aktus par piekļuvi, valsts izdotas atļaujas (sagatavotas kā starptautiski atzīti atbilstības sertifikāti), informāciju par ģenētisko resursu izmantošanas uzraudzību (kas pēc tam tiek izmantota kontrolpunktu paziņojumos), informāciju par valsts kompetentajām iestādēm utt. </w:t>
      </w:r>
      <w:r>
        <w:rPr>
          <w:rFonts w:ascii="Times New Roman" w:hAnsi="Times New Roman"/>
          <w:i/>
          <w:noProof/>
          <w:sz w:val="24"/>
        </w:rPr>
        <w:t>ABSCH</w:t>
      </w:r>
      <w:r>
        <w:rPr>
          <w:rFonts w:ascii="Times New Roman" w:hAnsi="Times New Roman"/>
          <w:noProof/>
          <w:sz w:val="24"/>
        </w:rPr>
        <w:t xml:space="preserve"> ļauj koplietot nepieciešamo informāciju visiem iesaistītajiem dalībniekiem.</w:t>
      </w:r>
    </w:p>
    <w:sectPr>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5579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jc w:val="both"/>
        <w:rPr>
          <w:rFonts w:ascii="Times New Roman" w:eastAsia="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color w:val="333333"/>
          <w:sz w:val="20"/>
          <w:shd w:val="clear" w:color="auto" w:fill="FFFFFF"/>
        </w:rPr>
        <w:t>Nagojas Protokols par ģenētisko resursu pieejamību un to izmantošanā iegūto labumu taisnīgu un godīgu sadali (ABS), kas pievienots Konvencijai par bioloģisko daudzveidību,</w:t>
      </w:r>
      <w:r>
        <w:rPr>
          <w:rStyle w:val="apple-converted-space"/>
          <w:rFonts w:ascii="Times New Roman" w:hAnsi="Times New Roman"/>
          <w:color w:val="333333"/>
          <w:sz w:val="20"/>
          <w:shd w:val="clear" w:color="auto" w:fill="FFFFFF"/>
        </w:rPr>
        <w:t> </w:t>
      </w:r>
      <w:r>
        <w:rPr>
          <w:rFonts w:ascii="Times New Roman" w:hAnsi="Times New Roman"/>
          <w:color w:val="333333"/>
          <w:sz w:val="20"/>
          <w:shd w:val="clear" w:color="auto" w:fill="FFFFFF"/>
        </w:rPr>
        <w:t>tika pieņemts 2010. gada 29. oktobrī Nagojā, Japānā, Konvencijas par bioloģisko daudzveidību (KBD) pušu konferences desmitajā sanāksmē, un tas stājās spēkā 2014. gada 12. oktobrī,</w:t>
      </w:r>
      <w:r>
        <w:rPr>
          <w:rFonts w:ascii="Times New Roman" w:hAnsi="Times New Roman"/>
          <w:sz w:val="20"/>
        </w:rPr>
        <w:t xml:space="preserve"> http://www.cbd.int/abs/.</w:t>
      </w:r>
    </w:p>
  </w:footnote>
  <w:footnote w:id="2">
    <w:p>
      <w:pPr>
        <w:spacing w:after="0" w:line="240" w:lineRule="auto"/>
        <w:jc w:val="both"/>
      </w:pPr>
      <w:r>
        <w:rPr>
          <w:rStyle w:val="FootnoteReference"/>
          <w:rFonts w:ascii="Times New Roman" w:hAnsi="Times New Roman"/>
          <w:sz w:val="20"/>
        </w:rPr>
        <w:footnoteRef/>
      </w:r>
      <w:r>
        <w:rPr>
          <w:rFonts w:ascii="Times New Roman" w:hAnsi="Times New Roman"/>
          <w:sz w:val="20"/>
        </w:rPr>
        <w:t xml:space="preserve"> ANO </w:t>
      </w:r>
      <w:r>
        <w:rPr>
          <w:rFonts w:ascii="Times New Roman" w:hAnsi="Times New Roman"/>
          <w:color w:val="333333"/>
          <w:sz w:val="20"/>
          <w:shd w:val="clear" w:color="auto" w:fill="FFFFFF"/>
        </w:rPr>
        <w:t>Konvencija par bioloģisko daudzveidību, kas pieņemta Nairobi 1992. gadā un nodota parakstīšanai Riodežaneiro Konferencē par cilvēkvidi (1992. gada 5. jūnijā). Padomes 1993. gada 25. oktobra lēmums, kas attiecas uz Konvencijas par bioloģisko daudzveidību noslēgšanu, sniedz KBD Eiropas Savienības atļauju; OV L 309, 13.12.1993, 1. lpp., https://eur-lex.europa.eu/legal-content/:LV/TXT/?uri=celex:31993D0626.</w:t>
      </w:r>
    </w:p>
  </w:footnote>
  <w:footnote w:id="3">
    <w:p>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Protokola 14. 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1"/>
    <w:docVar w:name="LW_CORRIGENDUM" w:val="&lt;UNUSED&gt;"/>
    <w:docVar w:name="LW_COVERPAGE_EXISTS" w:val="True"/>
    <w:docVar w:name="LW_COVERPAGE_GUID" w:val="EA3F9860-F281-478A-87AC-BFB1E9D17BA0"/>
    <w:docVar w:name="LW_COVERPAGE_TYPE" w:val="1"/>
    <w:docVar w:name="LW_CROSSREFERENCE" w:val="&lt;UNUSED&gt;"/>
    <w:docVar w:name="LW_DocType" w:val="NORMAL"/>
    <w:docVar w:name="LW_EMISSION" w:val="24.1.2019"/>
    <w:docVar w:name="LW_EMISSION_ISODATE" w:val="2019-01-24"/>
    <w:docVar w:name="LW_EMISSION_LOCATION" w:val="BRX"/>
    <w:docVar w:name="LW_EMISSION_PREFIX" w:val="Briselē, "/>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Eiropas Parlamenta un Padomes 2014. gada 16. apr\u299?\u316?a Regula (ES) Nr. 511/2014 par no Nagojas Protokola par piek\u316?uvi \u291?en\u275?tiskajiem resursiem un to ieguvumu taisn\u299?gu un god\u299?gu sadali, kas g\u363?ti no \u353?o resursu izmanto\u353?anas, izrieto\u353?iem atbilst\u299?bas pas\u257?kumiem lietot\u257?jiem Savien\u299?b\u257?"/>
    <w:docVar w:name="LW_PART_NBR" w:val="1"/>
    <w:docVar w:name="LW_PART_NBR_TOTAL" w:val="1"/>
    <w:docVar w:name="LW_REF.INST.NEW" w:val="COM"/>
    <w:docVar w:name="LW_REF.INST.NEW_ADOPTED" w:val="final"/>
    <w:docVar w:name="LW_REF.INST.NEW_TEXT" w:val="(2019) 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S_x000b_"/>
    <w:docVar w:name="LW_TYPEACTEPRINCIPAL.CP" w:val="KOMISIJAS ZI\u325?OJUMS EIROPAS PARLAMENTAM UN PADOMEI"/>
  </w:docVar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aliases w:val="number,Footnote symbol,Voetnootverwijzing,Times 10 Point,Exposant 3 Point,Footnote reference number,note TESI,SUPERS,EN Footnote Reference,Ref,de nota al pie,Footnote Reference Superscript,Footnote sign,BVI fnr,stylish,Source Referenc"/>
    <w:unhideWhenUsed/>
    <w:qFormat/>
    <w:rPr>
      <w:vertAlign w:val="superscript"/>
    </w:rPr>
  </w:style>
  <w:style w:type="character" w:styleId="Hyperlink">
    <w:name w:val="Hyperlink"/>
    <w:uiPriority w:val="99"/>
    <w:rPr>
      <w:rFonts w:cs="Times New Roman"/>
      <w:color w:val="0000FF"/>
      <w:u w:val="single"/>
    </w:rPr>
  </w:style>
  <w:style w:type="character" w:customStyle="1" w:styleId="apple-converted-space">
    <w:name w:val="apple-converted-spac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333</Words>
  <Characters>2359</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CIACCI Mery (ENV)</dc:creator>
  <cp:keywords/>
  <dc:description/>
  <cp:lastModifiedBy>WES PDFC Administrator</cp:lastModifiedBy>
  <cp:revision>13</cp:revision>
  <dcterms:created xsi:type="dcterms:W3CDTF">2018-10-24T12:42:00Z</dcterms:created>
  <dcterms:modified xsi:type="dcterms:W3CDTF">2019-01-23T09:11:00Z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