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5BF33C3-D937-4069-825F-9DDCDBFB9A0C" style="width:451.25pt;height:406.9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Příloha </w:t>
      </w:r>
    </w:p>
    <w:p>
      <w:pPr>
        <w:jc w:val="center"/>
        <w:rPr>
          <w:rFonts w:ascii="Times New Roman" w:eastAsia="Times New Roman" w:hAnsi="Times New Roman" w:cs="Times New Roman"/>
          <w:b/>
          <w:noProof/>
          <w:sz w:val="24"/>
          <w:szCs w:val="24"/>
        </w:rPr>
      </w:pPr>
      <w:r>
        <w:rPr>
          <w:rFonts w:ascii="Times New Roman" w:hAnsi="Times New Roman"/>
          <w:b/>
          <w:noProof/>
          <w:sz w:val="24"/>
        </w:rPr>
        <w:t xml:space="preserve">Souvislosti zprávy podle čl. 16 odst. 1 </w:t>
      </w:r>
    </w:p>
    <w:p>
      <w:pPr>
        <w:jc w:val="center"/>
        <w:rPr>
          <w:rFonts w:ascii="Times New Roman" w:eastAsia="Times New Roman" w:hAnsi="Times New Roman" w:cs="Times New Roman"/>
          <w:b/>
          <w:noProof/>
          <w:sz w:val="24"/>
          <w:szCs w:val="24"/>
        </w:rPr>
      </w:pPr>
      <w:r>
        <w:rPr>
          <w:rFonts w:ascii="Times New Roman" w:hAnsi="Times New Roman"/>
          <w:b/>
          <w:noProof/>
          <w:sz w:val="24"/>
        </w:rPr>
        <w:t>nařízení (EU) č. 511/2014</w:t>
      </w:r>
    </w:p>
    <w:p>
      <w:pPr>
        <w:spacing w:after="150"/>
        <w:jc w:val="both"/>
        <w:outlineLvl w:val="0"/>
        <w:rPr>
          <w:rFonts w:ascii="Times New Roman" w:hAnsi="Times New Roman" w:cs="Times New Roman"/>
          <w:i/>
          <w:noProof/>
          <w:sz w:val="24"/>
          <w:szCs w:val="24"/>
          <w:u w:color="12282C"/>
        </w:rPr>
      </w:pPr>
      <w:r>
        <w:rPr>
          <w:rFonts w:ascii="Times New Roman" w:hAnsi="Times New Roman"/>
          <w:i/>
          <w:noProof/>
          <w:sz w:val="24"/>
          <w:u w:color="12282C"/>
        </w:rPr>
        <w:t>Mezinárodní povinnosti vyplývající z Nagojského protokolu</w:t>
      </w:r>
    </w:p>
    <w:p>
      <w:pPr>
        <w:spacing w:after="150"/>
        <w:jc w:val="both"/>
        <w:rPr>
          <w:rFonts w:ascii="Times New Roman" w:hAnsi="Times New Roman" w:cs="Times New Roman"/>
          <w:noProof/>
          <w:sz w:val="24"/>
          <w:szCs w:val="24"/>
          <w:u w:color="12282C"/>
        </w:rPr>
      </w:pPr>
      <w:r>
        <w:rPr>
          <w:rFonts w:ascii="Times New Roman" w:hAnsi="Times New Roman"/>
          <w:noProof/>
          <w:sz w:val="24"/>
          <w:u w:color="12282C"/>
        </w:rPr>
        <w:t>Nagojský protokol je mezinárodní dohoda přijatá v říjnu 2010</w:t>
      </w:r>
      <w:r>
        <w:rPr>
          <w:rFonts w:ascii="Times New Roman" w:hAnsi="Times New Roman"/>
          <w:noProof/>
          <w:sz w:val="24"/>
          <w:u w:color="12282C"/>
          <w:vertAlign w:val="superscript"/>
        </w:rPr>
        <w:footnoteReference w:id="1"/>
      </w:r>
      <w:r>
        <w:rPr>
          <w:rFonts w:ascii="Times New Roman" w:hAnsi="Times New Roman"/>
          <w:noProof/>
          <w:sz w:val="24"/>
          <w:u w:color="12282C"/>
        </w:rPr>
        <w:t xml:space="preserve"> za účelem provádění třetího cíle Úmluvy o biologické rozmanitosti,</w:t>
      </w:r>
      <w:r>
        <w:rPr>
          <w:rFonts w:ascii="Times New Roman" w:hAnsi="Times New Roman"/>
          <w:noProof/>
          <w:sz w:val="24"/>
          <w:u w:color="12282C"/>
          <w:vertAlign w:val="superscript"/>
        </w:rPr>
        <w:footnoteReference w:id="2"/>
      </w:r>
      <w:r>
        <w:rPr>
          <w:rFonts w:ascii="Times New Roman" w:hAnsi="Times New Roman"/>
          <w:noProof/>
          <w:sz w:val="24"/>
          <w:u w:color="12282C"/>
        </w:rPr>
        <w:t xml:space="preserve"> a to spravedlivého a rovnocenného sdílení přínosů plynoucích z využívání genetických zdrojů. Očekává se, že tyto přínosy budou směrovány do oblasti, kde budou přispívat k prvnímu a druhému cíli Úmluvy o biologické rozmanitosti, tedy k ochraně biologické rozmanitosti a k udržitelnému využívání jejích složek. </w:t>
      </w:r>
    </w:p>
    <w:p>
      <w:pPr>
        <w:spacing w:after="150"/>
        <w:jc w:val="both"/>
        <w:rPr>
          <w:rFonts w:ascii="Times New Roman" w:hAnsi="Times New Roman"/>
          <w:noProof/>
          <w:sz w:val="24"/>
          <w:szCs w:val="24"/>
        </w:rPr>
      </w:pPr>
      <w:r>
        <w:rPr>
          <w:rFonts w:ascii="Times New Roman" w:hAnsi="Times New Roman"/>
          <w:noProof/>
          <w:sz w:val="24"/>
          <w:u w:color="12282C"/>
        </w:rPr>
        <w:t xml:space="preserve">Protokol stanoví společný rámec zásad a opatření pro přístup ke genetickým zdrojům a sdílení přínosů plynoucích z jejich využívání (běžně se označuje jako přístup a sdílení přínosů). </w:t>
      </w:r>
      <w:r>
        <w:rPr>
          <w:rFonts w:ascii="Times New Roman" w:hAnsi="Times New Roman"/>
          <w:noProof/>
          <w:sz w:val="24"/>
        </w:rPr>
        <w:t>Nagojský protokol zakotvuje tři druhy opatření: opatření pro přístup, opatření pro sdílení přínosů a opatření pro dodržování pravidel. Všechny smluvní strany protokolu mohou při uplatňování svých svrchovaných práv na genetické zdroje stanovit opatření pro přístup, přičemž berou ohled na požadavky protokolu týkající se takových opatření (přehlednost, transparentnost, spravedlivé a objektivní postupy upravující přístup atd.). Opatření pro přístup by měla stanovit podmínky, jak získat předchozí informovaný souhlas (PIC) země poskytující genetické zdroje a jak sjednat vzájemně dohodnuté podmínky (MAT) za účelem sdílení přínosů mezi poskytovatelem a uživatelem genetických zdrojů. Druhý typ opatření, tedy opatření pro sdílení přínosů, je předmětem smluvních ujednání (vzájemně dohodnutých podmínek) a podléhá smluvnímu právu. Třetí typ opatření představuje zavedení opatření pro dodržování pravidel, což je povinnost vyplývající z protokolu. Každá smluvní strana přijme vhodná, účinná a přiměřená legislativní, správní či politická opatření s cílem zajistit, aby přístup ke genetickým zdrojům využívaným v rámci její jurisdikce byl uplatněn v souladu s předchozím informovaným souhlasem a aby byly sjednány vzájemně dohodnuté podmínky, a to způsobem vyžadovaným vnitrostátním právem země poskytující genetické zdroje upravujícím přístup a sdílení přínosů. K podpoře dodržování pravidel přijmou smluvní strany vhodná opatření pro monitorování využívání genetických zdrojů. V této souvislosti jsou smluvní strany povinny zavést kontrolní body pro shromažďování příslušných informací týkajících se předchozího informovaného souhlasu a vzájemně dohodnutých podmínek. Tyto informace se předávají do Informačního systému pro přístup a sdílení přínosů (ABSCH)</w:t>
      </w:r>
      <w:r>
        <w:rPr>
          <w:rFonts w:ascii="Times New Roman" w:hAnsi="Times New Roman"/>
          <w:noProof/>
          <w:sz w:val="24"/>
          <w:vertAlign w:val="superscript"/>
        </w:rPr>
        <w:footnoteReference w:id="3"/>
      </w:r>
      <w:r>
        <w:rPr>
          <w:rFonts w:ascii="Times New Roman" w:hAnsi="Times New Roman"/>
          <w:noProof/>
          <w:sz w:val="24"/>
        </w:rPr>
        <w:t xml:space="preserve"> a také zemi poskytující genetické zdroje. Informační systém pro přístup a sdílení přínosů je platformou IT, na kterou smluvní strany umisťují všechna příslušná legislativní, správní a politická opatření; např. právní předpisy upravující přístup, povolení, která jejich země vydala </w:t>
      </w:r>
      <w:r>
        <w:rPr>
          <w:rFonts w:ascii="Times New Roman" w:hAnsi="Times New Roman"/>
          <w:noProof/>
          <w:sz w:val="24"/>
        </w:rPr>
        <w:lastRenderedPageBreak/>
        <w:t>(převedená na mezinárodně uznávaný certifikát o shodě), informace o monitorování využívání genetických zdrojů (které se následně převádějí na vyjádření ke kontrolnímu bodu), informace o příslušných vnitrostátních orgánech atd. Informační systém pro přístup a sdílení přínosů umožňuje všem zúčastněným aktérům sdílet relevantní informace.</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57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color w:val="333333"/>
          <w:sz w:val="20"/>
          <w:shd w:val="clear" w:color="auto" w:fill="FFFFFF"/>
        </w:rPr>
        <w:t>Nagojský protokol o přístupu ke genetickým zdrojům a spravedlivém a rovnocenném sdílení přínosů plynoucích z jejich využívání (ABS) k Úmluvě o biologické rozmanitosti</w:t>
      </w:r>
      <w:r>
        <w:rPr>
          <w:rStyle w:val="apple-converted-space"/>
          <w:rFonts w:ascii="Times New Roman" w:hAnsi="Times New Roman"/>
          <w:color w:val="333333"/>
          <w:sz w:val="20"/>
          <w:shd w:val="clear" w:color="auto" w:fill="FFFFFF"/>
        </w:rPr>
        <w:t> </w:t>
      </w:r>
      <w:r>
        <w:rPr>
          <w:rFonts w:ascii="Times New Roman" w:hAnsi="Times New Roman"/>
          <w:sz w:val="20"/>
        </w:rPr>
        <w:t xml:space="preserve">byl přijat dne 29. října 2010 v japonské Nagoji na </w:t>
      </w:r>
      <w:r>
        <w:rPr>
          <w:rFonts w:ascii="Times New Roman" w:hAnsi="Times New Roman"/>
          <w:color w:val="333333"/>
          <w:sz w:val="20"/>
          <w:shd w:val="clear" w:color="auto" w:fill="FFFFFF"/>
        </w:rPr>
        <w:t>desátém zasedání konference smluvních stran</w:t>
      </w:r>
      <w:r>
        <w:rPr>
          <w:rFonts w:ascii="Times New Roman" w:hAnsi="Times New Roman"/>
          <w:sz w:val="20"/>
        </w:rPr>
        <w:t xml:space="preserve"> </w:t>
      </w:r>
      <w:r>
        <w:rPr>
          <w:rFonts w:ascii="Times New Roman" w:hAnsi="Times New Roman"/>
          <w:color w:val="333333"/>
          <w:sz w:val="20"/>
          <w:shd w:val="clear" w:color="auto" w:fill="FFFFFF"/>
        </w:rPr>
        <w:t>Úmluvy o biologické rozmanitosti a vstoupil v platnost dne 12. října 2014,</w:t>
      </w:r>
      <w:r>
        <w:rPr>
          <w:rFonts w:ascii="Times New Roman" w:hAnsi="Times New Roman"/>
          <w:sz w:val="20"/>
        </w:rPr>
        <w:t xml:space="preserve"> http://www.cbd.int/abs/.</w:t>
      </w:r>
      <w:r>
        <w:rPr>
          <w:rStyle w:val="Hyperlink"/>
          <w:rFonts w:ascii="Times New Roman" w:hAnsi="Times New Roman"/>
          <w:sz w:val="20"/>
          <w:u w:color="12282C"/>
        </w:rPr>
        <w:t xml:space="preserve"> </w:t>
      </w:r>
    </w:p>
  </w:footnote>
  <w:footnote w:id="2">
    <w:p>
      <w:pPr>
        <w:spacing w:after="0" w:line="240" w:lineRule="auto"/>
        <w:jc w:val="both"/>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color w:val="333333"/>
          <w:sz w:val="20"/>
          <w:shd w:val="clear" w:color="auto" w:fill="FFFFFF"/>
        </w:rPr>
        <w:t>Úmluva OSN o biologické rozmanitosti přijatá v roce 1992 v Nairobi a otevřená k podpisu na Konferenci OSN o lidském prostředí v Riu (5. června 1992). Rozhodnutí Rady ze dne 25. října 1993 o uzavření Úmluvy o biologické rozmanitosti udílí souhlas Evropské unie s Úmluvou o biologické rozmanitosti; Úř. věst. L 309 ze dne 13/12/1993, s.1 – https://eur-lex.europa.eu/legal-content/CS/TXT/HTML/?uri=CELEX:31993D0626&amp;from=CS.</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Článek 14 protokolu.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 "/>
    <w:docVar w:name="LW_ANNEX_NBR_FIRST" w:val="1"/>
    <w:docVar w:name="LW_ANNEX_NBR_LAST" w:val="1"/>
    <w:docVar w:name="LW_ANNEX_UNIQUE" w:val="1"/>
    <w:docVar w:name="LW_CORRIGENDUM" w:val="&lt;UNUSED&gt;"/>
    <w:docVar w:name="LW_COVERPAGE_EXISTS" w:val="True"/>
    <w:docVar w:name="LW_COVERPAGE_GUID" w:val="55BF33C3-D937-4069-825F-9DDCDBFB9A0C"/>
    <w:docVar w:name="LW_COVERPAGE_TYPE" w:val="1"/>
    <w:docVar w:name="LW_CROSSREFERENCE" w:val="&lt;UNUSED&gt;"/>
    <w:docVar w:name="LW_DocType" w:val="NORMAL"/>
    <w:docVar w:name="LW_EMISSION" w:val="24.1.2019"/>
    <w:docVar w:name="LW_EMISSION_ISODATE" w:val="2019-01-24"/>
    <w:docVar w:name="LW_EMISSION_LOCATION" w:val="BRX"/>
    <w:docVar w:name="LW_EMISSION_PREFIX" w:val="V Bruselu dne "/>
    <w:docVar w:name="LW_EMISSION_SUFFIX" w:val=" "/>
    <w:docVar w:name="LW_ID_DOCTYPE_NONLW" w:val="CP-039"/>
    <w:docVar w:name="LW_LANGUE" w:val="CS"/>
    <w:docVar w:name="LW_LEVEL_OF_SENSITIVITY" w:val="Standard treatment"/>
    <w:docVar w:name="LW_NOM.INST" w:val="EVROPSKÁ KOMISE"/>
    <w:docVar w:name="LW_NOM.INST_JOINTDOC" w:val="&lt;EMPTY&gt;"/>
    <w:docVar w:name="LW_OBJETACTEPRINCIPAL.CP" w:val="Na\u345?ízení Evropského parlamentu a Rady (EU) \u269?. 511/2014 ze dne 16. dubna 2014 o opat\u345?eních pro dodr\u382?ování pravidel, která vyplývají z Nagojského protokolu o p\u345?ístupu ke genetickým zdroj\u367?m a spravedlivém a rovnocenném sdílení p\u345?ínos\u367? plynoucích z jejich vyu\u382?ívání, ze strany u\u382?ivatel\u367? v Unii"/>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u344?ÍLOHA_x000b_"/>
    <w:docVar w:name="LW_TYPEACTEPRINCIPAL.CP" w:val="ZPRÁVY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416</Words>
  <Characters>2721</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CIACCI Mery (ENV)</dc:creator>
  <cp:keywords/>
  <dc:description/>
  <cp:lastModifiedBy>DIGIT/C6</cp:lastModifiedBy>
  <cp:revision>9</cp:revision>
  <dcterms:created xsi:type="dcterms:W3CDTF">2019-01-10T18:36:00Z</dcterms:created>
  <dcterms:modified xsi:type="dcterms:W3CDTF">2019-01-23T09:10:00Z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