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5D70241-E062-46B1-B57C-AAC73BA25616" style="width:450.75pt;height:338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PREPORUKE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Razlozi i ciljevi preporuke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Predsjednik Europske komisije i predsjednik Sjedinjenih Američkih Država postigli su 25. srpnja 2018. dogovor o pokretanju nove faze u trgovinskim odnosima između Sjedinjenih Američkih Država i Europske unije kako bi se olakšala trgovina i izbjegla eskalacija trgovinskih napetosti.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Istog je dana donesena zajednička izjava kojom se predviđa ukidanje carina na industrijske proizvode, jačanje suradnje na regulatornim pitanjima i standardima, olakšavanje trgovine sojom i povećanje trgovine ukapljenim prirodnim plinom (UPP) kako bi se Europskoj uniji omogućilo da bolje diversificira svoju opskrbu energijom. Također su se dogovorili da će udružiti snage radi bolje zaštite europskih i američkih poduzeća od nepoštene svjetske trgovinske prakse te blisko surađivati s partnerima istomišljenicima na reformi Svjetske trgovinske organizacije (WTO).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Osnovana je izvršna radna skupina koja će provoditi zajednički program i od koje je zatraženo, među ostalim, da utvrdi kratkoročne mjere za olakšavanje trgovinske razmjene. Dogovoreno je da će tijekom postupka provedbe Zajedničke izjave Europska unija i Sjedinjene Američke Države u potpunosti poštovati duh tog dogovora, osim ako jedna od stranaka prekine pregovore. Obje su se strane složile da žele riješiti probleme povezane s carinama na čelik i aluminij. </w:t>
      </w:r>
    </w:p>
    <w:p>
      <w:pPr>
        <w:rPr>
          <w:noProof/>
        </w:rPr>
      </w:pPr>
      <w:r>
        <w:rPr>
          <w:noProof/>
        </w:rPr>
        <w:t>Europska komisija predana je provedbi Zajedničke izjave od 25. srpnja 2018. u dobroj vjeri. Komisija će obustaviti pregovore sa Sjedinjenim Američkim Državama ako ne budu poštovale obvezu preuzetu 25. srpnja 2018. da će se suzdržati od donošenja novih mjera protiv EU-a na temelju odjeljka 232. Zakona o širenju trgovine. Komisija pregovore može obustaviti i u slučaju da SAD donese trgovinska ograničenja protiv izvoza iz EU-a na temelju odjeljka 301. Zakona o trgovini iz 1974. ili na temelju bilo kojeg drugog sličnog zakona Sjedinjenih Država.</w:t>
      </w:r>
    </w:p>
    <w:p>
      <w:pPr>
        <w:rPr>
          <w:noProof/>
        </w:rPr>
      </w:pPr>
      <w:r>
        <w:rPr>
          <w:noProof/>
        </w:rPr>
        <w:t xml:space="preserve">Cilj pregovora o ukidanju carina bit će uzajamno uklanjanje svih carina na industrijske proizvode tako da se prilikom stupanja na snagu carine ukinu u znatnoj mjeri te da se potom te carine postupno potpuno ukinu u kratkom vremenskom roku. Industrijski proizvodi obuhvaćaju sve proizvode, osim onih koji su navedeni u Prilogu I. Sporazumu WTO-a o poljoprivredi. U obzir se može uzeti osjetljivost određenih proizvoda. S tim u vezi EU je spreman razmotriti moguću osjetljivost SAD-a na određene automobilske proizvode.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EU i SAD najveća su i najintegriranija gospodarstva u svijetu te imaju dugu zajedničku povijest trgovine i sličnu razinu gospodarskog razvoja. SAD je glavno izvozno odredište za industrijske proizvode iz EU-a i drugi najveći izvoznik industrijskih proizvoda u EU (nakon Kine). Trgovina robom između EU-a i SAD-a 2017. iznosila je 633 milijarde EUR te se uglavnom sastojala od industrijskih proizvoda (598 milijardi EUR, od čega se 166 milijardi EUR odnosilo na trgovinu strojevima i opremom). S proizvodnjom za izvoz u SAD povezano je oko 4,7 milijuna radnih mjesta u EU-u. Industrijski proizvodi čine većinu naše trgovine robom sa SAD-om (94 % izvoza EU-a i 95 % uvoza). Posljednjih 10 godina trgovina robom između EU-a i SAD-a stalno raste.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lastRenderedPageBreak/>
        <w:t xml:space="preserve">I EU i SAD općenito imaju niske carine na industrijske proizvode. Jednostavne prosječne stope carine utvrđene prema načelu najpovlaštenije nacije koje se primjenjuju za nepoljoprivredne proizvode iznose 4,2 % odnosno 3,1 %. Iako su razine carina razmjerno niske, sama veličina našeg trgovinskog odnosa znači da će ukidanje svih carina na industrijske proizvode imati važan utjecaj na poduzeća i potrošače s obje strane Atlantika.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Unutarnja analiza s pomoću modela za izračun opće ravnoteže MIRAGE pokazuje da bi ukidanje carina na industrijske proizvode bilo od otprilike jednake koristi za oba partnera kad je riječ o povećanju bilateralne trgovine. Izvoz robe iz EU-a u SAD povećao bi se za 10 %, a izvoz iz SAD-a u EU povećao bi se za 13 %.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Ukidanje carina na industrijske proizvode trebalo bi osobito dovesti do znatnih gospodarskih koristi za mala i srednja poduzeća (MSP) zbog nerazmjerno velikog opterećenja koje im predstavljaju troškovi stavljanja proizvoda na tržište. Smanjenje troškova, uključujući ukidanjem carina, može pomoći u povećanju konkurentnosti izvoza malih i srednjih poduzeća, što bi moglo presudno utjecati na odluku hoće li izvoziti ili ne.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Područje primjene ove preporuke odnosi se samo na dio Zajedničke izjave od 25. srpnja 2018. o ukidanju carina na industrijske proizvode. Zajednička izjava donesena je u iznimnim okolnostima kako bi se izbjegla eskalacija trgovinskih napetosti između EU-a i SAD-a.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Cilj ublažavanja trgovinskih napetosti sa SAD-om potpuno je u skladu s Ugovorom o Europskoj uniji (UEU) u kojem je utvrđeno da bi EU trebao poticati integraciju svih zemalja u svjetsko gospodarstvo, uključujući i postupnim ukidanjem ograničenja međunarodne trgovine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Preporuka za otvaranje pregovora sa SAD-om o ukidanju carina ne bi se ni u kojem slučaju trebala tumačiti kao pokazatelj da bi Komisija bila voljna odstupiti od postojećih trgovinskih i ulagačkih politika predviđenih u Komunikaciji Komisije „Trgovina za sve: Prema odgovornijoj trgovinskoj i ulagačkoj politici”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Preporuka je u skladu s drugim politikama Unije.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Članak 207. stavak 3. i stavak 4. prvi podstavak u vezi s člankom 218. stavcima 3. i 4. Ugovora o funkcioniranju Europske unije (UFEU).</w:t>
      </w:r>
    </w:p>
    <w:p>
      <w:pPr>
        <w:pStyle w:val="ManualHeading2"/>
        <w:rPr>
          <w:noProof/>
        </w:rPr>
      </w:pPr>
      <w:r>
        <w:rPr>
          <w:noProof/>
        </w:rPr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skladu s člankom 5. stavkom 3. UEU-a načelo supsidijarnosti ne primjenjuje se u područjima isključive nadležnosti EU-a. Zajednička trgovinska politika navodi se kao jedno od područja u isključivoj nadležnosti Unije iz članka 3. UFEU-a. Ta politika uključuje pregovaranje o trgovinskim sporazumima u skladu s, među ostalim, člankom 207. UFEU-a.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Preporuka Komisije u skladu je s načelom proporcionalnosti i nužna je s obzirom na naš cilj ublažavanja trgovinskih napetosti sa SAD-om.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Odluka Vijeća Europske unije.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PROCJENA UČINAKA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i/>
          <w:noProof/>
        </w:rPr>
        <w:t>Ex post</w:t>
      </w:r>
      <w:r>
        <w:rPr>
          <w:noProof/>
        </w:rPr>
        <w:t xml:space="preserve"> evaluacija/provjera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outlineLvl w:val="9"/>
        <w:rPr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i/>
          <w:noProof/>
        </w:rPr>
        <w:t>Ex post</w:t>
      </w:r>
      <w:r>
        <w:rPr>
          <w:noProof/>
        </w:rPr>
        <w:t xml:space="preserve"> evaluacija/provjera primjerenosti postojećeg zakonodavstva</w:t>
      </w:r>
    </w:p>
    <w:p>
      <w:pPr>
        <w:spacing w:after="240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Savjetovanja s dionicima</w:t>
      </w:r>
    </w:p>
    <w:p>
      <w:pPr>
        <w:spacing w:after="240"/>
        <w:rPr>
          <w:noProof/>
        </w:rPr>
      </w:pPr>
      <w:r>
        <w:rPr>
          <w:noProof/>
        </w:rPr>
        <w:t xml:space="preserve">Od 2012. organiziran je velik broj savjetovanja s dionicima o mogućim prednostima ukidanja carina. Organizirano je nekoliko savjetovanja i sastanaka u okviru dijaloga s civilnim društvom kao dodatak javnim raspravama koje su održane u Europskom parlamentu i državama članicama ili u njihovoj organizaciji.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Prikupljanje i primjena stručnih znanja</w:t>
      </w:r>
    </w:p>
    <w:p>
      <w:pPr>
        <w:spacing w:after="240"/>
        <w:rPr>
          <w:noProof/>
        </w:rPr>
      </w:pPr>
      <w:r>
        <w:rPr>
          <w:noProof/>
        </w:rPr>
        <w:t xml:space="preserve">Veliko stručno znanje o mogućim prednostima ukidanja carina između EU-a i SAD-a već je prikupljeno u okviru prethodnih aktivnosti savjetovanja od 2012. (vidjeti poveznice i dokumente na sljedećoj internetskoj stranici: </w:t>
      </w:r>
    </w:p>
    <w:p>
      <w:pPr>
        <w:spacing w:after="240"/>
        <w:rPr>
          <w:noProof/>
        </w:rPr>
      </w:pPr>
      <w:hyperlink r:id="rId15">
        <w:r>
          <w:rPr>
            <w:rStyle w:val="Hyperlink"/>
            <w:noProof/>
          </w:rPr>
          <w:t>http://trade.ec.europa.eu/doclib/cfm/doclib_section.cfm?sec=146</w:t>
        </w:r>
      </w:hyperlink>
      <w:r>
        <w:rPr>
          <w:noProof/>
        </w:rPr>
        <w:t xml:space="preserve"> 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Procjena učinka</w:t>
      </w:r>
    </w:p>
    <w:p>
      <w:pPr>
        <w:spacing w:after="240"/>
        <w:rPr>
          <w:noProof/>
        </w:rPr>
      </w:pPr>
      <w:r>
        <w:rPr>
          <w:noProof/>
        </w:rPr>
        <w:t>Zbog političkog imperativa da se brzo napreduje radi smanjenja trgovinskih napetosti između EU-a i SAD-a, kako je predsjednik Komisije izjavio nakon sastanka s predsjednikom SAD-a, a Europsko vijeće podržalo na svojem neformalnom sastanku 16. svibnja 2018. u Sofiji, odustalo se od službenog postupka procjene učinka. 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Temeljna prava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Preporuka je u skladu s Ugovorima EU-a i Poveljom o temeljnim pravima Europske unije.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Sporazum o ukidanju carina imat će negativan učinak na proračun EU-a u obliku izgubljenih prihoda od carina zbog ukidanja carina na industrijske proizvode u vrijednosti od oko 2,2 milijarde EUR (podaci za 2017.). Neizravni pozitivni učinci očekuju se u smislu povećanja sredstava povezanih s dodanom vrijednošću i drugim porezima te povećanjem bruto nacionalnog dohotka.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OSTALI DIJELOVI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Postupovni aspekti </w:t>
      </w:r>
    </w:p>
    <w:p>
      <w:pPr>
        <w:rPr>
          <w:noProof/>
        </w:rPr>
      </w:pPr>
      <w:r>
        <w:rPr>
          <w:noProof/>
        </w:rPr>
        <w:t xml:space="preserve">Pregovore će u ime EU-a voditi Komisija. U skladu s člankom 218. stavkom 4. UFEU-a, predlaže se da Vijeće Europske unije imenuje Odbor za trgovinsku politiku kao odbor u savjetovanju s kojim se pregovori moraju voditi. </w:t>
      </w:r>
    </w:p>
    <w:p>
      <w:pPr>
        <w:rPr>
          <w:noProof/>
        </w:rPr>
      </w:pPr>
      <w:r>
        <w:rPr>
          <w:noProof/>
        </w:rPr>
        <w:t xml:space="preserve">U skladu s člankom 218. stavkom 10. UFEU-a izvješćivat će se Europski parlament u svim fazama postupka. </w:t>
      </w:r>
    </w:p>
    <w:p>
      <w:pPr>
        <w:rPr>
          <w:noProof/>
        </w:rPr>
      </w:pPr>
      <w:r>
        <w:rPr>
          <w:noProof/>
        </w:rPr>
        <w:t xml:space="preserve">Komisija će ovu Preporuku i njezin Prilog objaviti odmah nakon njihova donošenja. </w:t>
      </w:r>
    </w:p>
    <w:p>
      <w:pPr>
        <w:rPr>
          <w:noProof/>
        </w:rPr>
      </w:pPr>
      <w:r>
        <w:rPr>
          <w:noProof/>
        </w:rPr>
        <w:t xml:space="preserve">Komisija preporučuje da se pregovaračke smjernice objave odmah nakon njihova donošenja u Vijeću.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Preporuka za</w:t>
      </w:r>
    </w:p>
    <w:p>
      <w:pPr>
        <w:pStyle w:val="Typedudocument"/>
        <w:rPr>
          <w:noProof/>
        </w:rPr>
      </w:pPr>
      <w:r>
        <w:rPr>
          <w:noProof/>
        </w:rPr>
        <w:t>ODLUKU VIJEĆA</w:t>
      </w:r>
    </w:p>
    <w:p>
      <w:pPr>
        <w:pStyle w:val="Titreobjet"/>
        <w:rPr>
          <w:noProof/>
        </w:rPr>
      </w:pPr>
      <w:r>
        <w:rPr>
          <w:noProof/>
        </w:rPr>
        <w:t xml:space="preserve">o odobravanju otvaranja pregovora o sporazumu o ukidanju carina na industrijske proizvode sa Sjedinjenim Američkim Državama </w:t>
      </w:r>
    </w:p>
    <w:p>
      <w:pPr>
        <w:keepNext/>
        <w:spacing w:before="600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207. stavak 3. i stavak 4. prvi podstavak u vezi s člankom 218. stavcima 3. i 4.,</w:t>
      </w:r>
    </w:p>
    <w:p>
      <w:pPr>
        <w:rPr>
          <w:noProof/>
        </w:rPr>
      </w:pPr>
      <w:r>
        <w:rPr>
          <w:noProof/>
        </w:rPr>
        <w:t>uzimajući u obzir preporuku Europske komisije,</w:t>
      </w:r>
    </w:p>
    <w:p>
      <w:pPr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 xml:space="preserve">Komisija se ovlašćuje za otvaranje pregovora u ime Europske unije o sporazumu o ukidanju carina na industrijske proizvode sa Sjedinjenim Američkim Državama. 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rPr>
          <w:noProof/>
        </w:rPr>
      </w:pPr>
      <w:r>
        <w:rPr>
          <w:noProof/>
        </w:rPr>
        <w:t xml:space="preserve">Pregovori se vode na temelju pregovaračkih smjernica Vijeća koje su navedene u Prilogu. 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rPr>
          <w:noProof/>
        </w:rPr>
      </w:pPr>
      <w:r>
        <w:rPr>
          <w:noProof/>
        </w:rPr>
        <w:t xml:space="preserve">Komisija vodi pregovore uz savjetovanje s [naziv posebnog odbora koji upisuje Vijeće]. </w:t>
      </w:r>
    </w:p>
    <w:p>
      <w:pPr>
        <w:pStyle w:val="Titrearticle"/>
        <w:rPr>
          <w:noProof/>
        </w:rPr>
      </w:pPr>
      <w:r>
        <w:rPr>
          <w:noProof/>
        </w:rPr>
        <w:t>Članak 4.</w:t>
      </w:r>
    </w:p>
    <w:p>
      <w:pPr>
        <w:keepNext/>
        <w:spacing w:before="360"/>
        <w:rPr>
          <w:noProof/>
        </w:rPr>
      </w:pPr>
      <w:r>
        <w:rPr>
          <w:noProof/>
        </w:rPr>
        <w:t>Ova Odluka i njezin Prilog objavit će se odmah nakon donošenja.</w:t>
      </w:r>
    </w:p>
    <w:p>
      <w:pPr>
        <w:keepNext/>
        <w:spacing w:before="360"/>
        <w:jc w:val="center"/>
        <w:rPr>
          <w:noProof/>
        </w:rPr>
      </w:pPr>
      <w:r>
        <w:rPr>
          <w:noProof/>
        </w:rPr>
        <w:t>Članak 5.</w:t>
      </w:r>
    </w:p>
    <w:p>
      <w:pPr>
        <w:rPr>
          <w:noProof/>
        </w:rPr>
      </w:pPr>
      <w:r>
        <w:rPr>
          <w:noProof/>
        </w:rPr>
        <w:t xml:space="preserve">Ova je Odluka upućena Komisiji. 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  <w:r>
        <w:rPr>
          <w:noProof/>
        </w:rPr>
        <w:tab/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Članak 21. stavak 2. točka (e) UEU-a.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hyperlink r:id="rId1">
        <w:r>
          <w:rPr>
            <w:rStyle w:val="Hyperlink"/>
            <w:lang w:val="pt-PT"/>
          </w:rPr>
          <w:t>http://trade.ec.europa.eu/doclib/docs/2015/october/tradoc_153846.pdf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BA2E4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6AC5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C3A69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C45A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F0C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66CE9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827F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F589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08:35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CORRIGENDUM" w:val="&lt;UNUSED&gt;"/>
    <w:docVar w:name="LW_COVERPAGE_EXISTS" w:val="True"/>
    <w:docVar w:name="LW_COVERPAGE_GUID" w:val="25D70241-E062-46B1-B57C-AAC73BA25616"/>
    <w:docVar w:name="LW_COVERPAGE_TYPE" w:val="1"/>
    <w:docVar w:name="LW_CROSSREFERENCE" w:val="&lt;UNUSED&gt;"/>
    <w:docVar w:name="LW_DocType" w:val="COM"/>
    <w:docVar w:name="LW_EMISSION" w:val="18.1.2019."/>
    <w:docVar w:name="LW_EMISSION_ISODATE" w:val="2019-01-18"/>
    <w:docVar w:name="LW_EMISSION_LOCATION" w:val="BRX"/>
    <w:docVar w:name="LW_EMISSION_PREFIX" w:val="Bruxelles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eporuka za"/>
    <w:docVar w:name="LW_SUPERTITRE" w:val="&lt;UNUSED&gt;"/>
    <w:docVar w:name="LW_TITRE.OBJ.CP" w:val="o odobravanju otvaranja pregovora o sporazumu o ukidanju carina na industrijske proizvode sa Sjedinjenim Ameri\u269?kim Dr\u382?avama "/>
    <w:docVar w:name="LW_TYPE.DOC.CP" w:val="ODLUKU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rade.ec.europa.eu/doclib/cfm/doclib_section.cfm?sec=146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ade.ec.europa.eu/doclib/docs/2015/october/tradoc_15384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1385</Words>
  <Characters>8117</Characters>
  <Application>Microsoft Office Word</Application>
  <DocSecurity>0</DocSecurity>
  <Lines>153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dcterms:created xsi:type="dcterms:W3CDTF">2019-01-25T15:31:00Z</dcterms:created>
  <dcterms:modified xsi:type="dcterms:W3CDTF">2019-01-28T07:35:00Z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