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CA756B4-CA2F-4980-B38F-AE014BBF1B86"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AZ AJÁNLÁS HÁTTERE</w:t>
      </w:r>
    </w:p>
    <w:p>
      <w:pPr>
        <w:pStyle w:val="ManualHeading2"/>
        <w:rPr>
          <w:noProof/>
        </w:rPr>
      </w:pPr>
      <w:r>
        <w:rPr>
          <w:noProof/>
        </w:rPr>
        <w:t>•</w:t>
      </w:r>
      <w:r>
        <w:rPr>
          <w:noProof/>
        </w:rPr>
        <w:tab/>
        <w:t>Az ajánlás okai és céljai</w:t>
      </w:r>
    </w:p>
    <w:p>
      <w:pPr>
        <w:spacing w:before="100" w:beforeAutospacing="1" w:after="100" w:afterAutospacing="1"/>
        <w:rPr>
          <w:noProof/>
        </w:rPr>
      </w:pPr>
      <w:r>
        <w:rPr>
          <w:noProof/>
        </w:rPr>
        <w:t xml:space="preserve">2018. július 25-én az Európai Bizottság elnöke és az Amerikai Egyesült Államok elnöke megegyezett arról, hogy az Amerikai Egyesült Államok és az Európai Unió közötti kereskedelmi kapcsolatok új szakaszát kezdik meg azzal a céllal, hogy egyszerűsítsék a kereskedelmi eljárásokat, és hogy elkerülhető legyen a kereskedelmi feszültségek fokozódása. </w:t>
      </w:r>
    </w:p>
    <w:p>
      <w:pPr>
        <w:spacing w:before="100" w:beforeAutospacing="1" w:after="100" w:afterAutospacing="1"/>
        <w:rPr>
          <w:noProof/>
        </w:rPr>
      </w:pPr>
      <w:r>
        <w:rPr>
          <w:noProof/>
        </w:rPr>
        <w:t xml:space="preserve">2018. július 25-én közös nyilatkozatot fogadtak el, amely az ipari termékekre kivetett vámok eltörlését célzó együttműködésről; a szabályozási kérdések és a szabványok terén folytatandó fokozottabb együttműködésről; a szójabab-kereskedelemre vonatkozó eljárások egyszerűsítéséről; valamint az Európai Unió energiaellátásának fokozottabb diverzifikálása érdekében a cseppfolyósított földgáz (LNG) kereskedelmének növeléséről szól. A két elnök megegyezett arról is, hogy egyesítik erőiket az európai és amerikai vállalkozások tisztességtelen globális kereskedelmi gyakorlatokkal szembeni megfelelőbb védelme céljából, továbbá hogy szorosan együttműködnek a hasonló gondolkodású partnerekkel a Kereskedelmi Világszervezet (WTO) reformja érdekében. </w:t>
      </w:r>
    </w:p>
    <w:p>
      <w:pPr>
        <w:spacing w:before="100" w:beforeAutospacing="1" w:after="100" w:afterAutospacing="1"/>
        <w:rPr>
          <w:noProof/>
        </w:rPr>
      </w:pPr>
      <w:r>
        <w:rPr>
          <w:noProof/>
        </w:rPr>
        <w:t xml:space="preserve">E közös menetrend megvalósítása érdekében létrejött az EU–Egyesült Államok főtisztviselői munkacsoport, melytől többek között azt kérték, hogy határozzon meg a kereskedelmi kapcsolatokat megkönnyítő rövid távú intézkedéseket. Megállapodtak, hogy a közös nyilatkozat végrehajtásának folyamata során az Európai Unió és az Egyesült Államok teljes mértékben tiszteletben tartja e megállapodás szellemiségét, kivéve, ha valamelyik fél felmondja a tárgyalásokat. A két fél egyetértett abban is, hogy szándékukban áll megoldani az acélra és alumíniumra kivetett vámok kérdését. </w:t>
      </w:r>
    </w:p>
    <w:p>
      <w:pPr>
        <w:rPr>
          <w:noProof/>
        </w:rPr>
      </w:pPr>
      <w:r>
        <w:rPr>
          <w:noProof/>
        </w:rPr>
        <w:t>Az Európai Bizottság elkötelezett a 2018. július 25-i közös nyilatkozat jóhiszemű végrehajtása mellett. A Bizottság felfüggeszti az Egyesült Államokkal folytatott tárgyalásokat, amennyiben az Egyesült Államok nem tartja tiszteletben a 2018. július 25-én tett azon kötelezettségvállalását, miszerint tartózkodni fog a kereskedelem kibővítéséről szóló törvény 232. szakasza szerinti, az EU ellen irányuló új intézkedések elfogadásától. A Bizottság abban az esetben is felfüggesztheti a tárgyalásokat, ha az USA az 1974. évi kereskedelmi törvény 301. szakasza vagy bármely más hasonló amerikai jogszabály alapján fogad el az uniós export ellen irányuló kereskedelmi korlátozásokat.</w:t>
      </w:r>
    </w:p>
    <w:p>
      <w:pPr>
        <w:rPr>
          <w:noProof/>
        </w:rPr>
      </w:pPr>
      <w:r>
        <w:rPr>
          <w:noProof/>
        </w:rPr>
        <w:t xml:space="preserve">A vámok eltörlésére irányuló tárgyalások célja az lesz, hogy az ipari termékekre kivetett valamennyi vámot kölcsönös alapon eltöröljék. A cél, hogy a vámok jelentős részét a megállapodás hatálybalépésekor töröljék el, majd azokat rövid átmeneti időszakon belül teljesen kivezessék. Az ipari termékek a WTO mezőgazdasági megállapodásának I. mellékletében szereplők kivételével valamennyi árut magukban foglalják. Bizonyos termékek különös érzékenységei figyelembe vehetők. Ebben az összefüggésben az EU kész arra, hogy figyelembe vegye az USA esetleges érzékenységeit bizonyos autóipari termékek tekintetében. </w:t>
      </w:r>
    </w:p>
    <w:p>
      <w:pPr>
        <w:spacing w:before="100" w:beforeAutospacing="1" w:after="100" w:afterAutospacing="1"/>
        <w:rPr>
          <w:noProof/>
        </w:rPr>
      </w:pPr>
      <w:r>
        <w:rPr>
          <w:noProof/>
        </w:rPr>
        <w:t xml:space="preserve">Az EU és az USA a világ legnagyobb és leginkább integrált gazdaságai, messzire visszanyúló közös kereskedelmi múlttal és hasonló szintű gazdasági fejlettséggel. Az USA a legnagyobb exportcélország az uniós ipari termékek számára, és a második legnagyobb exportőre az EU-ba behozott ipari termékeknek (Kína után). Az EU és az USA közötti teljes árukereskedelem értéke 2017-ben 633 milliárd EUR volt, amely legnagyobbrészt ipari termékeket jelentett (az </w:t>
      </w:r>
      <w:r>
        <w:rPr>
          <w:noProof/>
        </w:rPr>
        <w:lastRenderedPageBreak/>
        <w:t>ipari termékek kereskedelme 598 milliárd EUR-t tett ki, melyből 166 milliárd EUR-t képviselt a gépek és berendezések kereskedelme). Mintegy 4,7 millió uniós munkahely köthető az USA-ba irányuló exportra történő termeléshez. Az ipari termékek teszik ki az USA-val folytatott árukereskedelmünk döntő többségét (az uniós export 94 %-át és az uniós import 95 %-át). Az EU és az USA közötti árukereskedelem az elmúlt 10 év során folyamatosan nőtt.</w:t>
      </w:r>
    </w:p>
    <w:p>
      <w:pPr>
        <w:spacing w:before="100" w:beforeAutospacing="1" w:after="100" w:afterAutospacing="1"/>
        <w:rPr>
          <w:noProof/>
        </w:rPr>
      </w:pPr>
      <w:r>
        <w:rPr>
          <w:noProof/>
        </w:rPr>
        <w:t xml:space="preserve">Általában véve az EU és az USA is alacsony vámokat alkalmaz az ipari termékek tekintetében. A nem mezőgazdasági termékekre kivetett legnagyobb kedvezményes vámtételek számtani átlaga az EU esetében 4,2 %, az USA esetében pedig 3,1 %. Bár az alkalmazott vámtarifaszintek viszonylag alacsonyak, kereskedelmi kapcsolataink puszta mérete miatt az ipari termékekre kivetett összes vám eltörlése jelentős hatást gyakorolna a vállalkozásokra és a fogyasztókra az Atlanti-óceán mindkét oldalán. </w:t>
      </w:r>
    </w:p>
    <w:p>
      <w:pPr>
        <w:spacing w:before="100" w:beforeAutospacing="1" w:after="100" w:afterAutospacing="1"/>
        <w:rPr>
          <w:noProof/>
        </w:rPr>
      </w:pPr>
      <w:r>
        <w:rPr>
          <w:noProof/>
        </w:rPr>
        <w:t xml:space="preserve">A MIRAGE nevű általános egyensúlyi matematikai modellen alapuló belső elemzésből kiderült, hogy az ipari termékekre kivetett vámok eltörlése a két fél számára nagyjából egyenlő mértékű előnyökkel járna a bilaterális kereskedelem növekedésének köszönhetően. Az USA-ba irányuló uniós áruexport 10 %-kal növekedne, az EU-ba irányuló amerikai export pedig 13 %-kal emelkedne. </w:t>
      </w:r>
    </w:p>
    <w:p>
      <w:pPr>
        <w:spacing w:before="100" w:beforeAutospacing="1" w:after="100" w:afterAutospacing="1"/>
        <w:rPr>
          <w:noProof/>
        </w:rPr>
      </w:pPr>
      <w:r>
        <w:rPr>
          <w:noProof/>
        </w:rPr>
        <w:t>Az ipari termékekre kivetett vámok eltörlése különösen a kis- és középvállalkozások (kkv-k) számára eredményezne jelentős gazdasági hasznot, mely vállalkozásokat aránytalan mértékben terhelik a termékek forgalomba hozatalához kapcsolódó költségek. A költségcsökkentés – a vámok eltörlése miatt keletkező is – versenyképesebbé teheti az exportot a kkv-k számára, és akár el is döntheti azt a kérdést, hogy érdemes-e exportálniuk vagy sem.</w:t>
      </w:r>
    </w:p>
    <w:p>
      <w:pPr>
        <w:pStyle w:val="ManualHeading2"/>
        <w:rPr>
          <w:noProof/>
        </w:rPr>
      </w:pPr>
      <w:r>
        <w:rPr>
          <w:noProof/>
        </w:rPr>
        <w:t>•</w:t>
      </w:r>
      <w:r>
        <w:rPr>
          <w:noProof/>
        </w:rPr>
        <w:tab/>
        <w:t>Összhang a szabályozási terület jelenlegi rendelkezéseivel</w:t>
      </w:r>
    </w:p>
    <w:p>
      <w:pPr>
        <w:pBdr>
          <w:top w:val="nil"/>
          <w:left w:val="nil"/>
          <w:bottom w:val="nil"/>
          <w:right w:val="nil"/>
          <w:between w:val="nil"/>
          <w:bar w:val="nil"/>
        </w:pBdr>
        <w:spacing w:before="0" w:after="240"/>
        <w:rPr>
          <w:noProof/>
        </w:rPr>
      </w:pPr>
      <w:r>
        <w:rPr>
          <w:noProof/>
        </w:rPr>
        <w:t xml:space="preserve">Ezen ajánlás hatálya a 2018. július 25-i közös nyilatkozatnak csak arra a részére terjed ki, amely az ipari termékekre kivetett vámok eltörlésére vonatkozik. A közös nyilatkozatot kivételes körülmények között fogadták el azzal a céllal, hogy elkerüljék az EU és az Egyesült Államok közötti kereskedelmi feszültségek fokozódását. </w:t>
      </w:r>
    </w:p>
    <w:p>
      <w:pPr>
        <w:pBdr>
          <w:top w:val="nil"/>
          <w:left w:val="nil"/>
          <w:bottom w:val="nil"/>
          <w:right w:val="nil"/>
          <w:between w:val="nil"/>
          <w:bar w:val="nil"/>
        </w:pBdr>
        <w:spacing w:before="0" w:after="240"/>
        <w:rPr>
          <w:noProof/>
        </w:rPr>
      </w:pPr>
      <w:r>
        <w:rPr>
          <w:noProof/>
        </w:rPr>
        <w:t>Az USA-val kialakult kereskedelmi feszültségek enyhítésének célkitűzése teljes mértékben összhangban áll az Európai Unióról szóló szerződéssel (EUSZ), mely szerint az Európai Unió előmozdítja valamennyi ország bekapcsolódását a világgazdaságba, egyebek mellett a nemzetközi kereskedelemben érvényesülő korlátozások fokozatos megszüntetése révén</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A vámok eltörléséről az USA-val folytatandó tárgyalások megkezdésére vonatkozó ajánlás semmilyen körülmények között nem értelmezhető annak jeleként, hogy a Bizottság hajlandó lenne eltérni jelenlegi, „A mindenki számára előnyös kereskedelem: a felelősebb kereskedelem- és beruházáspolitika felé” című bizottsági közleményben</w:t>
      </w:r>
      <w:r>
        <w:rPr>
          <w:rStyle w:val="FootnoteReference"/>
          <w:noProof/>
        </w:rPr>
        <w:footnoteReference w:id="2"/>
      </w:r>
      <w:r>
        <w:rPr>
          <w:noProof/>
        </w:rPr>
        <w:t xml:space="preserve"> szereplő kereskedelmi és beruházási szakpolitikáitól. </w:t>
      </w:r>
    </w:p>
    <w:p>
      <w:pPr>
        <w:pStyle w:val="ManualHeading2"/>
        <w:rPr>
          <w:noProof/>
        </w:rPr>
      </w:pPr>
      <w:r>
        <w:rPr>
          <w:noProof/>
        </w:rPr>
        <w:t>•</w:t>
      </w:r>
      <w:r>
        <w:rPr>
          <w:noProof/>
        </w:rPr>
        <w:tab/>
        <w:t>Összhang az Unió egyéb szakpolitikáival</w:t>
      </w:r>
    </w:p>
    <w:p>
      <w:pPr>
        <w:pBdr>
          <w:top w:val="nil"/>
          <w:left w:val="nil"/>
          <w:bottom w:val="nil"/>
          <w:right w:val="nil"/>
          <w:between w:val="nil"/>
          <w:bar w:val="nil"/>
        </w:pBdr>
        <w:spacing w:before="0" w:after="240"/>
        <w:rPr>
          <w:noProof/>
        </w:rPr>
      </w:pPr>
      <w:r>
        <w:rPr>
          <w:noProof/>
        </w:rPr>
        <w:t xml:space="preserve">Az ajánlás összhangban áll az Unió egyéb szakpolitikáival. </w:t>
      </w:r>
    </w:p>
    <w:p>
      <w:pPr>
        <w:pStyle w:val="ManualHeading1"/>
        <w:rPr>
          <w:noProof/>
        </w:rPr>
      </w:pPr>
      <w:r>
        <w:rPr>
          <w:noProof/>
        </w:rPr>
        <w:lastRenderedPageBreak/>
        <w:t>2.</w:t>
      </w:r>
      <w:r>
        <w:rPr>
          <w:noProof/>
        </w:rPr>
        <w:tab/>
        <w:t>JOGALAP, SZUBSZIDIARITÁS ÉS ARÁNYOSSÁG</w:t>
      </w:r>
    </w:p>
    <w:p>
      <w:pPr>
        <w:pStyle w:val="ManualHeading2"/>
        <w:rPr>
          <w:noProof/>
        </w:rPr>
      </w:pPr>
      <w:r>
        <w:rPr>
          <w:noProof/>
        </w:rPr>
        <w:t>•</w:t>
      </w:r>
      <w:r>
        <w:rPr>
          <w:noProof/>
        </w:rPr>
        <w:tab/>
        <w:t>Jogalap</w:t>
      </w:r>
    </w:p>
    <w:p>
      <w:pPr>
        <w:pBdr>
          <w:top w:val="nil"/>
          <w:left w:val="nil"/>
          <w:bottom w:val="nil"/>
          <w:right w:val="nil"/>
          <w:between w:val="nil"/>
          <w:bar w:val="nil"/>
        </w:pBdr>
        <w:spacing w:before="0" w:after="240"/>
        <w:rPr>
          <w:noProof/>
        </w:rPr>
      </w:pPr>
      <w:r>
        <w:rPr>
          <w:noProof/>
        </w:rPr>
        <w:t>Az Európai Unió működéséről szóló szerződés (EUMSZ) 207. cikke (3) bekezdése és (4) bekezdésének első albekezdése, összefüggésben 218. cikkének (3) és (4) bekezdésével.</w:t>
      </w:r>
    </w:p>
    <w:p>
      <w:pPr>
        <w:pStyle w:val="ManualHeading2"/>
        <w:rPr>
          <w:noProof/>
        </w:rPr>
      </w:pPr>
      <w:r>
        <w:rPr>
          <w:noProof/>
        </w:rPr>
        <w:t xml:space="preserve">Szubszidiaritás (nem kizárólagos hatáskör esetén) </w:t>
      </w:r>
    </w:p>
    <w:p>
      <w:pPr>
        <w:pBdr>
          <w:top w:val="nil"/>
          <w:left w:val="nil"/>
          <w:bottom w:val="nil"/>
          <w:right w:val="nil"/>
          <w:between w:val="nil"/>
          <w:bar w:val="nil"/>
        </w:pBdr>
        <w:spacing w:before="0" w:after="240"/>
        <w:rPr>
          <w:noProof/>
        </w:rPr>
      </w:pPr>
      <w:r>
        <w:rPr>
          <w:noProof/>
        </w:rPr>
        <w:t>Az EUSZ 5. cikkének (3) bekezdése értelmében a szubszidiaritás elve nem alkalmazandó a kizárólagos uniós hatáskör alá tartozó területekre. A közös kereskedelempolitika szerepel az EUMSZ 3. cikkében felsorolt, az Unió kizárólagos hatáskörébe tartozó területek között. Ez a szakpolitika kiterjed a kereskedelmi megállapodásokról – többek között az EUMSZ. 207 cikkének megfelelően – folytatott tárgyalásokra is.</w:t>
      </w:r>
    </w:p>
    <w:p>
      <w:pPr>
        <w:pStyle w:val="ManualHeading2"/>
        <w:rPr>
          <w:noProof/>
        </w:rPr>
      </w:pPr>
      <w:r>
        <w:rPr>
          <w:noProof/>
        </w:rPr>
        <w:t>•</w:t>
      </w:r>
      <w:r>
        <w:rPr>
          <w:noProof/>
        </w:rPr>
        <w:tab/>
        <w:t>Arányosság</w:t>
      </w:r>
    </w:p>
    <w:p>
      <w:pPr>
        <w:pBdr>
          <w:top w:val="nil"/>
          <w:left w:val="nil"/>
          <w:bottom w:val="nil"/>
          <w:right w:val="nil"/>
          <w:between w:val="nil"/>
          <w:bar w:val="nil"/>
        </w:pBdr>
        <w:spacing w:before="0" w:after="240"/>
        <w:rPr>
          <w:noProof/>
        </w:rPr>
      </w:pPr>
      <w:r>
        <w:rPr>
          <w:noProof/>
        </w:rPr>
        <w:t xml:space="preserve">A Bizottság ajánlása összhangban áll az arányosság elvével, és szükséges azon célkitűzésünk fényében, hogy enyhítsük az USA-val kialakult kereskedelmi feszültségeket. </w:t>
      </w:r>
    </w:p>
    <w:p>
      <w:pPr>
        <w:pStyle w:val="ManualHeading2"/>
        <w:rPr>
          <w:noProof/>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 xml:space="preserve">Az Európai Unió Tanácsának határozata. </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noProof/>
        </w:rPr>
      </w:pPr>
      <w:r>
        <w:rPr>
          <w:noProof/>
        </w:rPr>
        <w:t>•</w:t>
      </w: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noProof/>
        </w:rPr>
      </w:pPr>
      <w:r>
        <w:rPr>
          <w:noProof/>
        </w:rPr>
        <w:t>Tárgytalan</w:t>
      </w:r>
    </w:p>
    <w:p>
      <w:pPr>
        <w:pStyle w:val="ManualHeading2"/>
        <w:outlineLvl w:val="9"/>
        <w:rPr>
          <w:noProof/>
        </w:rPr>
      </w:pPr>
      <w:r>
        <w:rPr>
          <w:noProof/>
        </w:rPr>
        <w:t>•</w:t>
      </w:r>
      <w:r>
        <w:rPr>
          <w:noProof/>
        </w:rPr>
        <w:tab/>
        <w:t>A jelenleg hatályban lévő jogszabályok utólagos értékelése / célravezetőségi vizsgálata</w:t>
      </w:r>
    </w:p>
    <w:p>
      <w:pPr>
        <w:spacing w:after="240"/>
        <w:rPr>
          <w:noProof/>
        </w:rPr>
      </w:pPr>
      <w:r>
        <w:rPr>
          <w:noProof/>
        </w:rPr>
        <w:t>Tárgytalan</w:t>
      </w:r>
    </w:p>
    <w:p>
      <w:pPr>
        <w:pStyle w:val="ManualHeading2"/>
        <w:rPr>
          <w:noProof/>
        </w:rPr>
      </w:pPr>
      <w:r>
        <w:rPr>
          <w:noProof/>
        </w:rPr>
        <w:t>•</w:t>
      </w:r>
      <w:r>
        <w:rPr>
          <w:noProof/>
        </w:rPr>
        <w:tab/>
        <w:t>Az érdekelt felekkel folytatott konzultációk</w:t>
      </w:r>
    </w:p>
    <w:p>
      <w:pPr>
        <w:spacing w:after="240"/>
        <w:rPr>
          <w:noProof/>
        </w:rPr>
      </w:pPr>
      <w:r>
        <w:rPr>
          <w:noProof/>
        </w:rPr>
        <w:t xml:space="preserve">2012 óta jelentős számú konzultációt tartottak az érdekelt felekkel a vámok eltörlésének lehetséges előnyeiről. Számos meghallgatást és civil társadalmi párbeszédet szerveztek. Ez az ajánlás kiegészíti az Európai Parlament által és az uniós tagállamokban szervezett nyilvános vitákat. </w:t>
      </w:r>
    </w:p>
    <w:p>
      <w:pPr>
        <w:pStyle w:val="ManualHeading2"/>
        <w:rPr>
          <w:noProof/>
        </w:rPr>
      </w:pPr>
      <w:r>
        <w:rPr>
          <w:noProof/>
        </w:rPr>
        <w:t>•</w:t>
      </w:r>
      <w:r>
        <w:rPr>
          <w:noProof/>
        </w:rPr>
        <w:tab/>
        <w:t>Szakértői vélemények beszerzése és felhasználása</w:t>
      </w:r>
    </w:p>
    <w:p>
      <w:pPr>
        <w:spacing w:after="240"/>
        <w:rPr>
          <w:noProof/>
        </w:rPr>
      </w:pPr>
      <w:r>
        <w:rPr>
          <w:noProof/>
        </w:rPr>
        <w:t xml:space="preserve">Jelentős mennyiségű szakértői véleményt gyűjtöttek össze az EU és az USA közötti vámok eltörléséből adódó lehetséges nyereségekről már a 2012 óta folytatott korábbi konzultációs tevékenységek során (lásd a következő honlapon elérhető linkeket és dokumentumokat: </w:t>
      </w:r>
    </w:p>
    <w:p>
      <w:pPr>
        <w:spacing w:after="240"/>
        <w:rPr>
          <w:noProof/>
        </w:rPr>
      </w:pPr>
      <w:hyperlink r:id="rId15">
        <w:r>
          <w:rPr>
            <w:rStyle w:val="Hyperlink"/>
            <w:noProof/>
          </w:rPr>
          <w:t>http://trade.ec.europa.eu/doclib/cfm/doclib_section.cfm?sec=146</w:t>
        </w:r>
      </w:hyperlink>
      <w:r>
        <w:rPr>
          <w:noProof/>
        </w:rPr>
        <w:t xml:space="preserve">. </w:t>
      </w:r>
    </w:p>
    <w:p>
      <w:pPr>
        <w:pStyle w:val="ManualHeading2"/>
        <w:rPr>
          <w:noProof/>
        </w:rPr>
      </w:pPr>
      <w:r>
        <w:rPr>
          <w:noProof/>
        </w:rPr>
        <w:t>•</w:t>
      </w:r>
      <w:r>
        <w:rPr>
          <w:noProof/>
        </w:rPr>
        <w:tab/>
        <w:t>Hatásvizsgálat</w:t>
      </w:r>
    </w:p>
    <w:p>
      <w:pPr>
        <w:spacing w:after="240"/>
        <w:rPr>
          <w:noProof/>
        </w:rPr>
      </w:pPr>
      <w:r>
        <w:rPr>
          <w:noProof/>
        </w:rPr>
        <w:t xml:space="preserve">Az EU és az USA közötti kereskedelmi feszültségek enyhítése érdekében való gyors előrehaladás politikai szükségessége miatt – amit a Bizottság elnöke jelzett az USA elnökével </w:t>
      </w:r>
      <w:r>
        <w:rPr>
          <w:noProof/>
        </w:rPr>
        <w:lastRenderedPageBreak/>
        <w:t>való találkozóját követően, és amit az Európai Tanács is jóváhagyott 2018. május 16-i szófiai informális találkozóján – az ajánlás felmentést kapott a formális hatásvizsgálati eljárás alól. </w:t>
      </w:r>
    </w:p>
    <w:p>
      <w:pPr>
        <w:pStyle w:val="ManualHeading2"/>
        <w:rPr>
          <w:noProof/>
        </w:rPr>
      </w:pPr>
      <w:r>
        <w:rPr>
          <w:noProof/>
        </w:rPr>
        <w:t>•</w:t>
      </w:r>
      <w:r>
        <w:rPr>
          <w:noProof/>
        </w:rPr>
        <w:tab/>
        <w:t>Alapjogok</w:t>
      </w:r>
    </w:p>
    <w:p>
      <w:pPr>
        <w:pBdr>
          <w:top w:val="nil"/>
          <w:left w:val="nil"/>
          <w:bottom w:val="nil"/>
          <w:right w:val="nil"/>
          <w:between w:val="nil"/>
          <w:bar w:val="nil"/>
        </w:pBdr>
        <w:spacing w:before="0" w:after="240"/>
        <w:rPr>
          <w:noProof/>
        </w:rPr>
      </w:pPr>
      <w:r>
        <w:rPr>
          <w:noProof/>
        </w:rPr>
        <w:t xml:space="preserve">Az ajánlás összhangban áll az uniós szerződésekkel és az Európai Unió Alapjogi Chartájával. </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A vámok eltörléséről szóló megállapodás negatív hatást fog gyakorolni az EU költségvetésére az ipari termékekre kivetett vámok eltörléséből adódóan elmaradó, mintegy 2,2 milliárd EUR-t kitevő (2017. évi adat) vámbevételek formájában. Közvetett pozitív hatások várhatók a hozzáadottérték-adóhoz és más adókhoz köthető bevételek növekedésének, valamint a bruttó nemzeti jövedelem növekedésének formájában.</w:t>
      </w:r>
    </w:p>
    <w:p>
      <w:pPr>
        <w:pStyle w:val="ManualHeading1"/>
        <w:rPr>
          <w:noProof/>
        </w:rPr>
      </w:pPr>
      <w:r>
        <w:rPr>
          <w:noProof/>
        </w:rPr>
        <w:t>5.</w:t>
      </w:r>
      <w:r>
        <w:rPr>
          <w:noProof/>
        </w:rPr>
        <w:tab/>
        <w:t>EGYÉB ELEMEK</w:t>
      </w:r>
    </w:p>
    <w:p>
      <w:pPr>
        <w:pStyle w:val="ManualHeading2"/>
        <w:rPr>
          <w:noProof/>
        </w:rPr>
      </w:pPr>
      <w:r>
        <w:rPr>
          <w:noProof/>
        </w:rPr>
        <w:t>•</w:t>
      </w:r>
      <w:r>
        <w:rPr>
          <w:noProof/>
        </w:rPr>
        <w:tab/>
        <w:t xml:space="preserve">Az eljárás ismertetése </w:t>
      </w:r>
    </w:p>
    <w:p>
      <w:pPr>
        <w:rPr>
          <w:noProof/>
        </w:rPr>
      </w:pPr>
      <w:r>
        <w:rPr>
          <w:noProof/>
        </w:rPr>
        <w:t xml:space="preserve">Az EU nevében a Bizottság fog tárgyalni. A Bizottság javasolja, hogy az EUMSZ 218. cikke (4) bekezdésének megfelelően az Európai Unió Tanácsa a Kereskedelempolitikai Bizottságot jelölje ki azon bizottságként, amellyel a tárgyalások során egyeztetni kell. </w:t>
      </w:r>
    </w:p>
    <w:p>
      <w:pPr>
        <w:rPr>
          <w:noProof/>
        </w:rPr>
      </w:pPr>
      <w:r>
        <w:rPr>
          <w:noProof/>
        </w:rPr>
        <w:t xml:space="preserve">Az EUMSZ 218. cikke (10) bekezdésének megfelelően az Európai Parlamentet az eljárás minden szakaszában tájékoztatni fogják. </w:t>
      </w:r>
    </w:p>
    <w:p>
      <w:pPr>
        <w:rPr>
          <w:noProof/>
        </w:rPr>
      </w:pPr>
      <w:r>
        <w:rPr>
          <w:noProof/>
        </w:rPr>
        <w:t xml:space="preserve">A Bizottság közvetlenül az elfogadást követően nyilvánosan hozzáférhetővé fogja tenni ezt az ajánlást és mellékletét. </w:t>
      </w:r>
    </w:p>
    <w:p>
      <w:pPr>
        <w:rPr>
          <w:noProof/>
        </w:rPr>
      </w:pPr>
      <w:r>
        <w:rPr>
          <w:noProof/>
        </w:rPr>
        <w:t xml:space="preserve">A Bizottság azt ajánlja, hogy a tárgyalási irányelveket a Tanács általi elfogadásukat követően haladéktalanul tegyék nyilvánossá.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Ajánlás</w:t>
      </w:r>
    </w:p>
    <w:p>
      <w:pPr>
        <w:pStyle w:val="Typedudocument"/>
        <w:rPr>
          <w:noProof/>
        </w:rPr>
      </w:pPr>
      <w:r>
        <w:rPr>
          <w:noProof/>
        </w:rPr>
        <w:t>A TANÁCS HATÁROZATA</w:t>
      </w:r>
    </w:p>
    <w:p>
      <w:pPr>
        <w:pStyle w:val="Titreobjet"/>
        <w:rPr>
          <w:noProof/>
        </w:rPr>
      </w:pPr>
      <w:r>
        <w:rPr>
          <w:noProof/>
        </w:rPr>
        <w:t xml:space="preserve">az ipari termékekre kivetett vámok eltörléséről szóló, az Amerikai Egyesült Államokkal kötendő megállapodásra irányuló tárgyalások megkezdésére való felhatalmazásról </w:t>
      </w:r>
    </w:p>
    <w:p>
      <w:pPr>
        <w:keepNext/>
        <w:spacing w:before="600"/>
        <w:rPr>
          <w:noProof/>
        </w:rPr>
      </w:pPr>
      <w:r>
        <w:rPr>
          <w:noProof/>
        </w:rPr>
        <w:t>AZ EURÓPAI UNIÓ TANÁCSA,</w:t>
      </w:r>
    </w:p>
    <w:p>
      <w:pPr>
        <w:rPr>
          <w:noProof/>
        </w:rPr>
      </w:pPr>
      <w:r>
        <w:rPr>
          <w:noProof/>
        </w:rPr>
        <w:t>tekintettel az Európai Unió működéséről szóló szerződésre és különösen annak 207. cikke (3) bekezdésére és (4) bekezdésének első albekezdésére, összefüggésben a 218. cikk (3) és (4) bekezdésével,</w:t>
      </w:r>
    </w:p>
    <w:p>
      <w:pPr>
        <w:rPr>
          <w:noProof/>
        </w:rPr>
      </w:pPr>
      <w:r>
        <w:rPr>
          <w:noProof/>
        </w:rPr>
        <w:t>tekintettel az Európai Bizottság ajánlására,</w:t>
      </w:r>
    </w:p>
    <w:p>
      <w:pPr>
        <w:rPr>
          <w:noProof/>
        </w:rPr>
      </w:pPr>
      <w:r>
        <w:rPr>
          <w:noProof/>
        </w:rPr>
        <w:t xml:space="preserve">ELFOGADTA EZT A HATÁROZATOT: </w:t>
      </w:r>
    </w:p>
    <w:p>
      <w:pPr>
        <w:pStyle w:val="Titrearticle"/>
        <w:rPr>
          <w:noProof/>
        </w:rPr>
      </w:pPr>
      <w:r>
        <w:rPr>
          <w:noProof/>
        </w:rPr>
        <w:t>1. cikk</w:t>
      </w:r>
    </w:p>
    <w:p>
      <w:pPr>
        <w:rPr>
          <w:noProof/>
        </w:rPr>
      </w:pPr>
      <w:r>
        <w:rPr>
          <w:noProof/>
        </w:rPr>
        <w:t xml:space="preserve">A Tanács felhatalmazza a Bizottságot arra, hogy az Európai Unió nevében az ipari termékekre kivetett vámok eltörléséről szóló megállapodásra irányuló tárgyalásokat kezdjen az Amerikai Egyesült Államokkal. </w:t>
      </w:r>
    </w:p>
    <w:p>
      <w:pPr>
        <w:pStyle w:val="Titrearticle"/>
        <w:rPr>
          <w:noProof/>
        </w:rPr>
      </w:pPr>
      <w:r>
        <w:rPr>
          <w:noProof/>
        </w:rPr>
        <w:t>2. cikk</w:t>
      </w:r>
    </w:p>
    <w:p>
      <w:pPr>
        <w:rPr>
          <w:noProof/>
        </w:rPr>
      </w:pPr>
      <w:r>
        <w:rPr>
          <w:noProof/>
        </w:rPr>
        <w:t xml:space="preserve">A tárgyalásokat a mellékletben foglalt tanácsi tárgyalási irányelvek alapján kell lefolytatni. </w:t>
      </w:r>
    </w:p>
    <w:p>
      <w:pPr>
        <w:pStyle w:val="Titrearticle"/>
        <w:rPr>
          <w:noProof/>
        </w:rPr>
      </w:pPr>
      <w:r>
        <w:rPr>
          <w:noProof/>
        </w:rPr>
        <w:t>3. cikk</w:t>
      </w:r>
    </w:p>
    <w:p>
      <w:pPr>
        <w:rPr>
          <w:noProof/>
        </w:rPr>
      </w:pPr>
      <w:r>
        <w:rPr>
          <w:noProof/>
        </w:rPr>
        <w:t xml:space="preserve">A Bizottság a tárgyalásokat a(z) [a Tanács által beillesztendő különbizottság]-gal egyeztetve folytatja le. </w:t>
      </w:r>
    </w:p>
    <w:p>
      <w:pPr>
        <w:pStyle w:val="Titrearticle"/>
        <w:rPr>
          <w:noProof/>
        </w:rPr>
      </w:pPr>
      <w:r>
        <w:rPr>
          <w:noProof/>
        </w:rPr>
        <w:t>4. cikk</w:t>
      </w:r>
    </w:p>
    <w:p>
      <w:pPr>
        <w:keepNext/>
        <w:spacing w:before="360"/>
        <w:rPr>
          <w:noProof/>
        </w:rPr>
      </w:pPr>
      <w:r>
        <w:rPr>
          <w:noProof/>
        </w:rPr>
        <w:t>Ezt a határozatot és mellékletét az elfogadásukat követően azonnal hozzáférhetővé teszik a nyilvánosság számára.</w:t>
      </w:r>
    </w:p>
    <w:p>
      <w:pPr>
        <w:keepNext/>
        <w:spacing w:before="360"/>
        <w:jc w:val="center"/>
        <w:rPr>
          <w:noProof/>
        </w:rPr>
      </w:pPr>
      <w:r>
        <w:rPr>
          <w:noProof/>
        </w:rPr>
        <w:t>5. cikk</w:t>
      </w:r>
    </w:p>
    <w:p>
      <w:pPr>
        <w:rPr>
          <w:noProof/>
        </w:rPr>
      </w:pPr>
      <w:r>
        <w:rPr>
          <w:noProof/>
        </w:rPr>
        <w:t xml:space="preserve">Ennek a határozatnak a Bizottság a címzettje. </w:t>
      </w:r>
    </w:p>
    <w:p>
      <w:pPr>
        <w:pStyle w:val="Fait"/>
        <w:rPr>
          <w:noProof/>
        </w:rPr>
      </w:pPr>
      <w:r>
        <w:t>Kelt Brüsszelben, -án/-én.</w:t>
      </w:r>
    </w:p>
    <w:p>
      <w:pPr>
        <w:pStyle w:val="Institutionquisigne"/>
        <w:rPr>
          <w:noProof/>
        </w:rPr>
      </w:pPr>
      <w:r>
        <w:rPr>
          <w:noProof/>
        </w:rPr>
        <w:tab/>
        <w:t>a Tanács részéről</w:t>
      </w:r>
      <w:r>
        <w:rPr>
          <w:noProof/>
        </w:rPr>
        <w:tab/>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Az EUSZ 21. cikke (2) bekezdésének e) pontja.</w:t>
      </w:r>
    </w:p>
  </w:footnote>
  <w:footnote w:id="2">
    <w:p>
      <w:pPr>
        <w:pStyle w:val="FootnoteText"/>
        <w:rPr>
          <w:lang w:val="fr-BE"/>
        </w:rPr>
      </w:pPr>
      <w:r>
        <w:rPr>
          <w:rStyle w:val="FootnoteReference"/>
        </w:rPr>
        <w:footnoteRef/>
      </w:r>
      <w:r>
        <w:tab/>
      </w:r>
      <w:hyperlink r:id="rId1">
        <w:r>
          <w:rPr>
            <w:rStyle w:val="Hyperlink"/>
          </w:rPr>
          <w:t>http://trade.ec.europa.eu/doclib/docs/2015/october/tradoc_153846.pdf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A2E4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6AC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C3A69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C45A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F0C8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6CE9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827F08"/>
    <w:lvl w:ilvl="0">
      <w:start w:val="1"/>
      <w:numFmt w:val="decimal"/>
      <w:pStyle w:val="ListNumber"/>
      <w:lvlText w:val="%1."/>
      <w:lvlJc w:val="left"/>
      <w:pPr>
        <w:tabs>
          <w:tab w:val="num" w:pos="360"/>
        </w:tabs>
        <w:ind w:left="360" w:hanging="360"/>
      </w:pPr>
    </w:lvl>
  </w:abstractNum>
  <w:abstractNum w:abstractNumId="7">
    <w:nsid w:val="FFFFFF89"/>
    <w:multiLevelType w:val="singleLevel"/>
    <w:tmpl w:val="2F5895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08:35: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ECA756B4-CA2F-4980-B38F-AE014BBF1B86"/>
    <w:docVar w:name="LW_COVERPAGE_TYPE" w:val="1"/>
    <w:docVar w:name="LW_CROSSREFERENCE" w:val="&lt;UNUSED&gt;"/>
    <w:docVar w:name="LW_DocType" w:val="COM"/>
    <w:docVar w:name="LW_EMISSION" w:val="2019.1.18."/>
    <w:docVar w:name="LW_EMISSION_ISODATE" w:val="2019-01-18"/>
    <w:docVar w:name="LW_EMISSION_LOCATION" w:val="BRX"/>
    <w:docVar w:name="LW_EMISSION_PREFIX" w:val="Brüsszel,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jánlás"/>
    <w:docVar w:name="LW_SUPERTITRE" w:val="&lt;UNUSED&gt;"/>
    <w:docVar w:name="LW_TITRE.OBJ.CP" w:val="az ipari termékekre kivetett vámok eltörlésér\u337?l szóló, az Amerikai Egyesült Államokkal kötend\u337? megállapodásra irányuló tárgyalások megkezdésére való felhatalmazásról "/>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5/october/tradoc_15384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1430</Words>
  <Characters>9800</Characters>
  <Application>Microsoft Office Word</Application>
  <DocSecurity>0</DocSecurity>
  <Lines>171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2019-01-25T08:55:00Z</dcterms:created>
  <dcterms:modified xsi:type="dcterms:W3CDTF">2019-01-28T07:35:00Z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