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9B84951-008D-4444-8B73-B92D285478B3"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spacing w:before="0" w:after="240"/>
        <w:rPr>
          <w:rFonts w:eastAsia="Times New Roman"/>
          <w:noProof/>
          <w:szCs w:val="24"/>
        </w:rPr>
      </w:pPr>
      <w:r>
        <w:rPr>
          <w:noProof/>
        </w:rPr>
        <w:t>Det Forenede Kongerige meddelte den 29. marts 2017 sin beslutning om at udtræde af Unionen i henhold til artikel 50 i traktaten om Den Europæiske Union. Det betyder, at hvis udtrædelsesaftalen ikke ratificeres, ophører Unionens primære og afledte ret med at finde anvendelse på Det Forenede Kongerige fra den 30. marts 2019 ("udtrædelsesdatoen"). Det Forenede Kongerige vil derefter være et såkaldt tredjeland.</w:t>
      </w:r>
    </w:p>
    <w:p>
      <w:pPr>
        <w:spacing w:before="0" w:after="200"/>
        <w:rPr>
          <w:noProof/>
          <w:szCs w:val="24"/>
        </w:rPr>
      </w:pPr>
      <w:r>
        <w:rPr>
          <w:noProof/>
        </w:rPr>
        <w:t>Kommissionens meddelelse "Forberedelse af Det Forenede Kongeriges udtræden af Den Europæiske Union den 30. marts 2019: en nødhandlingsplan" af 13. november 2018 indeholder de nødforanstaltninger, som den agter at træffe, hvis en udtrædelsesaftale ikke træder i kraft på udtrædelsesdatoen. I meddelelsen anfører Kommissionen de foranstaltninger, den betragter som nødvendige, og minder om, at der kan blive behov for at træffe yderligere foranstaltninger på et senere tidspunkt. I meddelelsen fremlægges også de seks generelle principper, som nødforanstaltninger på alle niveauer bør overholde. Disse omfatter principperne om, at foranstaltninger ikke bør gengive fordelene ved medlemskab af Unionen eller betingelserne for en eventuel overgangsperiode som fastsat i udtrædelsesaftalen, at de skal være af midlertidig karakter og i princippet ikke bør strække sig ud over udgangen af 2019, og at de skal være ensidige tiltag fra Den Europæiske Unions side i udøvelsen af dens interesser, og at Unionen derfor i princippet til enhver tid kan ophæve dem.</w:t>
      </w:r>
    </w:p>
    <w:p>
      <w:pPr>
        <w:spacing w:before="0" w:after="200"/>
        <w:rPr>
          <w:noProof/>
          <w:szCs w:val="24"/>
        </w:rPr>
      </w:pPr>
      <w:r>
        <w:rPr>
          <w:noProof/>
        </w:rPr>
        <w:t>Det Europæiske Råd (artikel 50) gentog den 13. december 2018 sin opfordring til at intensivere arbejdet med på alle niveauer at forberede sig på konsekvenserne af Det Forenede Kongeriges udtræden, idet der tages højde for alle mulige udfald. Kommissionen fremlagde den 19. december 2018 en pakke af foranstaltninger som svar på denne opfordring. Den 17. og 18. december 2018 fastsatte Rådet for Landbrug og Fiskeri fiskerimulighederne for 2019. På denne baggrund, under hensyntagen til den løbende kontakt med medlemsstaterne om den betydelige negative indvirkning, som Det Forenede Kongeriges udtræden uden en udtrædelsesaftale vil have på fiskerisektoren, og i betragtning af, at de interesserede parter ikke selv kan afbøde disse negative konsekvenser, har Kommissionen konkluderet, at der er behov for to nødforanstaltninger for fiskerisektoren. Sideløbende med denne foranstaltning til ændring af Den Europæiske Hav- og Fiskerifond foreslår Kommissionen en foranstaltning om en bæredygtig forvaltning af de eksterne fiskerflåder.</w:t>
      </w:r>
    </w:p>
    <w:p>
      <w:pPr>
        <w:spacing w:before="0" w:after="240"/>
        <w:rPr>
          <w:rFonts w:eastAsia="Times New Roman"/>
          <w:noProof/>
          <w:szCs w:val="24"/>
        </w:rPr>
      </w:pPr>
      <w:r>
        <w:rPr>
          <w:noProof/>
        </w:rPr>
        <w:t>I henhold til forordning (EU) nr. 1380/2013</w:t>
      </w:r>
      <w:r>
        <w:rPr>
          <w:rStyle w:val="FootnoteReference"/>
          <w:noProof/>
        </w:rPr>
        <w:footnoteReference w:id="1"/>
      </w:r>
      <w:r>
        <w:rPr>
          <w:noProof/>
        </w:rPr>
        <w:t xml:space="preserve"> (grundforordningen om den fælles fiskeripolitik) har EU-fiskerfartøjer lige adgang til EU-farvande og </w:t>
      </w:r>
      <w:r>
        <w:rPr>
          <w:noProof/>
        </w:rPr>
        <w:noBreakHyphen/>
        <w:t>ressourcer, der er omfattet af reglerne i den fælles fiskeripolitik. Fra udtrædelsesdatoen gælder den fælles fiskeripolitik ikke længere for Det Forenede Kongerige. Det Forenede Kongeriges farvande (territorialfarvandet på 12 sømil og den tilstødende eksklusive økonomiske zone) vil da ikke længere være en del af EU-farvandene. Medmindre der fastsættes bestemmelser om det modsatte, vil adgangen til hinandens farvande ikke længere være automatisk. I mangel af en anden ordning er standardscenariet, at EU-fiskerfartøjer ikke længere vil have tilladelse til at fiske i Det Forenede Kongeriges farvande og omvendt.</w:t>
      </w:r>
    </w:p>
    <w:p>
      <w:pPr>
        <w:spacing w:before="0" w:after="240"/>
        <w:rPr>
          <w:rFonts w:eastAsia="Times New Roman"/>
          <w:noProof/>
          <w:szCs w:val="24"/>
        </w:rPr>
      </w:pPr>
      <w:r>
        <w:rPr>
          <w:noProof/>
        </w:rPr>
        <w:t>Fiskerisektoren spiller en nøglerolle i økonomien i mange af Den Europæiske Unions kystområder. I lyset af den betydelige usikkerhed i mangel af en aftale med Det Forenede Kongerige risikerer EU-fartøjer at miste adgangen til disse farvande og fiskerimulighederne deri. Dette vil have en øjeblikkelig betydelig indvirkning på EU-flådens fiskeriaktiviteter, beskæftigelse og økonomiske afkast.</w:t>
      </w:r>
    </w:p>
    <w:p>
      <w:pPr>
        <w:autoSpaceDE w:val="0"/>
        <w:autoSpaceDN w:val="0"/>
        <w:adjustRightInd w:val="0"/>
        <w:rPr>
          <w:rFonts w:eastAsia="Times New Roman"/>
          <w:noProof/>
          <w:szCs w:val="24"/>
        </w:rPr>
      </w:pPr>
      <w:r>
        <w:rPr>
          <w:noProof/>
        </w:rPr>
        <w:t>Bruttoværditilvæksten for fiskeri i EU var 4,5 mia. EUR i 2016. Ca. 150 000 job er afhængige af fiskeri, primært i kystområder, hvor beskæftigelsesmulighederne er begrænsede. Fiskeriaktiviteter skaber også beskæftigelse i andre tilknyttede sektorer: for hver fisker skabes der mellem 0,5 og 1 fuldtidsækvivalent i tilknyttede aktiviteter. Medlemsstaterne udøver fiskeriaktiviteter til en værdi af 585 mio. EUR i Det Forenede Kongeriges farvande. For otte medlemsstater</w:t>
      </w:r>
      <w:r>
        <w:rPr>
          <w:rStyle w:val="FootnoteReference"/>
          <w:noProof/>
        </w:rPr>
        <w:footnoteReference w:id="2"/>
      </w:r>
      <w:r>
        <w:rPr>
          <w:noProof/>
        </w:rPr>
        <w:t xml:space="preserve"> er den samlede afhængighed af Det Forenede Kongeriges farvande i gennemsnit 14 % af deres samlede landinger, fra 50 % for Belgiens flåde til ca. 1 % for Spaniens. De socioøkonomiske virkninger være betydelige i lokalsamfundet, når fiskerfartøjerne er særligt afhængige af adgang til Det Forenede Kongeriges farvande. Fiskerisektoren er også forbundet med tilknyttede aktiviteter i forudgående og efterfølgende led. </w:t>
      </w:r>
    </w:p>
    <w:p>
      <w:pPr>
        <w:autoSpaceDE w:val="0"/>
        <w:autoSpaceDN w:val="0"/>
        <w:adjustRightInd w:val="0"/>
        <w:rPr>
          <w:rFonts w:eastAsia="Times New Roman"/>
          <w:noProof/>
          <w:szCs w:val="24"/>
        </w:rPr>
      </w:pPr>
      <w:r>
        <w:rPr>
          <w:noProof/>
        </w:rPr>
        <w:t xml:space="preserve">Virkningerne af en pludselig lukning af Det Forenede Kongeriges farvande for EU-fiskerfartøjer vil derfor være betydelige for specifikke flådesegmenter og have en stærk negativ økonomisk indvirkning i visse regioner og kystsamfund. Da regioner i flere medlemsstater langs Atlanterhavskysten og Nordsøkysten vil blive berørt, kræver en sådan nødsituation samordnede løsninger på EU-plan. </w:t>
      </w:r>
    </w:p>
    <w:p>
      <w:pPr>
        <w:spacing w:before="0" w:after="0"/>
        <w:rPr>
          <w:rFonts w:eastAsia="Times New Roman"/>
          <w:noProof/>
          <w:szCs w:val="24"/>
        </w:rPr>
      </w:pPr>
      <w:r>
        <w:rPr>
          <w:noProof/>
        </w:rPr>
        <w:t xml:space="preserve">Mulighederne for at afbøde virkningerne i denne situation vil være begrænsede. Det Forenede Kongeriges nuværende fangster i EU-farvandene kan genvindes af EU-fiskerfartøjerne, men der er måske ikke et fuldstændigt match mellem de pågældende arter. De fartøjer og flådesegmenter, der bliver hårdest ramt af lukning af Det Forenede Kongeriges farvande, er ikke nødvendigvis de samme, som fisker efter de arter, der vil blive tilgængelige i EU-farvandene. Desuden er der af årsager forbundet med omkostningseffektiviteten og kvaliteten af fangsterne grænser for, i hvor høj grad fiskeriindsatsen kan omdirigeres fra Det Forenede Kongeriges farvande til EU-farvandene. Kravet om, at fiskeriaktiviteterne skal være bæredygtige, kan også begrænse en omdirigering og koncentration af fiskeriindsatsen i EU-farvandene. Disse muligheder ville derfor kun delvist kunne kompensere for EU-fiskerfartøjers økonomiske tab som følge af tab af adgang til Det Forenede Kongeriges farvande. De økonomiske konsekvenser for de berørte flådesegmenter i EU vil fortsat være betydelige. </w:t>
      </w:r>
    </w:p>
    <w:p>
      <w:pPr>
        <w:spacing w:before="100" w:beforeAutospacing="1" w:after="100" w:afterAutospacing="1"/>
        <w:rPr>
          <w:rFonts w:eastAsia="Times New Roman"/>
          <w:noProof/>
          <w:szCs w:val="24"/>
        </w:rPr>
      </w:pPr>
      <w:r>
        <w:rPr>
          <w:noProof/>
        </w:rPr>
        <w:t>Den Europæiske Hav- og Fiskerifond (EHFF), der er oprettet ved Europa-Parlamentets og Rådets forordning (EU) nr. 508/2014</w:t>
      </w:r>
      <w:r>
        <w:rPr>
          <w:rStyle w:val="FootnoteReference"/>
          <w:noProof/>
        </w:rPr>
        <w:footnoteReference w:id="3"/>
      </w:r>
      <w:r>
        <w:rPr>
          <w:noProof/>
        </w:rPr>
        <w:t>, er fonden for EU's hav- og fiskeripolitikker i perioden 2014-2020. Den er en af de fem europæiske struktur- og investeringsfonde (ESI-fonde), som supplerer hinanden og har til formål at fremme en job- og vækstbaseret genopretning i Europa. Fonden hjælper fiskere med overgangen til bæredygtigt fiskeri, støtter kystsamfundene i at diversificere deres økonomier og finansierer projekter, der skaber nye job og forbedrer livskvaliteten langs de europæiske kyster.</w:t>
      </w:r>
    </w:p>
    <w:p>
      <w:pPr>
        <w:spacing w:before="0" w:after="240"/>
        <w:rPr>
          <w:rFonts w:eastAsia="Times New Roman"/>
          <w:noProof/>
          <w:szCs w:val="24"/>
        </w:rPr>
      </w:pPr>
      <w:r>
        <w:rPr>
          <w:noProof/>
        </w:rPr>
        <w:t>EHFF-forordningen indeholder allerede foranstaltninger til afbødning af de negative økonomiske virkninger, som følger af Det Forenede Kongeriges udtræden af Den Europæiske Union gennem hele produktions- og afsætningskæden. Under delt forvaltning kan medlemsstater, der er berørt af Det Forenede Kongeriges udtræden af Den Europæiske Union, beslutte at omdirigere de disponible bevillinger til de foranstaltninger, der er nødvendige for at afbøde dens konsekvenser. Denne skønsbeføjelse er imidlertid i øjeblikket begrænset til visse prioriteter. Dette vil begrænse medlemsstaternes råderum til at afbøde virkningerne af lukningen af Det Forenede Kongeriges farvande på deres flåder og begrænse effektiviteten af disse foranstaltninger.</w:t>
      </w:r>
    </w:p>
    <w:p>
      <w:pPr>
        <w:spacing w:before="0" w:after="240"/>
        <w:rPr>
          <w:rFonts w:eastAsia="Times New Roman"/>
          <w:noProof/>
          <w:szCs w:val="24"/>
        </w:rPr>
      </w:pPr>
      <w:r>
        <w:rPr>
          <w:noProof/>
        </w:rPr>
        <w:t>EHFF-forordningen indeholder nærmere regler for og ordninger om ydelse af økonomisk godtgørelse til fiskere og ejere af fiskerfartøjer i tilfælde af midlertidigt ophør med fiskeriaktiviteter. Kriterierne for at tillade midlertidigt ophør giver imidlertid ikke mulighed for kompensation som følge af en medlemsstats udtræden af Den Europæiske Union og det deraf følgende tab af adgangen til og fiskerimulighederne i den pågældende stats farvande.</w:t>
      </w:r>
    </w:p>
    <w:p>
      <w:pPr>
        <w:spacing w:before="0" w:after="240"/>
        <w:rPr>
          <w:rFonts w:eastAsia="Times New Roman"/>
          <w:noProof/>
          <w:szCs w:val="24"/>
        </w:rPr>
      </w:pPr>
      <w:r>
        <w:rPr>
          <w:noProof/>
        </w:rPr>
        <w:t>Ud over de foranstaltninger, der allerede er til rådighed i EHFF-forordningen, giver dette forslag mulighed for at yde offentlig støtte til midlertidigt ophør med fiskeriaktiviteter for fiskere og operatører, der i betydeligt omfang er afhængige af adgang til Det Forenede Kongeriges farvande, og som berøres af en lukning af Det Forenede Kongeriges farvande. Denne foranstaltning bør være tilgængelig fra dagen efter den dag, hvor EU-retten ophører med at finde anvendelse på Det Forenede Kongerige, jf. artikel 50, stk. 3, i traktaten om Den Europæiske Union.</w:t>
      </w:r>
    </w:p>
    <w:p>
      <w:pPr>
        <w:pStyle w:val="ManualHeading2"/>
        <w:rPr>
          <w:rFonts w:eastAsia="Arial Unicode MS"/>
          <w:noProof/>
          <w:color w:val="000000"/>
          <w:u w:color="000000"/>
          <w:bdr w:val="nil"/>
        </w:rPr>
      </w:pPr>
      <w:r>
        <w:rPr>
          <w:noProof/>
          <w:color w:val="000000"/>
          <w:u w:color="000000"/>
          <w:bdr w:val="nil"/>
        </w:rPr>
        <w:t>•</w:t>
      </w:r>
      <w:r>
        <w:rPr>
          <w:noProof/>
        </w:rPr>
        <w:tab/>
        <w:t>Sammenhæng med de gældende regler på samme område</w:t>
      </w:r>
    </w:p>
    <w:p>
      <w:pPr>
        <w:spacing w:before="0" w:after="240"/>
        <w:rPr>
          <w:noProof/>
        </w:rPr>
      </w:pPr>
      <w:r>
        <w:rPr>
          <w:noProof/>
        </w:rPr>
        <w:t>Europa-Parlamentets og Rådets forordning (EU) nr. 508/2014 af 15. maj 2014 om Den Europæiske Hav- og Fiskerifond og om ophævelse af Rådets forordning (EF) nr. 2328/2003, (EF) nr. 861/2006, (EF) nr. 1198/2006 og (EF) nr. 791/2007 samt Europa-Parlamentets og Rådets forordning (EU) nr. 1255/2011.</w:t>
      </w:r>
    </w:p>
    <w:p>
      <w:pPr>
        <w:pStyle w:val="ManualHeading2"/>
        <w:rPr>
          <w:rFonts w:eastAsia="Arial Unicode MS"/>
          <w:noProof/>
        </w:rPr>
      </w:pPr>
      <w:r>
        <w:rPr>
          <w:noProof/>
          <w:color w:val="000000"/>
          <w:u w:color="000000"/>
          <w:bdr w:val="nil"/>
        </w:rPr>
        <w:t>•</w:t>
      </w:r>
      <w:r>
        <w:rPr>
          <w:noProof/>
        </w:rPr>
        <w:tab/>
        <w:t>Sammenhæng med Unionens politik på andre områder</w:t>
      </w:r>
    </w:p>
    <w:p>
      <w:pPr>
        <w:pBdr>
          <w:top w:val="nil"/>
          <w:left w:val="nil"/>
          <w:bottom w:val="nil"/>
          <w:right w:val="nil"/>
          <w:between w:val="nil"/>
          <w:bar w:val="nil"/>
        </w:pBdr>
        <w:spacing w:before="0" w:after="240"/>
        <w:rPr>
          <w:rFonts w:eastAsia="Arial Unicode MS"/>
          <w:noProof/>
        </w:rPr>
      </w:pPr>
      <w:r>
        <w:rPr>
          <w:noProof/>
        </w:rPr>
        <w:t xml:space="preserve">De foreslåede foranstaltninger er udarbejdet i overensstemmelse med den fælles fiskeripolitiks mål og er i tråd med Unionens politik for bæredygtig udvikling. </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pBdr>
          <w:top w:val="nil"/>
          <w:left w:val="nil"/>
          <w:bottom w:val="nil"/>
          <w:right w:val="nil"/>
          <w:between w:val="nil"/>
          <w:bar w:val="nil"/>
        </w:pBdr>
        <w:spacing w:before="0" w:after="240"/>
        <w:rPr>
          <w:rFonts w:eastAsia="Arial Unicode MS"/>
          <w:noProof/>
        </w:rPr>
      </w:pPr>
      <w:r>
        <w:rPr>
          <w:noProof/>
        </w:rPr>
        <w:t>Retsgrundlaget er artikel 42 og artikel 43, stk. 2, i traktaten om Den Europæiske Unions funktionsmåde.</w:t>
      </w:r>
    </w:p>
    <w:p>
      <w:pPr>
        <w:pStyle w:val="ManualHeading2"/>
        <w:rPr>
          <w:rFonts w:eastAsia="Arial Unicode MS"/>
          <w:noProof/>
          <w:u w:color="000000"/>
          <w:bdr w:val="nil"/>
        </w:rPr>
      </w:pPr>
      <w:r>
        <w:rPr>
          <w:noProof/>
        </w:rPr>
        <w:t>•</w:t>
      </w:r>
      <w:r>
        <w:rPr>
          <w:noProof/>
        </w:rPr>
        <w:tab/>
        <w:t xml:space="preserve">Nærhedsprincippet </w:t>
      </w:r>
    </w:p>
    <w:p>
      <w:pPr>
        <w:rPr>
          <w:noProof/>
        </w:rPr>
      </w:pPr>
      <w:r>
        <w:rPr>
          <w:noProof/>
        </w:rPr>
        <w:t>Den foreslåede retsakt vil ændre EU-forordning (EU) nr. 508/2014, således at den fastsætter økonomiske afbødningsforanstaltninger for EU-fartøjer, der rammes af en eventuel lukning af Det Forenede Kongeriges farvande som følge af Det Forenede Kongeriges udtræden af Den Europæiske Union. Det er derfor uomgængeligt nødvendigt med en indsats på EU-niveau, og resultatet vil ikke kunne opnås med en indsats på medlemsstatsniveau. Bestemmelserne i dette forslag gennemføres inden for rammerne af delt forvaltning i overensstemmelse med Europa-Parlamentets og Rådets forordning (EU) 2018/1046</w:t>
      </w:r>
      <w:r>
        <w:rPr>
          <w:rStyle w:val="FootnoteReference"/>
          <w:noProof/>
        </w:rPr>
        <w:footnoteReference w:id="4"/>
      </w:r>
      <w:r>
        <w:rPr>
          <w:noProof/>
        </w:rPr>
        <w:t>.</w:t>
      </w:r>
    </w:p>
    <w:p>
      <w:pPr>
        <w:pStyle w:val="ManualHeading2"/>
        <w:rPr>
          <w:rFonts w:eastAsia="Arial Unicode MS"/>
          <w:noProof/>
          <w:u w:color="000000"/>
          <w:bdr w:val="nil"/>
        </w:rPr>
      </w:pPr>
      <w:r>
        <w:rPr>
          <w:noProof/>
        </w:rPr>
        <w:t>•</w:t>
      </w:r>
      <w:r>
        <w:rPr>
          <w:noProof/>
        </w:rPr>
        <w:tab/>
        <w:t>Proportionalitetsprincippet</w:t>
      </w:r>
    </w:p>
    <w:p>
      <w:pPr>
        <w:pBdr>
          <w:top w:val="nil"/>
          <w:left w:val="nil"/>
          <w:bottom w:val="nil"/>
          <w:right w:val="nil"/>
          <w:between w:val="nil"/>
          <w:bar w:val="nil"/>
        </w:pBdr>
        <w:spacing w:before="0" w:after="240"/>
        <w:rPr>
          <w:rFonts w:eastAsia="Arial Unicode MS"/>
          <w:noProof/>
        </w:rPr>
      </w:pPr>
      <w:r>
        <w:rPr>
          <w:noProof/>
        </w:rPr>
        <w:t>Forslaget er i overensstemmelse med proportionalitetsprincippet. Den foreslåede forordning anses for at være i overensstemmelse med proportionalitetsprincippet, da den har til formål at sikre, at de alvorlige økonomiske virkninger af Det Forenede Kongeriges udtræden af Unionen afbødes.</w:t>
      </w:r>
    </w:p>
    <w:p>
      <w:pPr>
        <w:pStyle w:val="ManualHeading2"/>
        <w:rPr>
          <w:rFonts w:eastAsia="Arial Unicode MS"/>
          <w:noProof/>
          <w:u w:color="000000"/>
          <w:bdr w:val="nil"/>
        </w:rPr>
      </w:pPr>
      <w:r>
        <w:rPr>
          <w:noProof/>
        </w:rPr>
        <w:t>•</w:t>
      </w:r>
      <w:r>
        <w:rPr>
          <w:noProof/>
        </w:rPr>
        <w:tab/>
        <w:t>Valg af retsakt</w:t>
      </w:r>
    </w:p>
    <w:p>
      <w:pPr>
        <w:pBdr>
          <w:top w:val="nil"/>
          <w:left w:val="nil"/>
          <w:bottom w:val="nil"/>
          <w:right w:val="nil"/>
          <w:between w:val="nil"/>
          <w:bar w:val="nil"/>
        </w:pBdr>
        <w:spacing w:before="0" w:after="240"/>
        <w:rPr>
          <w:rFonts w:eastAsia="Arial Unicode MS"/>
          <w:noProof/>
        </w:rPr>
      </w:pPr>
      <w:r>
        <w:rPr>
          <w:noProof/>
        </w:rPr>
        <w:t xml:space="preserve">Denne retsakt er en ændring af en forordning. </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rPr>
        <w:t>•</w:t>
      </w:r>
      <w:r>
        <w:rPr>
          <w:noProof/>
        </w:rPr>
        <w:tab/>
        <w:t>Efterfølgende evalueringer/kvalitetskontrol af gældende lovgivning</w:t>
      </w:r>
    </w:p>
    <w:p>
      <w:pPr>
        <w:pBdr>
          <w:top w:val="nil"/>
          <w:left w:val="nil"/>
          <w:bottom w:val="nil"/>
          <w:right w:val="nil"/>
          <w:between w:val="nil"/>
          <w:bar w:val="nil"/>
        </w:pBdr>
        <w:spacing w:before="0" w:after="240"/>
        <w:rPr>
          <w:rFonts w:eastAsia="Arial Unicode MS"/>
          <w:noProof/>
        </w:rPr>
      </w:pPr>
      <w:r>
        <w:rPr>
          <w:noProof/>
        </w:rPr>
        <w:t>Dette punkt er ikke relevant på grund af den ekstraordinære, midlertidige og enestående art af den begivenhed, som nødvendiggør dette forslag.</w:t>
      </w:r>
    </w:p>
    <w:p>
      <w:pPr>
        <w:pStyle w:val="ManualHeading2"/>
        <w:rPr>
          <w:rFonts w:eastAsia="Arial Unicode MS"/>
          <w:noProof/>
          <w:u w:color="000000"/>
          <w:bdr w:val="nil"/>
        </w:rPr>
      </w:pPr>
      <w:r>
        <w:rPr>
          <w:noProof/>
        </w:rPr>
        <w:t>•</w:t>
      </w:r>
      <w:r>
        <w:rPr>
          <w:noProof/>
        </w:rPr>
        <w:tab/>
        <w:t>Høringer af interesserede parter</w:t>
      </w:r>
    </w:p>
    <w:p>
      <w:pPr>
        <w:pBdr>
          <w:top w:val="nil"/>
          <w:left w:val="nil"/>
          <w:bottom w:val="nil"/>
          <w:right w:val="nil"/>
          <w:between w:val="nil"/>
          <w:bar w:val="nil"/>
        </w:pBdr>
        <w:spacing w:before="0" w:after="240"/>
        <w:rPr>
          <w:rFonts w:eastAsia="Arial Unicode MS"/>
          <w:noProof/>
        </w:rPr>
      </w:pPr>
      <w:r>
        <w:rPr>
          <w:noProof/>
        </w:rPr>
        <w:t xml:space="preserve">De udfordringer, der opstår som følge af Det Forenede Kongeriges udtræden af Unionen, og de mulige løsninger er blevet påpeget af forskellige interessenter på fiskeriområdet og medlemsstaternes repræsentanter. Alle operatører, interessenter og berørte medlemsstater har understreget behovet for at sikre passende kompensation, i tilfælde af at der ikke længere vil være fiskerimuligheder tilgængelige på grund af Det Forenede Kongeriges udtræden af Unionen. </w:t>
      </w:r>
    </w:p>
    <w:p>
      <w:pPr>
        <w:pStyle w:val="ManualHeading2"/>
        <w:rPr>
          <w:rFonts w:eastAsia="Arial Unicode MS"/>
          <w:noProof/>
          <w:u w:color="000000"/>
          <w:bdr w:val="nil"/>
        </w:rPr>
      </w:pPr>
      <w:r>
        <w:rPr>
          <w:noProof/>
        </w:rPr>
        <w:t>•</w:t>
      </w:r>
      <w:r>
        <w:rPr>
          <w:noProof/>
        </w:rPr>
        <w:tab/>
        <w:t>Indhentning og brug af ekspertbistand</w:t>
      </w:r>
    </w:p>
    <w:p>
      <w:pPr>
        <w:pBdr>
          <w:top w:val="nil"/>
          <w:left w:val="nil"/>
          <w:bottom w:val="nil"/>
          <w:right w:val="nil"/>
          <w:between w:val="nil"/>
          <w:bar w:val="nil"/>
        </w:pBdr>
        <w:spacing w:before="0" w:after="240"/>
        <w:rPr>
          <w:rFonts w:eastAsia="Arial Unicode MS"/>
          <w:noProof/>
        </w:rPr>
      </w:pPr>
      <w:r>
        <w:rPr>
          <w:noProof/>
        </w:rPr>
        <w:t>Der har ikke været behov for ekstern ekspertbistand.</w:t>
      </w:r>
    </w:p>
    <w:p>
      <w:pPr>
        <w:pStyle w:val="ManualHeading2"/>
        <w:rPr>
          <w:rFonts w:eastAsia="Arial Unicode MS"/>
          <w:noProof/>
          <w:u w:color="000000"/>
          <w:bdr w:val="nil"/>
        </w:rPr>
      </w:pPr>
      <w:r>
        <w:rPr>
          <w:noProof/>
        </w:rPr>
        <w:tab/>
        <w:t>Konsekvensanalyse</w:t>
      </w:r>
    </w:p>
    <w:p>
      <w:pPr>
        <w:pBdr>
          <w:top w:val="nil"/>
          <w:left w:val="nil"/>
          <w:bottom w:val="nil"/>
          <w:right w:val="nil"/>
          <w:between w:val="nil"/>
          <w:bar w:val="nil"/>
        </w:pBdr>
        <w:spacing w:before="0" w:after="240"/>
        <w:rPr>
          <w:rFonts w:eastAsia="Arial Unicode MS"/>
          <w:noProof/>
        </w:rPr>
      </w:pPr>
      <w:r>
        <w:rPr>
          <w:noProof/>
        </w:rPr>
        <w:t>En konsekvensanalyse er ikke nødvendig, da situationen er ekstraordinær, og behovet for en retsakt er begrænset til den periode, hvor ændringen af Det Forenede Kongeriges status gennemføres. Der findes ingen andre materielle eller retlige politiske løsningsmuligheder end den, som foreslås.</w:t>
      </w:r>
    </w:p>
    <w:p>
      <w:pPr>
        <w:pStyle w:val="ManualHeading2"/>
        <w:rPr>
          <w:rFonts w:eastAsia="Arial Unicode MS"/>
          <w:noProof/>
          <w:u w:color="000000"/>
          <w:bdr w:val="nil"/>
        </w:rPr>
      </w:pPr>
      <w:r>
        <w:rPr>
          <w:noProof/>
        </w:rPr>
        <w:t>•</w:t>
      </w:r>
      <w:r>
        <w:rPr>
          <w:noProof/>
        </w:rPr>
        <w:tab/>
        <w:t>Målrettet regulering og forenkling</w:t>
      </w:r>
    </w:p>
    <w:p>
      <w:pPr>
        <w:pBdr>
          <w:top w:val="nil"/>
          <w:left w:val="nil"/>
          <w:bottom w:val="nil"/>
          <w:right w:val="nil"/>
          <w:between w:val="nil"/>
          <w:bar w:val="nil"/>
        </w:pBdr>
        <w:spacing w:before="0" w:after="240"/>
        <w:rPr>
          <w:rFonts w:eastAsia="Arial Unicode MS"/>
          <w:noProof/>
        </w:rPr>
      </w:pPr>
      <w:r>
        <w:rPr>
          <w:noProof/>
        </w:rPr>
        <w:t>Ikke relevant.</w:t>
      </w:r>
    </w:p>
    <w:p>
      <w:pPr>
        <w:pStyle w:val="ManualHeading2"/>
        <w:rPr>
          <w:rFonts w:eastAsia="Arial Unicode MS"/>
          <w:noProof/>
          <w:u w:color="000000"/>
          <w:bdr w:val="nil"/>
        </w:rPr>
      </w:pPr>
      <w:r>
        <w:rPr>
          <w:noProof/>
        </w:rPr>
        <w:t>•</w:t>
      </w:r>
      <w:r>
        <w:rPr>
          <w:noProof/>
        </w:rPr>
        <w:tab/>
        <w:t>Grundlæggende rettigheder</w:t>
      </w:r>
    </w:p>
    <w:p>
      <w:pPr>
        <w:pBdr>
          <w:top w:val="nil"/>
          <w:left w:val="nil"/>
          <w:bottom w:val="nil"/>
          <w:right w:val="nil"/>
          <w:between w:val="nil"/>
          <w:bar w:val="nil"/>
        </w:pBdr>
        <w:spacing w:before="0" w:after="240"/>
        <w:rPr>
          <w:rFonts w:eastAsia="Arial Unicode MS"/>
          <w:noProof/>
        </w:rPr>
      </w:pPr>
      <w:r>
        <w:rPr>
          <w:noProof/>
        </w:rPr>
        <w:t xml:space="preserve">Dette forslag har ingen konsekvenser for beskyttelsen af de grundlæggende rettigheder. </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rFonts w:eastAsia="Arial Unicode MS"/>
          <w:noProof/>
        </w:rPr>
      </w:pPr>
      <w:r>
        <w:rPr>
          <w:noProof/>
        </w:rPr>
        <w:t>Den foreslåede ændring indebærer ingen ændringer af de årlige lofter for forpligtelser og betalinger i den flerårige finansielle ramme, jf. bilag I til forordning (EU) nr. 1311/2013</w:t>
      </w:r>
      <w:r>
        <w:rPr>
          <w:rStyle w:val="FootnoteReference"/>
          <w:noProof/>
        </w:rPr>
        <w:footnoteReference w:id="5"/>
      </w:r>
      <w:r>
        <w:rPr>
          <w:noProof/>
        </w:rPr>
        <w:t xml:space="preserve">. Forslaget består af en fremrykning af betalingsbevillinger og er budgetneutralt i programmeringsperioden. </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pBdr>
          <w:top w:val="nil"/>
          <w:left w:val="nil"/>
          <w:bottom w:val="nil"/>
          <w:right w:val="nil"/>
          <w:between w:val="nil"/>
          <w:bar w:val="nil"/>
        </w:pBdr>
        <w:spacing w:before="0" w:after="240"/>
        <w:rPr>
          <w:rFonts w:eastAsia="Arial Unicode MS"/>
          <w:noProof/>
        </w:rPr>
      </w:pPr>
      <w:r>
        <w:rPr>
          <w:noProof/>
        </w:rPr>
        <w:t>Ikke relevant.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2019/0009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om ændring af forordning (EU) nr. 508/2014 for så vidt angår visse regler vedrørende Den Europæiske Hav- og Fiskerifond på grund af Det Forenede Kongeriges udtræden af Den Europæiske Union</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42 og artikel 43, stk. 2,</w:t>
      </w:r>
    </w:p>
    <w:p>
      <w:pPr>
        <w:rPr>
          <w:noProof/>
        </w:rPr>
      </w:pPr>
      <w:r>
        <w:rPr>
          <w:noProof/>
        </w:rPr>
        <w:t>under henvisning til forslag fra Europa-Kommissionen</w:t>
      </w:r>
      <w:r>
        <w:rPr>
          <w:rStyle w:val="FootnoteReference"/>
          <w:noProof/>
        </w:rPr>
        <w:footnoteReference w:id="6"/>
      </w:r>
      <w:r>
        <w:rPr>
          <w:noProof/>
        </w:rPr>
        <w:t>,</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7"/>
      </w:r>
      <w:r>
        <w:rPr>
          <w:noProof/>
        </w:rPr>
        <w:t>,</w:t>
      </w:r>
    </w:p>
    <w:p>
      <w:pPr>
        <w:rPr>
          <w:noProof/>
        </w:rPr>
      </w:pPr>
      <w:r>
        <w:rPr>
          <w:noProof/>
        </w:rPr>
        <w:t>efter den almindelige lovgivningsprocedure, og</w:t>
      </w:r>
    </w:p>
    <w:p>
      <w:pPr>
        <w:rPr>
          <w:noProof/>
        </w:rPr>
      </w:pPr>
      <w:r>
        <w:rPr>
          <w:noProof/>
        </w:rPr>
        <w:t>ud fra følgende betragtninger:</w:t>
      </w:r>
    </w:p>
    <w:p>
      <w:pPr>
        <w:pStyle w:val="ManualConsidrant"/>
        <w:rPr>
          <w:noProof/>
        </w:rPr>
      </w:pPr>
      <w:r>
        <w:t>(1)</w:t>
      </w:r>
      <w:r>
        <w:tab/>
      </w:r>
      <w:r>
        <w:rPr>
          <w:noProof/>
        </w:rPr>
        <w:t>Den 29. marts 2017 meddelte Det Forenede Kongerige sin beslutning om at udtræde af Unionen i henhold til artikel 50 i Traktaten om Den Europæiske Union. Traktaterne ophører med at finde anvendelse på Det Forenede Kongerige fra ikrafttrædelsesdatoen for en udtrædelsesaftale eller, hvis en sådan aftale udebliver, to år efter nævnte meddelelse, dvs. fra den 30. marts 2019, medmindre Det Europæiske Råd efter aftale med Det Forenede Kongerige enstemmigt beslutter at forlænge denne periode.</w:t>
      </w:r>
    </w:p>
    <w:p>
      <w:pPr>
        <w:pStyle w:val="ManualConsidrant"/>
        <w:rPr>
          <w:noProof/>
        </w:rPr>
      </w:pPr>
      <w:r>
        <w:t>(2)</w:t>
      </w:r>
      <w:r>
        <w:tab/>
      </w:r>
      <w:r>
        <w:rPr>
          <w:noProof/>
        </w:rPr>
        <w:t>Udtrædelsesaftalen indeholder ordninger for anvendelse af EU-retlige bestemmelser på og i Det Forenede Kongerige efter den dato, hvor traktaterne ophører med at finde anvendelse på og i Det Forenede Kongerige. Hvis denne aftale træder i kraft, vil den fælles fiskeripolitik finde anvendelse på og i Det Forenede Kongerige i overgangsperioden i overensstemmelse med aftalen og vil ophøre med at finde anvendelse ved udgangen af denne periode.</w:t>
      </w:r>
    </w:p>
    <w:p>
      <w:pPr>
        <w:pStyle w:val="ManualConsidrant"/>
        <w:rPr>
          <w:noProof/>
        </w:rPr>
      </w:pPr>
      <w:r>
        <w:t>(3)</w:t>
      </w:r>
      <w:r>
        <w:tab/>
      </w:r>
      <w:r>
        <w:rPr>
          <w:noProof/>
        </w:rPr>
        <w:t xml:space="preserve">Når den fælles fiskeripolitik ophører med at finde anvendelse på Det Forenede Kongerige, vil Det Forenede Kongeriges farvande (territorialfarvandet og den eksklusive økonomiske zone) ikke længere være en del af EU-farvandene. I tilfælde af en ukontrolleret udtræden risikerer EU-fartøjer derfor fra den 30. marts 2019 at miste adgangen til disse farvande og fiskerimulighederne deri. Dette vil have en betydelig indvirkning på EU-flådens fiskeriaktiviteter og økonomiske afkast. </w:t>
      </w:r>
    </w:p>
    <w:p>
      <w:pPr>
        <w:pStyle w:val="ManualConsidrant"/>
        <w:rPr>
          <w:noProof/>
        </w:rPr>
      </w:pPr>
      <w:r>
        <w:t>(4)</w:t>
      </w:r>
      <w:r>
        <w:tab/>
      </w:r>
      <w:r>
        <w:rPr>
          <w:noProof/>
        </w:rPr>
        <w:t>Europa-Parlamentets og Rådets forordning (EU) nr. 508/2014 indeholder allerede foranstaltninger</w:t>
      </w:r>
      <w:r>
        <w:rPr>
          <w:rStyle w:val="FootnoteReference"/>
          <w:noProof/>
        </w:rPr>
        <w:footnoteReference w:id="8"/>
      </w:r>
      <w:r>
        <w:rPr>
          <w:noProof/>
        </w:rPr>
        <w:t>, som kan anvendes til at afbøde de negative økonomiske virkninger som følge af Det Forenede Kongeriges udtræden af Unionen gennem hele produktions- og afsætningskæden.</w:t>
      </w:r>
    </w:p>
    <w:p>
      <w:pPr>
        <w:pStyle w:val="ManualConsidrant"/>
        <w:rPr>
          <w:noProof/>
        </w:rPr>
      </w:pPr>
      <w:r>
        <w:t>(5)</w:t>
      </w:r>
      <w:r>
        <w:tab/>
      </w:r>
      <w:r>
        <w:rPr>
          <w:noProof/>
        </w:rPr>
        <w:t>Forordning (EU) nr. 508/2014 indeholder regler for og ordninger om ydelse af økonomisk godtgørelse til fiskere og ejere af fiskerfartøjer i tilfælde af midlertidigt ophør med fiskeriaktiviteter. Kriterierne for at tillade midlertidigt ophør giver ikke mulighed for kompensation som følge af en medlemsstats udtræden af Unionen og det deraf følgende tab af adgangen til og fiskerimulighederne i den pågældende stats farvande.</w:t>
      </w:r>
    </w:p>
    <w:p>
      <w:pPr>
        <w:pStyle w:val="ManualConsidrant"/>
        <w:rPr>
          <w:noProof/>
        </w:rPr>
      </w:pPr>
      <w:r>
        <w:t>(6)</w:t>
      </w:r>
      <w:r>
        <w:tab/>
      </w:r>
      <w:r>
        <w:rPr>
          <w:noProof/>
        </w:rPr>
        <w:t>Ud over de foranstaltninger, der allerede er til rådighed i forordning (EU) nr. 508/2014, bør der for at kompensere for de negative økonomiske virkninger som følge af en medlemsstats udtræden af Unionen være offentlig støtte til midlertidigt ophør med fiskeriaktiviteter til rådighed for fiskere og operatører, der i betydeligt omfang er afhængige af adgang til Det Forenede Kongeriges farvande.</w:t>
      </w:r>
    </w:p>
    <w:p>
      <w:pPr>
        <w:pStyle w:val="ManualConsidrant"/>
        <w:rPr>
          <w:noProof/>
        </w:rPr>
      </w:pPr>
      <w:r>
        <w:t>(7)</w:t>
      </w:r>
      <w:r>
        <w:tab/>
      </w:r>
      <w:r>
        <w:rPr>
          <w:rStyle w:val="num"/>
          <w:noProof/>
        </w:rPr>
        <w:t>Forordning</w:t>
      </w:r>
      <w:r>
        <w:rPr>
          <w:noProof/>
        </w:rPr>
        <w:t xml:space="preserve"> (EU) nr. 508/2014 bør derfor ændres. </w:t>
      </w:r>
    </w:p>
    <w:p>
      <w:pPr>
        <w:pStyle w:val="ManualConsidrant"/>
        <w:rPr>
          <w:noProof/>
        </w:rPr>
      </w:pPr>
      <w:r>
        <w:t>(8)</w:t>
      </w:r>
      <w:r>
        <w:tab/>
      </w:r>
      <w:r>
        <w:rPr>
          <w:noProof/>
        </w:rPr>
        <w:t>De resterende bevillinger kan anvendes til alle foranstaltning, der afbøder konsekvenserne af Det Forenede Kongeriges udtræden af Den Europæiske Union.</w:t>
      </w:r>
    </w:p>
    <w:p>
      <w:pPr>
        <w:pStyle w:val="ManualConsidrant"/>
        <w:rPr>
          <w:noProof/>
        </w:rPr>
      </w:pPr>
      <w:r>
        <w:t>(9)</w:t>
      </w:r>
      <w:r>
        <w:tab/>
      </w:r>
      <w:r>
        <w:rPr>
          <w:noProof/>
        </w:rPr>
        <w:t>Af forenklingshensyn opfordres de berørte medlemsstater til at overveje at kombinere ændringer af deres operationelle program inden for rammerne af artikel 22, stk. 4, i Europa-Parlamentets og Rådets forordning (EU) nr. 1303/2013</w:t>
      </w:r>
      <w:r>
        <w:rPr>
          <w:rStyle w:val="FootnoteReference"/>
          <w:noProof/>
        </w:rPr>
        <w:footnoteReference w:id="9"/>
      </w:r>
      <w:r>
        <w:rPr>
          <w:noProof/>
        </w:rPr>
        <w:t>.</w:t>
      </w:r>
    </w:p>
    <w:p>
      <w:pPr>
        <w:pStyle w:val="ManualConsidrant"/>
        <w:rPr>
          <w:noProof/>
        </w:rPr>
      </w:pPr>
      <w:r>
        <w:t>(10)</w:t>
      </w:r>
      <w:r>
        <w:tab/>
      </w:r>
      <w:r>
        <w:rPr>
          <w:noProof/>
        </w:rPr>
        <w:t>I henhold til artikel 4, stk. 3, i Rådets forordning (EØF, Euratom) nr. 1182/71</w:t>
      </w:r>
      <w:r>
        <w:rPr>
          <w:rStyle w:val="FootnoteReference"/>
          <w:noProof/>
        </w:rPr>
        <w:footnoteReference w:id="10"/>
      </w:r>
      <w:r>
        <w:rPr>
          <w:noProof/>
        </w:rPr>
        <w:t>ophører anvendelsen af retsakter, der er fastsat til en given dato, ved udløbet af den sidste time på den dag, der falder på denne dato. Denne forordning bør derfor anvendes fra dagen efter den dag, hvor traktaterne ophører med at finde anvendelse på og i Det Forenede Kongerige.</w:t>
      </w:r>
    </w:p>
    <w:p>
      <w:pPr>
        <w:pStyle w:val="ManualConsidrant"/>
        <w:rPr>
          <w:noProof/>
        </w:rPr>
      </w:pPr>
      <w:r>
        <w:t>(11)</w:t>
      </w:r>
      <w:r>
        <w:tab/>
      </w:r>
      <w:r>
        <w:rPr>
          <w:noProof/>
        </w:rPr>
        <w:t>Denne forordning bør træde i kraft så hurtigt som muligt og bør anvendes fra dagen efter den dag, hvor traktaterne ophører med at finde anvendelse på og i Det Forenede Kongerige, hvis der ikke foreligger en udtrædelsesaftale indgået med Det Forenede Kongerige eller en forlængelse af den toårige periode, der er omhandlet i artikel 50, stk. 3, i traktaten om Den Europæiske Union —</w:t>
      </w:r>
    </w:p>
    <w:p>
      <w:pPr>
        <w:pStyle w:val="Formuledadoption"/>
        <w:rPr>
          <w:noProof/>
        </w:rPr>
      </w:pPr>
      <w:r>
        <w:rPr>
          <w:noProof/>
        </w:rPr>
        <w:t>VEDTAGET DENNE FORORDNING:</w:t>
      </w:r>
    </w:p>
    <w:p>
      <w:pPr>
        <w:pStyle w:val="Titrearticle"/>
        <w:rPr>
          <w:noProof/>
        </w:rPr>
      </w:pPr>
      <w:r>
        <w:rPr>
          <w:noProof/>
        </w:rPr>
        <w:t>Artikel 1</w:t>
      </w:r>
    </w:p>
    <w:p>
      <w:pPr>
        <w:pStyle w:val="Titrearticle"/>
        <w:rPr>
          <w:noProof/>
        </w:rPr>
      </w:pPr>
      <w:r>
        <w:rPr>
          <w:noProof/>
        </w:rPr>
        <w:t>I forordning (EU) nr. 508/2014 foretages følgende ændringer:</w:t>
      </w:r>
    </w:p>
    <w:p>
      <w:pPr>
        <w:pStyle w:val="Point1number"/>
        <w:numPr>
          <w:ilvl w:val="2"/>
          <w:numId w:val="10"/>
        </w:numPr>
        <w:rPr>
          <w:noProof/>
        </w:rPr>
      </w:pPr>
      <w:r>
        <w:rPr>
          <w:noProof/>
        </w:rPr>
        <w:t>I artikel 13 tilføjes som stk. 9:</w:t>
      </w:r>
    </w:p>
    <w:p>
      <w:pPr>
        <w:rPr>
          <w:noProof/>
        </w:rPr>
      </w:pPr>
      <w:r>
        <w:rPr>
          <w:noProof/>
        </w:rPr>
        <w:t>"9. Medlemsstaterne har mulighed for at overskride det i stk. 2 fastsatte beløb og at gå under de i stk. 3-6 fastsatte beløb for at støtte de foranstaltninger, der er fastsat i denne forordnings artikel 33, hvis Det Forenede Kongerige ikke viderefører adgangsrettighederne til Det Forenede Kongeriges farvande for EU-fiskerfartøjer, der i betydeligt omfang er afhængige af adgang til disse farvande i forbindelse med deres fiskeriaktiviteter, i tilfælde af at traktaterne ophører med at finde anvendelse på Det Forenede Kongerige i henhold til artikel 50, stk. 3, i traktaten om Den Europæiske Union."</w:t>
      </w:r>
    </w:p>
    <w:p>
      <w:pPr>
        <w:pStyle w:val="Point1number"/>
        <w:rPr>
          <w:noProof/>
        </w:rPr>
      </w:pPr>
      <w:r>
        <w:rPr>
          <w:noProof/>
        </w:rPr>
        <w:t>I artikel 25 indsættes som stk. 3a:</w:t>
      </w:r>
    </w:p>
    <w:p>
      <w:pPr>
        <w:rPr>
          <w:noProof/>
          <w:highlight w:val="yellow"/>
        </w:rPr>
      </w:pPr>
      <w:r>
        <w:rPr>
          <w:noProof/>
        </w:rPr>
        <w:t>"3a. Det samlede finansielle bidrag fra EHFF til de foranstaltninger, der er omhandlet i denne forordnings artikel 33, og som støttes for at afhjælpe konsekvenserne af, at Det Forenede Kongerige ikke viderefører adgangsrettighederne til Det Forenede Kongeriges farvande for EU-fiskerfartøjer, der i betydeligt omfang er afhængige af adgang til disse farvande i forbindelse med deres fiskeriaktiviteter, i tilfælde af at traktaterne ophører med at finde anvendelse på Det Forenede Kongerige i henhold til artikel 50, stk. 3, i traktaten om Den Europæiske Union, tages ikke i betragtning ved vurderingen af, om de i stk. 3, litra a) og b), fastsatte tærskler er overskredet."</w:t>
      </w:r>
    </w:p>
    <w:p>
      <w:pPr>
        <w:pStyle w:val="Point1number"/>
        <w:rPr>
          <w:noProof/>
        </w:rPr>
      </w:pPr>
      <w:r>
        <w:rPr>
          <w:noProof/>
        </w:rPr>
        <w:tab/>
        <w:t>I artikel 33 foretages følgende ændringer:</w:t>
      </w:r>
    </w:p>
    <w:p>
      <w:pPr>
        <w:pStyle w:val="Point2letter"/>
        <w:rPr>
          <w:noProof/>
        </w:rPr>
      </w:pPr>
      <w:r>
        <w:rPr>
          <w:noProof/>
        </w:rPr>
        <w:t>I stk. 1 tilføjes som litra d):</w:t>
      </w:r>
    </w:p>
    <w:p>
      <w:pPr>
        <w:rPr>
          <w:noProof/>
        </w:rPr>
      </w:pPr>
      <w:r>
        <w:rPr>
          <w:noProof/>
        </w:rPr>
        <w:t>"d) for at afhjælpe konsekvenserne af, at Det Forenede Kongerige ikke viderefører adgangsrettighederne til Det Forenede Kongeriges farvande for EU-fiskerfartøjer, der i betydeligt omfang er afhængige af adgang til disse farvande i forbindelse med deres fiskeriaktiviteter, i tilfælde af at traktaterne ophører med at finde anvendelse på Det Forenede Kongerige i henhold til artikel 50, stk. 3, i traktaten om Den Europæiske Union."</w:t>
      </w:r>
    </w:p>
    <w:p>
      <w:pPr>
        <w:pStyle w:val="Point2letter"/>
        <w:rPr>
          <w:noProof/>
        </w:rPr>
      </w:pPr>
      <w:r>
        <w:rPr>
          <w:noProof/>
        </w:rPr>
        <w:t>Stk. 2 affattes således:</w:t>
      </w:r>
    </w:p>
    <w:p>
      <w:pPr>
        <w:rPr>
          <w:noProof/>
        </w:rPr>
      </w:pPr>
      <w:r>
        <w:rPr>
          <w:noProof/>
        </w:rPr>
        <w:t>2. Støtte omhandlet i stk. 1, litra a), b) og c), kan ydes for en periode på højst seks måneder pr. fartøj i perioden 2014-2020, og støtte omhandlet i stk. 1, litra d), kan ydes for en periode på højst ni måneder pr. fartøj i perioden 2014-2020. Udgifter i forbindelse med stk. 1, litra d), er støtteberettigede fra datoen for anvendelsen af Europa-Parlamentets og Rådets forordning (EU) [...]*.</w:t>
      </w:r>
    </w:p>
    <w:p>
      <w:pPr>
        <w:rPr>
          <w:noProof/>
          <w:lang w:val="en-GB"/>
        </w:rPr>
      </w:pPr>
      <w:r>
        <w:rPr>
          <w:noProof/>
        </w:rPr>
        <w:t>* Europa-Parlamentets og Rådets forordning (EU) [2019/….] af [</w:t>
      </w:r>
      <w:r>
        <w:rPr>
          <w:i/>
          <w:noProof/>
        </w:rPr>
        <w:t>date</w:t>
      </w:r>
      <w:r>
        <w:rPr>
          <w:noProof/>
        </w:rPr>
        <w:t>] om ændring af forordning (EU) nr. 508/2014 for så vidt angår visse regler vedrørende Den Europæiske Hav- og Fiskerifond på grund af Det Forenede Kongeriges udtræden af Den Europæiske Union (EUT L […] af […], s. […])."</w:t>
      </w:r>
      <w:r>
        <w:rPr>
          <w:i/>
          <w:noProof/>
        </w:rPr>
        <w:t xml:space="preserve"> </w:t>
      </w:r>
      <w:r>
        <w:rPr>
          <w:i/>
          <w:noProof/>
          <w:lang w:val="en-GB"/>
        </w:rPr>
        <w:t>[number and reference of this amending Regulation to be inserted by the Publication Office]</w:t>
      </w:r>
      <w:r>
        <w:rPr>
          <w:noProof/>
          <w:lang w:val="en-GB"/>
        </w:rPr>
        <w:t xml:space="preserve">. </w:t>
      </w:r>
    </w:p>
    <w:p>
      <w:pPr>
        <w:pStyle w:val="Titrearticle"/>
        <w:rPr>
          <w:noProof/>
        </w:rPr>
      </w:pPr>
      <w:r>
        <w:rPr>
          <w:noProof/>
        </w:rPr>
        <w:t>Artikel 2</w:t>
      </w:r>
    </w:p>
    <w:p>
      <w:pPr>
        <w:pStyle w:val="Titrearticle"/>
        <w:rPr>
          <w:i w:val="0"/>
          <w:noProof/>
        </w:rPr>
      </w:pPr>
      <w:r>
        <w:rPr>
          <w:noProof/>
        </w:rPr>
        <w:t>Ikrafttræden og anvendelse</w:t>
      </w:r>
    </w:p>
    <w:p>
      <w:pPr>
        <w:spacing w:after="240"/>
        <w:rPr>
          <w:noProof/>
        </w:rPr>
      </w:pPr>
      <w:r>
        <w:rPr>
          <w:noProof/>
        </w:rPr>
        <w:t xml:space="preserve">Denne forordning træder i kraft dagen efter offentliggørelsen i </w:t>
      </w:r>
      <w:r>
        <w:rPr>
          <w:i/>
          <w:noProof/>
        </w:rPr>
        <w:t>Den Europæiske Unions Tidende</w:t>
      </w:r>
      <w:r>
        <w:rPr>
          <w:noProof/>
        </w:rPr>
        <w:t>.</w:t>
      </w:r>
    </w:p>
    <w:p>
      <w:pPr>
        <w:spacing w:after="240"/>
        <w:rPr>
          <w:noProof/>
        </w:rPr>
      </w:pPr>
      <w:r>
        <w:rPr>
          <w:noProof/>
        </w:rPr>
        <w:t>Den anvendes fra dagen efter den dag, hvor traktaterne ophører med at finde anvendelse på Det Forenede Kongerige, jf. artikel 50, stk. 3, i traktaten om Den Europæiske Union.</w:t>
      </w:r>
    </w:p>
    <w:p>
      <w:pPr>
        <w:spacing w:after="240"/>
        <w:rPr>
          <w:noProof/>
        </w:rPr>
      </w:pPr>
      <w:r>
        <w:rPr>
          <w:noProof/>
        </w:rPr>
        <w:t>Denne forordning finder imidlertid ikke anvendelse, hvis en udtrædelsesaftale med Det Forenede Kongerige i henhold til artikel 50, stk. 2, i traktaten om Den Europæiske Union er trådt i kraft senest på den dato, der er omhandlet i stk. 2.</w:t>
      </w:r>
    </w:p>
    <w:p>
      <w:pPr>
        <w:spacing w:after="240"/>
        <w:rPr>
          <w:noProof/>
        </w:rPr>
      </w:pPr>
      <w:r>
        <w:rPr>
          <w:noProof/>
        </w:rPr>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Europa-Parlamentets og Rådets forordning (EU) nr. 1380/2013 af 11. december 2013 om den fælles fiskeripolitik, ændring af Rådets forordning (EF) nr. 1954/2003 og (EF) nr. 1224/2009 og ophævelse af Rådets forordning (EF) nr. 2371/2002 og (EF) nr. 639/2004 samt Rådets afgørelse 2004/585/EF (</w:t>
      </w:r>
      <w:r>
        <w:rPr>
          <w:rStyle w:val="Emphasis"/>
        </w:rPr>
        <w:t>EUT L 354 af 28.12.2013, s. 22</w:t>
      </w:r>
      <w:r>
        <w:t>).</w:t>
      </w:r>
    </w:p>
  </w:footnote>
  <w:footnote w:id="2">
    <w:p>
      <w:pPr>
        <w:pStyle w:val="FootnoteText"/>
      </w:pPr>
      <w:r>
        <w:rPr>
          <w:rStyle w:val="FootnoteReference"/>
        </w:rPr>
        <w:footnoteRef/>
      </w:r>
      <w:r>
        <w:tab/>
        <w:t>Belgien, Danmark, Frankrig, Tyskland, Irland, Spanien, Sverige, Nederlandene.</w:t>
      </w:r>
    </w:p>
  </w:footnote>
  <w:footnote w:id="3">
    <w:p>
      <w:pPr>
        <w:pStyle w:val="FootnoteText"/>
      </w:pPr>
      <w:r>
        <w:rPr>
          <w:rStyle w:val="FootnoteReference"/>
        </w:rPr>
        <w:footnoteRef/>
      </w:r>
      <w:r>
        <w:tab/>
        <w:t xml:space="preserve">Europa-Parlamentets og Rådets forordning (EU) nr. 508/2014 af 15. maj 2014 om Den Europæiske Hav- og Fiskerifond og om ophævelse af Rådets forordning (EF) nr. 2328/2003, (EF) nr. 861/2006, (EF) nr. 1198/2006 og (EF) nr. 791/2007 samt Europa-Parlamentets og Rådets forordning (EU) nr. 1255/2011 (EUT L 149 af 20.5.2014, s. 1). </w:t>
      </w:r>
    </w:p>
  </w:footnote>
  <w:footnote w:id="4">
    <w:p>
      <w:pPr>
        <w:pStyle w:val="FootnoteText"/>
      </w:pPr>
      <w:r>
        <w:rPr>
          <w:rStyle w:val="FootnoteReference"/>
        </w:rPr>
        <w:footnoteRef/>
      </w:r>
      <w:r>
        <w:tab/>
        <w:t>Europa-Parlamentets og Rådets forordning (EU, Euratom) 2018/1046 af 18. juli 2018 om de finansielle regler vedrørende Unionens almindelige budget, om ændring af forordning (EU) nr. 1296/2013, (EU) nr. 1301/2013, (EU) nr. 1303/2013, (EU) nr. 1304/2013, (EU) nr. 1309/2013, (EU) nr. 1316/2013, (EU) nr. 223/2014, (EU) nr. 283/2014 og afgørelse nr. 541/2014/EU og om ophævelse af forordning (EU, Euratom) nr. 966/2012 (EUT L 193 af 30.7.2018, s. 1).</w:t>
      </w:r>
    </w:p>
  </w:footnote>
  <w:footnote w:id="5">
    <w:p>
      <w:pPr>
        <w:pStyle w:val="FootnoteText"/>
      </w:pPr>
      <w:r>
        <w:rPr>
          <w:rStyle w:val="FootnoteReference"/>
        </w:rPr>
        <w:footnoteRef/>
      </w:r>
      <w:r>
        <w:tab/>
        <w:t xml:space="preserve">Rådets forordning (EU, Euratom) nr. 1311/2013 af 2. december 2013 om fastlæggelse af den flerårige finansielle ramme for årene 2014-2020 (EUT L 347 af 20.12.2013, s. 884). </w:t>
      </w:r>
    </w:p>
  </w:footnote>
  <w:footnote w:id="6">
    <w:p>
      <w:pPr>
        <w:pStyle w:val="FootnoteText"/>
      </w:pPr>
      <w:r>
        <w:rPr>
          <w:rStyle w:val="FootnoteReference"/>
        </w:rPr>
        <w:footnoteRef/>
      </w:r>
      <w:r>
        <w:tab/>
      </w:r>
    </w:p>
  </w:footnote>
  <w:footnote w:id="7">
    <w:p>
      <w:pPr>
        <w:pStyle w:val="FootnoteText"/>
      </w:pPr>
      <w:r>
        <w:rPr>
          <w:rStyle w:val="FootnoteReference"/>
        </w:rPr>
        <w:footnoteRef/>
      </w:r>
      <w:r>
        <w:tab/>
      </w:r>
    </w:p>
  </w:footnote>
  <w:footnote w:id="8">
    <w:p>
      <w:pPr>
        <w:pStyle w:val="FootnoteText"/>
      </w:pPr>
      <w:r>
        <w:rPr>
          <w:rStyle w:val="FootnoteReference"/>
        </w:rPr>
        <w:footnoteRef/>
      </w:r>
      <w:r>
        <w:tab/>
        <w:t xml:space="preserve">Europa-Parlamentets og Rådets forordning (EU) nr. 508/2014 af 15. maj 2014 om Den Europæiske Hav- og Fiskerifond og om ophævelse af Rådets forordning (EF) nr. 2328/2003, (EF) nr. 861/2006, (EF) nr. 1198/2006 og (EF) nr. 791/2007 samt Europa-Parlamentets og Rådets forordning (EU) nr. 1255/2011 (EUT L 149 af 20.5.2014, s. 1). </w:t>
      </w:r>
    </w:p>
  </w:footnote>
  <w:footnote w:id="9">
    <w:p>
      <w:pPr>
        <w:pStyle w:val="FootnoteText"/>
        <w:rPr>
          <w:i/>
        </w:rPr>
      </w:pPr>
      <w:r>
        <w:rPr>
          <w:rStyle w:val="FootnoteReference"/>
        </w:rPr>
        <w:footnoteRef/>
      </w:r>
      <w:r>
        <w:tab/>
        <w:t xml:space="preserve">Europa-Parlamentets og Rådets forordning (EU) nr. 1303/2013 af 17. december 2013 om fælles bestemmelser for Den Europæiske Fond for Regionaludvikling, Den Europæiske Socialfond, Samhørighedsfonden, Den Europæiske Landbrugsfond for Udvikling af Landdistrikterne og Den Europæiske Hav- og Fiskerifond og om generelle bestemmelser for Den Europæiske Fond for Regionaludvikling, Den Europæiske Socialfond, Samhørighedsfonden og Den Europæiske Hav- og Fiskerifond og om ophævelse af Rådets forordning (EF) nr. 1083/2006 </w:t>
      </w:r>
      <w:r>
        <w:rPr>
          <w:rStyle w:val="Emphasis"/>
        </w:rPr>
        <w:t>(EUT L 347 af 20.12.2013, s. 320)</w:t>
      </w:r>
      <w:r>
        <w:t>.</w:t>
      </w:r>
    </w:p>
  </w:footnote>
  <w:footnote w:id="10">
    <w:p>
      <w:pPr>
        <w:pStyle w:val="FootnoteText"/>
      </w:pPr>
      <w:r>
        <w:rPr>
          <w:rStyle w:val="FootnoteReference"/>
        </w:rPr>
        <w:footnoteRef/>
      </w:r>
      <w:r>
        <w:tab/>
        <w:t>Rådets forordning (EØF, Euratom) nr. 1182/71 af 3. juni 1971 om fastsættelse af regler om tidsfrister, datoer og tidspunkter (EFT L 124 af 8.6.1971,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9100A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A1249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63CA7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D60079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CA99A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95E178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6DA4CE8"/>
    <w:lvl w:ilvl="0">
      <w:start w:val="1"/>
      <w:numFmt w:val="decimal"/>
      <w:pStyle w:val="ListNumber"/>
      <w:lvlText w:val="%1."/>
      <w:lvlJc w:val="left"/>
      <w:pPr>
        <w:tabs>
          <w:tab w:val="num" w:pos="360"/>
        </w:tabs>
        <w:ind w:left="360" w:hanging="360"/>
      </w:pPr>
    </w:lvl>
  </w:abstractNum>
  <w:abstractNum w:abstractNumId="7">
    <w:nsid w:val="FFFFFF89"/>
    <w:multiLevelType w:val="singleLevel"/>
    <w:tmpl w:val="CBEA470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 WINKEL Hans (SJ)">
    <w15:presenceInfo w15:providerId="None" w15:userId="TE WINKEL Hans (SJ)"/>
  </w15:person>
  <w15:person w15:author="BILLIET Stijn (MARE)">
    <w15:presenceInfo w15:providerId="None" w15:userId="BILLIET Stijn (MARE)"/>
  </w15:person>
  <w15:person w15:author="STOBIECKA-KUIK Agnieszka (SJ)">
    <w15:presenceInfo w15:providerId="None" w15:userId="STOBIECKA-KUIK Agnieszka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9 18:05:3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39B84951-008D-4444-8B73-B92D285478B3"/>
    <w:docVar w:name="LW_COVERPAGE_TYPE" w:val="1"/>
    <w:docVar w:name="LW_CROSSREFERENCE" w:val="&lt;UNUSED&gt;"/>
    <w:docVar w:name="LW_DocType" w:val="COM"/>
    <w:docVar w:name="LW_EMISSION" w:val="23.1.2019"/>
    <w:docVar w:name="LW_EMISSION_ISODATE" w:val="2019-01-23"/>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009"/>
    <w:docVar w:name="LW_REF.II.NEW.CP_YEAR" w:val="2019"/>
    <w:docVar w:name="LW_REF.INST.NEW" w:val="COM"/>
    <w:docVar w:name="LW_REF.INST.NEW_ADOPTED" w:val="final"/>
    <w:docVar w:name="LW_REF.INST.NEW_TEXT" w:val="(2019) 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ændring af forordning (EU) nr. 508/2014 for så vidt angår visse regler vedrørende Den Europæiske Hav- og Fiskerifond på grund af Det Forenede Kongeriges udtræden af Den Europæiske Union"/>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customStyle="1" w:styleId="num">
    <w:name w:val="num"/>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customStyle="1" w:styleId="num">
    <w:name w:val="num"/>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E9C80E3-43E7-4E10-8BF3-EC90AB95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10</Pages>
  <Words>2857</Words>
  <Characters>17034</Characters>
  <Application>Microsoft Office Word</Application>
  <DocSecurity>0</DocSecurity>
  <Lines>283</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2019-01-21T10:47:00Z</cp:lastPrinted>
  <dcterms:created xsi:type="dcterms:W3CDTF">2019-01-29T15:34:00Z</dcterms:created>
  <dcterms:modified xsi:type="dcterms:W3CDTF">2019-01-29T17:05:00Z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