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B630EF0-14BB-401C-B60D-D6A2BD3A1C1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spacing w:before="0" w:after="240"/>
        <w:rPr>
          <w:rFonts w:eastAsia="Times New Roman"/>
          <w:noProof/>
          <w:szCs w:val="24"/>
        </w:rPr>
      </w:pPr>
      <w:r>
        <w:rPr>
          <w:noProof/>
        </w:rPr>
        <w:t>W dniu 29 marca 2017 r. Zjednoczone Królestwo złożyło notyfikację o swoim zamiarze wystąpienia z Unii Europejskiej zgodnie z art. 50 Traktatu o Unii Europejskiej. Oznacza to, że jeżeli umowa o wystąpieniu nie zostanie ratyfikowana, unijne prawo pierwotne i wtórne przestanie mieć zastosowanie do Zjednoczonego Królestwa od dnia 30 marca 2019 r. („data wystąpienia”). Zjednoczone Królestwo stanie się wtedy „państwem trzecim”.</w:t>
      </w:r>
    </w:p>
    <w:p>
      <w:pPr>
        <w:spacing w:before="0" w:after="200"/>
        <w:rPr>
          <w:noProof/>
          <w:szCs w:val="24"/>
        </w:rPr>
      </w:pPr>
      <w:r>
        <w:rPr>
          <w:noProof/>
        </w:rPr>
        <w:t>W komunikacie Komisji „Przygotowania do wystąpienia Zjednoczonego Królestwa z Unii Europejskiej w dniu 30 marca 2019 r.: Plan działania awaryjnego” z dnia 13 listopada 2018 r. określono środki awaryjne, które planuje się przyjąć w przypadku, gdyby umowa o wystąpieniu nie weszła w życie z datą wystąpienia. W komunikacie tym Komisja wymieniła działania, które uznaje za niezbędne, jednocześnie przypominając, że dodatkowe działania mogą być konieczne na późniejszym etapie. Przedstawiono w nim również sześć ogólnych zasad, z którymi środki awaryjne powinny być zgodne na wszystkich szczeblach. Są wśród nich zasady stanowiące, że środki awaryjne nie powinny powielać korzyści wynikających z członkostwa w Unii ani warunków okresu przejściowego, jak przewidziano w projekcie umowy o wystąpieniu; muszą one mieć charakter tymczasowy i nie powinny wykraczać poza koniec 2019 r.; muszą stanowić jednostronne działaniami Unii Europejskiej w celu ochrony jej interesów i co za tym idzie Unia może w każdej chwili je odwołać.</w:t>
      </w:r>
    </w:p>
    <w:p>
      <w:pPr>
        <w:spacing w:before="0" w:after="200"/>
        <w:rPr>
          <w:noProof/>
          <w:szCs w:val="24"/>
        </w:rPr>
      </w:pPr>
      <w:r>
        <w:rPr>
          <w:noProof/>
        </w:rPr>
        <w:t>Rada Europejska (art. 50) ponowiła w dniu 13 grudnia 2018 r. swoje wezwanie do nasilenia prac mających na celu zapewnienie na wszystkich szczeblach gotowości do stawienia czoła konsekwencjom wystąpienia Zjednoczonego Królestwa z Unii, z uwzględnieniem wszystkich możliwych scenariuszy. W odpowiedzi na ten apel w dniu 19 grudnia 2018 r. Komisja przedstawiła pakiet środków. W dniach 17 i 18 grudnia 2018 r. Rada ds. Rolnictwa i Rybołówstwa ustaliła uprawnienia do połowów na 2019 r. Na ich podstawie oraz uwzględniając bieżące kontakty z państwami członkowskimi w sprawie istotnych negatywnych skutków dla sektora rybołówstwa wynikających z wystąpienia Zjednoczonego Królestwa bez umowy o wystąpieniu, jak też uwzględniając fakt, że zainteresowane strony nie mogą same złagodzić tych negatywnych konsekwencji, Komisja stwierdziła, że w odniesieniu do sektora rybołówstwa niezbędne są dwa środki awaryjne. Jednocześnie z niniejszym środkiem mającym na celu zmianę Europejskiego Funduszu Morskiego i Rybackiego Komisja proponuje środek dotyczący zrównoważonego zarządzania zewnętrznymi flotami rybackimi.</w:t>
      </w:r>
    </w:p>
    <w:p>
      <w:pPr>
        <w:spacing w:before="0" w:after="240"/>
        <w:rPr>
          <w:rFonts w:eastAsia="Times New Roman"/>
          <w:noProof/>
          <w:szCs w:val="24"/>
        </w:rPr>
      </w:pPr>
      <w:r>
        <w:rPr>
          <w:noProof/>
        </w:rPr>
        <w:t>Zgodnie z rozporządzeniem (UE) nr 1380/2013</w:t>
      </w:r>
      <w:r>
        <w:rPr>
          <w:rStyle w:val="FootnoteReference"/>
          <w:noProof/>
        </w:rPr>
        <w:footnoteReference w:id="1"/>
      </w:r>
      <w:r>
        <w:rPr>
          <w:noProof/>
        </w:rPr>
        <w:t xml:space="preserve"> (rozporządzenie podstawowe w sprawie WPRyb) unijne statki rybackie mają równy dostęp do wód i zasobów Unii podlegających przepisom wspólnej polityki rybołówstwa (WPRyb). Z datą wystąpienia WPRyb nie będzie już miała zastosowania do Zjednoczonego Królestwa. Wody Zjednoczonego Królestwa (12 mil morskich morza terytorialnego i przyległa wyłączna strefa ekonomiczna) nie będą już stanowić części wód Unii. W przypadku braku odmiennych postanowień dostęp do wód każdej ze stron nie byłby już automatyczny. Scenariusz domyślny przewidywany </w:t>
      </w:r>
      <w:r>
        <w:rPr>
          <w:noProof/>
        </w:rPr>
        <w:lastRenderedPageBreak/>
        <w:t>w przypadku braku innych ustaleń zakłada, że statki rybackie Unii nie będą już dłużej upoważnione do prowadzenia połowów w wodach Zjednoczonego Królestwa i odwrotnie.</w:t>
      </w:r>
    </w:p>
    <w:p>
      <w:pPr>
        <w:spacing w:before="0" w:after="240"/>
        <w:rPr>
          <w:rFonts w:eastAsia="Times New Roman"/>
          <w:noProof/>
          <w:szCs w:val="24"/>
        </w:rPr>
      </w:pPr>
      <w:r>
        <w:rPr>
          <w:noProof/>
        </w:rPr>
        <w:t>Sektor rybołówstwa jest kluczowym elementem gospodarki wielu regionów przybrzeżnych Unii Europejskiej. Ze względu na znaczną niepewność, w przypadku braku umowy ze Zjednoczonym Królestwem statki unijne ryzykują utratę dostępu do tych wód i uprawnień do połowów na tych wodach. Miałoby to natychmiastowe istotne skutki, jeśli chodzi o działalność połowową floty UE, zatrudnienie i korzyści ekonomiczne.</w:t>
      </w:r>
    </w:p>
    <w:p>
      <w:pPr>
        <w:autoSpaceDE w:val="0"/>
        <w:autoSpaceDN w:val="0"/>
        <w:adjustRightInd w:val="0"/>
        <w:rPr>
          <w:rFonts w:eastAsia="Times New Roman"/>
          <w:noProof/>
          <w:szCs w:val="24"/>
        </w:rPr>
      </w:pPr>
      <w:r>
        <w:rPr>
          <w:noProof/>
        </w:rPr>
        <w:t>Wartość dodana brutto rybołówstwa w UE wyniosła 4,5 mld EUR w 2016 r. Od rybołówstwa zależy około 150 000 miejsc pracy, głównie na obszarach przybrzeżnych, gdzie możliwości zatrudnienia są ograniczone. Działalność połowowa generuje również zatrudnienie w innych sektorach pomocniczych: na każdego rybaka przypada od 0,5 do 1 ekwiwalentu pełnego czasu pracy w sektorach pomocniczych. Państwa członkowskie prowadzą na wodach Zjednoczonego Królestwa działalność połowową o wartości 585 mln EUR. Osiem państw członkowskich</w:t>
      </w:r>
      <w:r>
        <w:rPr>
          <w:rStyle w:val="FootnoteReference"/>
          <w:noProof/>
        </w:rPr>
        <w:footnoteReference w:id="2"/>
      </w:r>
      <w:r>
        <w:rPr>
          <w:noProof/>
        </w:rPr>
        <w:t xml:space="preserve"> zależy od wód Zjednoczonego Królestwa w stopniu sięgającym średnio 14 % ich całkowitych wyładunków, wynosząc od 50 % dla Belgii do ok. 1 % dla Hiszpanii. Na poziomie społeczności lokalnej wpływ społeczno-gospodarczy może być znaczny tam, gdzie statki rybackie są szczególnie uzależnione od dostępu do wód Zjednoczonego Królestwa. Sektor rybołówstwa jest również powiązany z sektorami pomocniczymi wyższego i niższego szczebla. </w:t>
      </w:r>
    </w:p>
    <w:p>
      <w:pPr>
        <w:autoSpaceDE w:val="0"/>
        <w:autoSpaceDN w:val="0"/>
        <w:adjustRightInd w:val="0"/>
        <w:rPr>
          <w:rFonts w:eastAsia="Times New Roman"/>
          <w:noProof/>
          <w:szCs w:val="24"/>
        </w:rPr>
      </w:pPr>
      <w:r>
        <w:rPr>
          <w:noProof/>
        </w:rPr>
        <w:t xml:space="preserve">Skutki nagłego zamknięcia wód Zjednoczonego Królestwa dla unijnych statków rybackich byłyby zatem znaczne dla konkretnych segmentów floty, przy silnych, negatywnych skutkach ekonomicznych w niektórych regionach i społecznościach nadbrzeżnych. Ponieważ dotknięte byłyby regiony w kilku państwach członkowskich wzdłuż wybrzeża Atlantyku i Morza Północnego, taka sytuacja nadzwyczajna wymaga skoordynowanych rozwiązań na szczeblu UE. </w:t>
      </w:r>
    </w:p>
    <w:p>
      <w:pPr>
        <w:spacing w:before="0" w:after="0"/>
        <w:rPr>
          <w:rFonts w:eastAsia="Times New Roman"/>
          <w:noProof/>
          <w:szCs w:val="24"/>
        </w:rPr>
      </w:pPr>
      <w:r>
        <w:rPr>
          <w:noProof/>
        </w:rPr>
        <w:t xml:space="preserve">Możliwości złagodzenia skutków w tej sytuacji byłyby ograniczone. Unijne statki rybackie mogłyby przejąć połowy dokonywane obecnie przez Zjednoczone Królestwo na wodach Unii, ale w odniesieniu do danego gatunku może nie nastąpić kompletne dopasowanie. Statki i segmenty floty, które najbardziej ucierpiałyby z powodu zamknięcia wód Zjednoczonego Królestwa, niekoniecznie będą tymi, które będą dokonywały połowów gatunku, który stanie się dostępny na wodach Unii. Istnieją ponadto limity co do tego, ile nakładów połowowych można by przenieść z wód Zjednoczonego Królestwa na wody Unii, z przyczyn związanych z opłacalnością i jakością połowów. Wymóg zrównoważonego charakteru dla działalność połowowej mógłby również ograniczyć przekierowanie i koncentrację nakładu połowowego na wodach Unii. Warianty te byłyby zatem w stanie częściowo tylko zrekompensować straty gospodarcze ponoszone przez statki unijne, wynikające z utraty dostępu do wód Zjednoczonego Królestwa. Skutki gospodarcze dla odnośnych segmentów floty UE pozostałyby bardzo znaczące. </w:t>
      </w:r>
    </w:p>
    <w:p>
      <w:pPr>
        <w:spacing w:before="100" w:beforeAutospacing="1" w:after="100" w:afterAutospacing="1"/>
        <w:rPr>
          <w:rFonts w:eastAsia="Times New Roman"/>
          <w:noProof/>
          <w:szCs w:val="24"/>
        </w:rPr>
      </w:pPr>
      <w:r>
        <w:rPr>
          <w:noProof/>
        </w:rPr>
        <w:t>Europejski Fundusz Morski i Rybacki (EFMR) ustanowiony rozporządzeniem Parlamentu Europejskiego i Rady (UE) nr 508/2014</w:t>
      </w:r>
      <w:r>
        <w:rPr>
          <w:rStyle w:val="FootnoteReference"/>
          <w:noProof/>
        </w:rPr>
        <w:footnoteReference w:id="3"/>
      </w:r>
      <w:r>
        <w:rPr>
          <w:noProof/>
        </w:rPr>
        <w:t xml:space="preserve"> jest funduszem unijnej polityki morskiej i rybołówstwa na lata 2014–2020. Jest to jeden z pięciu europejskich funduszy strukturalnych </w:t>
      </w:r>
      <w:r>
        <w:rPr>
          <w:noProof/>
        </w:rPr>
        <w:lastRenderedPageBreak/>
        <w:t>i inwestycyjnych (ESI), które wzajemnie się uzupełniają i wspierają wzrost gospodarczy i zatrudnienie dzięki ożywieniu gospodarczemu w Europie. Fundusz ten pomaga rybakom w przechodzeniu na zrównoważone rybołówstwo; wspiera społeczności przybrzeżne w różnicowaniu gospodarki i finansuje projekty, które tworzą nowe miejsca pracy i poprawiają jakość życia na europejskich wybrzeżach.</w:t>
      </w:r>
    </w:p>
    <w:p>
      <w:pPr>
        <w:spacing w:before="0" w:after="240"/>
        <w:rPr>
          <w:rFonts w:eastAsia="Times New Roman"/>
          <w:noProof/>
          <w:szCs w:val="24"/>
        </w:rPr>
      </w:pPr>
      <w:r>
        <w:rPr>
          <w:noProof/>
        </w:rPr>
        <w:t>Już w ramach rozporządzenia w sprawie EFMR zostały udostępnione środki mające na celu złagodzenie niekorzystnych skutków gospodarczych wynikających z wystąpienia Zjednoczonego Królestwa z Unii Europejskiej w całym łańcuchu produkcji i wprowadzania do obrotu. W ramach zarządzania dzielonego państwa członkowskie dotknięte wystąpieniem Zjednoczonego Królestwa z Unii Europejskiej mogą podjąć decyzję o przekierowaniu dostępnych środków na wszelkie niezbędne działania łagodzące skutki tego wystąpienia. Możliwość ta jest jednak obecnie ograniczona do niektórych priorytetów. Ograniczyłoby to pole manewru dla państw członkowskich w zakresie łagodzenia skutków zamknięcia wód Zjednoczonego Królestwa dla ich flot i ograniczyłoby skuteczność tych działań.</w:t>
      </w:r>
    </w:p>
    <w:p>
      <w:pPr>
        <w:spacing w:before="0" w:after="240"/>
        <w:rPr>
          <w:rFonts w:eastAsia="Times New Roman"/>
          <w:noProof/>
          <w:szCs w:val="24"/>
        </w:rPr>
      </w:pPr>
      <w:r>
        <w:rPr>
          <w:noProof/>
        </w:rPr>
        <w:t>Rozporządzenie w sprawie EFMR przewiduje szczegółowe przepisy i ustalenia dotyczące przyznawania rekompensat finansowych rybakom i właścicielom statków rybackich w przypadku tymczasowego zaprzestania działalności połowowej. Jednak kryteria umożliwiające tymczasowe zaprzestanie działalności nie pozwalają przyznawać rekompensat z powodu wystąpienia państwa członkowskiego z Unii Europejskiej i wynikającej z niego utraty dostępu do wód tego państwa i utraty uprawnień do połowów na tym obszarze.</w:t>
      </w:r>
    </w:p>
    <w:p>
      <w:pPr>
        <w:spacing w:before="0" w:after="240"/>
        <w:rPr>
          <w:rFonts w:eastAsia="Times New Roman"/>
          <w:noProof/>
          <w:szCs w:val="24"/>
        </w:rPr>
      </w:pPr>
      <w:r>
        <w:rPr>
          <w:noProof/>
        </w:rPr>
        <w:t>W uzupełnieniu tych środków dostępnych już na podstawie rozporządzenia w sprawie EFMR niniejszy wniosek wprowadza możliwość udzielania wsparcia publicznego z tytułu tymczasowego zaprzestania działalności połowowej rybakom i operatorom, którzy są w znacznym stopniu uzależnieni od dostępu do wód Zjednoczonego Królestwa i których dotkną skutki zamknięcia wód Zjednoczonego Królestwa. Niniejszy środek powinien być dostępny od dnia następującego po dniu, w którym prawo Unii przestanie mieć zastosowanie do Zjednoczonego Królestwa na podstawie art. 50 ust. 3 Traktatu o Unii Europejskiej.</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spacing w:before="0" w:after="240"/>
        <w:rPr>
          <w:noProof/>
        </w:rPr>
      </w:pPr>
      <w:r>
        <w:rPr>
          <w:noProof/>
        </w:rPr>
        <w:t>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rFonts w:eastAsia="Arial Unicode MS"/>
          <w:noProof/>
        </w:rPr>
      </w:pPr>
      <w:r>
        <w:rPr>
          <w:noProof/>
        </w:rPr>
        <w:t xml:space="preserve">Proponowane środki zostały opracowane zgodnie z celem wspólnej polityki rybołówstwa i są spójne ze unijną polityką zrównoważonego rozwoju. </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Podstawą prawną jest art. 42 i art. 43 ust. 2 Traktatu o funkcjonowaniu Unii Europejskiej (TFUE).</w:t>
      </w:r>
    </w:p>
    <w:p>
      <w:pPr>
        <w:pStyle w:val="ManualHeading2"/>
        <w:rPr>
          <w:rFonts w:eastAsia="Arial Unicode MS"/>
          <w:noProof/>
          <w:u w:color="000000"/>
          <w:bdr w:val="nil"/>
        </w:rPr>
      </w:pPr>
      <w:r>
        <w:rPr>
          <w:noProof/>
        </w:rPr>
        <w:t>•</w:t>
      </w:r>
      <w:r>
        <w:rPr>
          <w:noProof/>
        </w:rPr>
        <w:tab/>
        <w:t xml:space="preserve">Pomocniczość </w:t>
      </w:r>
    </w:p>
    <w:p>
      <w:pPr>
        <w:rPr>
          <w:noProof/>
        </w:rPr>
      </w:pPr>
      <w:r>
        <w:rPr>
          <w:noProof/>
        </w:rPr>
        <w:t xml:space="preserve">Proponowany akt spowodowałby zmianę unijnego rozporządzenia (UE) nr 508/2014 w celu ustanowienia środków finansowych służących złagodzeniu negatywnych skutków dla statków </w:t>
      </w:r>
      <w:r>
        <w:rPr>
          <w:noProof/>
        </w:rPr>
        <w:lastRenderedPageBreak/>
        <w:t>Unii, które ucierpiałyby z powodu ewentualnego zamknięcia wód Zjednoczonego Królestwa ze względu na jego wystąpienie z Unii Europejskiej. Działania na poziomie Unii są zatem niezbędne, a spodziewane rezultaty nie mogą zostać osiągnięte poprzez działania na szczeblu państw członkowskich. Przepisy niniejszego wniosku są wdrażane w ramach zarządzania dzielonego zgodnie z rozporządzeniem Parlamentu Europejskiego i Rady (UE) 2018/1046</w:t>
      </w:r>
      <w:r>
        <w:rPr>
          <w:rStyle w:val="FootnoteReference"/>
          <w:noProof/>
        </w:rPr>
        <w:footnoteReference w:id="4"/>
      </w:r>
      <w:r>
        <w:rPr>
          <w:noProof/>
        </w:rPr>
        <w:t>.</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Wniosek jest zgodny z zasadą proporcjonalności. Rozporządzenie, którego dotyczy wniosek, uznaje się za proporcjonalne, ponieważ jego celem jest zapewnienie złagodzenia poważnych skutków gospodarczych wynikających z wystąpienia Zjednoczonego Królestwa z Unii.</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rPr>
      </w:pPr>
      <w:r>
        <w:rPr>
          <w:noProof/>
        </w:rPr>
        <w:t xml:space="preserve">Niniejszy akt wprowadza zmiany do rozporządzenia. </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rPr>
        <w:t>•</w:t>
      </w:r>
      <w:r>
        <w:rPr>
          <w:noProof/>
        </w:rPr>
        <w:tab/>
        <w:t>Oceny ex post/kontrole sprawności obowiązującego prawodawstwa</w:t>
      </w:r>
    </w:p>
    <w:p>
      <w:pPr>
        <w:pBdr>
          <w:top w:val="nil"/>
          <w:left w:val="nil"/>
          <w:bottom w:val="nil"/>
          <w:right w:val="nil"/>
          <w:between w:val="nil"/>
          <w:bar w:val="nil"/>
        </w:pBdr>
        <w:spacing w:before="0" w:after="240"/>
        <w:rPr>
          <w:rFonts w:eastAsia="Arial Unicode MS"/>
          <w:noProof/>
        </w:rPr>
      </w:pPr>
      <w:r>
        <w:rPr>
          <w:noProof/>
        </w:rPr>
        <w:t>Działania te nie mają zastosowania ze względu na wyjątkowy, tymczasowy i jednorazowy charakter zdarzenia wymagającego niniejszego wniosku.</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 xml:space="preserve">Problemy wynikające z wystąpienia Zjednoczonego Królestwa z Unią oraz ich możliwe rozwiązania były omawiane przez różne podmioty działające w sektorze rybołówstwa i przedstawicieli państw członkowskich. Wszystkie podmioty oraz zainteresowane strony i państwa członkowskie podkreślili konieczność zapewnienia odpowiedniej rekompensaty w przypadku, gdyby uprawnienia do połowów przestały być dostępne z powodu wystąpienia Zjednoczonego Królestwa z Unii. </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Nie zaistniała potrzeba skorzystania z pomocy ekspertów zewnętrznych.</w:t>
      </w:r>
    </w:p>
    <w:p>
      <w:pPr>
        <w:pStyle w:val="ManualHeading2"/>
        <w:rPr>
          <w:rFonts w:eastAsia="Arial Unicode MS"/>
          <w:noProof/>
          <w:u w:color="000000"/>
          <w:bdr w:val="nil"/>
        </w:rPr>
      </w:pPr>
      <w:r>
        <w:rPr>
          <w:noProof/>
        </w:rPr>
        <w:tab/>
        <w:t>Ocena skutków</w:t>
      </w:r>
    </w:p>
    <w:p>
      <w:pPr>
        <w:pBdr>
          <w:top w:val="nil"/>
          <w:left w:val="nil"/>
          <w:bottom w:val="nil"/>
          <w:right w:val="nil"/>
          <w:between w:val="nil"/>
          <w:bar w:val="nil"/>
        </w:pBdr>
        <w:spacing w:before="0" w:after="240"/>
        <w:rPr>
          <w:rFonts w:eastAsia="Arial Unicode MS"/>
          <w:noProof/>
        </w:rPr>
      </w:pPr>
      <w:r>
        <w:rPr>
          <w:noProof/>
        </w:rPr>
        <w:t>Ocena skutków nie jest konieczna ze względu na wyjątkowy charakter sytuacji i ograniczony czas, który jest potrzebny, by zmienić status Zjednoczonego Królestwa. Nie są dostępne żadne znacząco inne ani różniące się formalnie warianty strategiczne oprócz proponowanego.</w:t>
      </w:r>
    </w:p>
    <w:p>
      <w:pPr>
        <w:pStyle w:val="ManualHeading2"/>
        <w:rPr>
          <w:rFonts w:eastAsia="Arial Unicode MS"/>
          <w:noProof/>
          <w:u w:color="000000"/>
          <w:bdr w:val="nil"/>
        </w:rPr>
      </w:pPr>
      <w:r>
        <w:rPr>
          <w:noProof/>
        </w:rPr>
        <w:t>•</w:t>
      </w:r>
      <w:r>
        <w:rPr>
          <w:noProof/>
        </w:rPr>
        <w:tab/>
        <w:t>Sprawność regulacyjna i uproszczenie</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 xml:space="preserve">Niniejszy wniosek nie ma wpływu na ochronę praw podstawowych. </w:t>
      </w:r>
    </w:p>
    <w:p>
      <w:pPr>
        <w:pStyle w:val="ManualHeading1"/>
        <w:rPr>
          <w:noProof/>
        </w:rPr>
      </w:pPr>
      <w:r>
        <w:rPr>
          <w:noProof/>
        </w:rPr>
        <w:lastRenderedPageBreak/>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Proponowana zmiana nie pociąga za sobą żadnych zmian w rocznych pułapach wieloletnich ram finansowych dla zobowiązań i płatności zgodnie z załącznikiem I do rozporządzenia (UE) nr 1311/2013</w:t>
      </w:r>
      <w:r>
        <w:rPr>
          <w:rStyle w:val="FootnoteReference"/>
          <w:noProof/>
        </w:rPr>
        <w:footnoteReference w:id="5"/>
      </w:r>
      <w:r>
        <w:rPr>
          <w:noProof/>
        </w:rPr>
        <w:t xml:space="preserve">. Niniejszy wniosek przewiduje koncentrację środków na płatności na wstępie, ale jest neutralny dla budżetu w całym okresie programowania. </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Nie dotyczy.</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2019/0009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zmieniające rozporządzenie (UE) nr 508/2014 w odniesieniu do niektórych przepisów dotyczących Europejskiego Funduszu Morskiego i Rybackiego z powodu wystąpienia Zjednoczonego Królestwa z Unii</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42 i art. 43 ust. 2,</w:t>
      </w:r>
    </w:p>
    <w:p>
      <w:pPr>
        <w:rPr>
          <w:noProof/>
        </w:rPr>
      </w:pPr>
      <w:r>
        <w:rPr>
          <w:noProof/>
        </w:rPr>
        <w:t>uwzględniając wniosek Komisji Europejskiej</w:t>
      </w:r>
      <w:r>
        <w:rPr>
          <w:rStyle w:val="FootnoteReference"/>
          <w:noProof/>
        </w:rPr>
        <w:footnoteReference w:id="6"/>
      </w:r>
      <w:r>
        <w:rPr>
          <w:noProof/>
        </w:rPr>
        <w:t>,</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7"/>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W dniu 29 marca 2017 r. Zjednoczone Królestwo złożyło notyfikację o zamiarze wystąpienia z Unii Europejskiej zgodnie z art. 50 Traktatu o Unii Europejskiej. Traktaty przestaną mieć zastosowanie do Zjednoczonego Królestwa od dnia wejścia w życie umowy o wystąpieniu lub, w przypadku jej braku, dwa lata po notyfikacji, tj. od dnia 30 marca 2019 r., chyba że Rada Europejska w porozumieniu ze Zjednoczonym Królestwem podejmie jednomyślnie decyzję o przedłużeniu tego okresu.</w:t>
      </w:r>
    </w:p>
    <w:p>
      <w:pPr>
        <w:pStyle w:val="ManualConsidrant"/>
        <w:rPr>
          <w:noProof/>
        </w:rPr>
      </w:pPr>
      <w:r>
        <w:t>(2)</w:t>
      </w:r>
      <w:r>
        <w:tab/>
      </w:r>
      <w:r>
        <w:rPr>
          <w:noProof/>
        </w:rPr>
        <w:t>Umowa o wystąpieniu zawiera postanowienia dotyczące stosowania prawa Unii do Zjednoczonego Królestwa i w Zjednoczonym Królestwie po dniu, w którym Traktaty przestaną mieć zastosowanie do Zjednoczonego Królestwa i w Zjednoczonym Królestwie. Jeżeli umowa ta wejdzie w życie, wspólna polityka rybołówstwa (WPRyb) będzie miała zastosowanie do Zjednoczonego Królestwa i w Zjednoczonym Królestwie w okresie przejściowym zgodnie z tą umową i przestanie obowiązywać z końcem tego okresu.</w:t>
      </w:r>
    </w:p>
    <w:p>
      <w:pPr>
        <w:pStyle w:val="ManualConsidrant"/>
        <w:rPr>
          <w:noProof/>
        </w:rPr>
      </w:pPr>
      <w:r>
        <w:t>(3)</w:t>
      </w:r>
      <w:r>
        <w:tab/>
      </w:r>
      <w:r>
        <w:rPr>
          <w:noProof/>
        </w:rPr>
        <w:t xml:space="preserve">Kiedy wspólna polityka rybołówstwa przestanie mieć zastosowanie do Zjednoczonego Królestwa, wody Zjednoczonego Królestwa (morze terytorialne i wyłączna strefa ekonomiczna) nie będą już stanowić części wód Unii. W związku z tym, w przypadku nieuporządkowanego wystąpienia statki Unii ryzykują utratę dostępu do tych wód i utratę uprawnień do połowów z dniem 30 marca 2019 r. Miałoby to znaczące skutki, jeśli chodzi o działalność połowową floty UE i korzyści ekonomiczne. </w:t>
      </w:r>
    </w:p>
    <w:p>
      <w:pPr>
        <w:pStyle w:val="ManualConsidrant"/>
        <w:rPr>
          <w:noProof/>
        </w:rPr>
      </w:pPr>
      <w:r>
        <w:t>(4)</w:t>
      </w:r>
      <w:r>
        <w:tab/>
      </w:r>
      <w:r>
        <w:rPr>
          <w:noProof/>
        </w:rPr>
        <w:t>Już w ramach rozporządzenia Parlamentu Europejskiego i Rady (UE) nr 508/2014</w:t>
      </w:r>
      <w:r>
        <w:rPr>
          <w:rStyle w:val="FootnoteReference"/>
          <w:noProof/>
        </w:rPr>
        <w:footnoteReference w:id="8"/>
      </w:r>
      <w:r>
        <w:rPr>
          <w:noProof/>
        </w:rPr>
        <w:t xml:space="preserve"> udostępnione zostały środki mogące służyć złagodzeniu niekorzystnych skutków </w:t>
      </w:r>
      <w:r>
        <w:rPr>
          <w:noProof/>
        </w:rPr>
        <w:lastRenderedPageBreak/>
        <w:t>gospodarczych wynikających z wystąpienia Zjednoczonego Królestwa z Unii w całym łańcuchu produkcji i wprowadzania do obrotu.</w:t>
      </w:r>
    </w:p>
    <w:p>
      <w:pPr>
        <w:pStyle w:val="ManualConsidrant"/>
        <w:rPr>
          <w:noProof/>
        </w:rPr>
      </w:pPr>
      <w:r>
        <w:t>(5)</w:t>
      </w:r>
      <w:r>
        <w:tab/>
      </w:r>
      <w:r>
        <w:rPr>
          <w:noProof/>
        </w:rPr>
        <w:t>W rozporządzeniu (UE) nr 508/2014 ustanowiono przepisy i ustalenia dotyczące przyznawania rekompensat finansowych rybakom i właścicielom statków rybackich w przypadku tymczasowego zaprzestania działalności połowowej. Kryteria umożliwiające tymczasowe zaprzestanie działalności nie pozwalają przyznawać rekompensat z powodu wystąpienia państwa członkowskiego z Unii i wynikającej z niego utraty dostępu do wód tego państwa i utraty uprawnień do połowów na tym obszarze.</w:t>
      </w:r>
    </w:p>
    <w:p>
      <w:pPr>
        <w:pStyle w:val="ManualConsidrant"/>
        <w:rPr>
          <w:noProof/>
        </w:rPr>
      </w:pPr>
      <w:r>
        <w:t>(6)</w:t>
      </w:r>
      <w:r>
        <w:tab/>
      </w:r>
      <w:r>
        <w:rPr>
          <w:noProof/>
        </w:rPr>
        <w:t>W uzupełnieniu środków dostępnych już na podstawie rozporządzenia (UE) nr 508/2014, w przypadku niekorzystnych skutków gospodarczych spowodowanych wystąpieniem państwa członkowskiego z Unii należy udzielić wsparcia publicznego z tytułu tymczasowego zaprzestania działalności połowowej rybakom i operatorom, którzy są w znacznym stopniu uzależnieni od dostępu do wód Zjednoczonego Królestwa.</w:t>
      </w:r>
    </w:p>
    <w:p>
      <w:pPr>
        <w:pStyle w:val="ManualConsidrant"/>
        <w:rPr>
          <w:noProof/>
        </w:rPr>
      </w:pPr>
      <w:r>
        <w:t>(7)</w:t>
      </w:r>
      <w:r>
        <w:tab/>
      </w:r>
      <w:r>
        <w:rPr>
          <w:noProof/>
        </w:rPr>
        <w:t xml:space="preserve">Należy zatem odpowiednio zmienić </w:t>
      </w:r>
      <w:r>
        <w:rPr>
          <w:rStyle w:val="num"/>
          <w:noProof/>
        </w:rPr>
        <w:t>rozporządzenie</w:t>
      </w:r>
      <w:r>
        <w:rPr>
          <w:noProof/>
        </w:rPr>
        <w:t xml:space="preserve"> (UE) nr 508/2014. </w:t>
      </w:r>
    </w:p>
    <w:p>
      <w:pPr>
        <w:pStyle w:val="ManualConsidrant"/>
        <w:rPr>
          <w:noProof/>
        </w:rPr>
      </w:pPr>
      <w:r>
        <w:t>(8)</w:t>
      </w:r>
      <w:r>
        <w:tab/>
      </w:r>
      <w:r>
        <w:rPr>
          <w:noProof/>
        </w:rPr>
        <w:t>Pozostałe środki można przeznaczyć na wszelkie działania łagodzące skutki wystąpienia Zjednoczonego Królestwa z Unii Europejskiej.</w:t>
      </w:r>
    </w:p>
    <w:p>
      <w:pPr>
        <w:pStyle w:val="ManualConsidrant"/>
        <w:rPr>
          <w:noProof/>
        </w:rPr>
      </w:pPr>
      <w:r>
        <w:t>(9)</w:t>
      </w:r>
      <w:r>
        <w:tab/>
      </w:r>
      <w:r>
        <w:rPr>
          <w:noProof/>
        </w:rPr>
        <w:t>W celu uproszczenia zainteresowane państwa członkowskie zachęca się do rozważenia połączenia zmian w swoim programie operacyjnym z kontekstem art. 22 ust. 4 rozporządzenia Parlamentu Europejskiego i Rady (UE) nr 1303/2013</w:t>
      </w:r>
      <w:r>
        <w:rPr>
          <w:rStyle w:val="FootnoteReference"/>
          <w:noProof/>
        </w:rPr>
        <w:footnoteReference w:id="9"/>
      </w:r>
      <w:r>
        <w:rPr>
          <w:noProof/>
        </w:rPr>
        <w:t>.</w:t>
      </w:r>
    </w:p>
    <w:p>
      <w:pPr>
        <w:pStyle w:val="ManualConsidrant"/>
        <w:rPr>
          <w:noProof/>
        </w:rPr>
      </w:pPr>
      <w:r>
        <w:t>(10)</w:t>
      </w:r>
      <w:r>
        <w:tab/>
      </w:r>
      <w:r>
        <w:rPr>
          <w:noProof/>
        </w:rPr>
        <w:t>Zgodnie z art. 4 ust. 3 rozporządzenia Rady (EWG, Euratom) nr 1182/71</w:t>
      </w:r>
      <w:r>
        <w:rPr>
          <w:rStyle w:val="FootnoteReference"/>
          <w:noProof/>
        </w:rPr>
        <w:footnoteReference w:id="10"/>
      </w:r>
      <w:r>
        <w:rPr>
          <w:noProof/>
        </w:rPr>
        <w:t xml:space="preserve"> ustanie zastosowania aktów, ustalone na określoną datę, przypada na moment upłynięcia ostatniej godziny dnia przypadającego na tę datę. Niniejsze rozporządzenie powinno być zatem stosowane od dnia następującego po dniu, w którym Traktaty przestają mieć zastosowanie do Zjednoczonego Królestwa i w Zjednoczonym Królestwie.</w:t>
      </w:r>
    </w:p>
    <w:p>
      <w:pPr>
        <w:pStyle w:val="ManualConsidrant"/>
        <w:rPr>
          <w:noProof/>
        </w:rPr>
      </w:pPr>
      <w:r>
        <w:t>(11)</w:t>
      </w:r>
      <w:r>
        <w:tab/>
      </w:r>
      <w:r>
        <w:rPr>
          <w:noProof/>
        </w:rPr>
        <w:t>Niniejsze rozporządzenie powinno wejść w życie w trybie pilnym i powinno być stosowane od dnia następującego po dniu, w którym Traktaty przestają mieć zastosowanie do Zjednoczonego Królestwa i w Zjednoczonym Królestwie w przypadku braku umowy o wystąpieniu zawartej ze Zjednoczonym Królestwem lub w przypadku wydłużenia dwuletniego okresu, o którym mowa w art. 50 ust. 3 Traktatu o Unii Europejskiej,</w:t>
      </w:r>
    </w:p>
    <w:p>
      <w:pPr>
        <w:pStyle w:val="Formuledadoption"/>
        <w:rPr>
          <w:noProof/>
        </w:rPr>
      </w:pPr>
      <w:r>
        <w:rPr>
          <w:noProof/>
        </w:rPr>
        <w:lastRenderedPageBreak/>
        <w:t>PRZYJMUJĄ NINIEJSZE ROZPORZĄDZENIE:</w:t>
      </w:r>
    </w:p>
    <w:p>
      <w:pPr>
        <w:pStyle w:val="Titrearticle"/>
        <w:rPr>
          <w:noProof/>
        </w:rPr>
      </w:pPr>
      <w:r>
        <w:rPr>
          <w:noProof/>
        </w:rPr>
        <w:t>Artykuł 1</w:t>
      </w:r>
    </w:p>
    <w:p>
      <w:pPr>
        <w:pStyle w:val="Titrearticle"/>
        <w:rPr>
          <w:noProof/>
        </w:rPr>
      </w:pPr>
      <w:r>
        <w:rPr>
          <w:noProof/>
        </w:rPr>
        <w:t>W rozporządzeniu (UE) nr 508/2014 wprowadza się następujące zmiany:</w:t>
      </w:r>
    </w:p>
    <w:p>
      <w:pPr>
        <w:pStyle w:val="Point1"/>
        <w:rPr>
          <w:noProof/>
        </w:rPr>
      </w:pPr>
      <w:r>
        <w:rPr>
          <w:noProof/>
        </w:rPr>
        <w:t>1)</w:t>
      </w:r>
      <w:r>
        <w:rPr>
          <w:noProof/>
        </w:rPr>
        <w:tab/>
        <w:t>w art. 13 dodaje się ust. 9 w brzmieniu:</w:t>
      </w:r>
    </w:p>
    <w:p>
      <w:pPr>
        <w:rPr>
          <w:noProof/>
        </w:rPr>
      </w:pPr>
      <w:r>
        <w:rPr>
          <w:noProof/>
        </w:rPr>
        <w:t>„9. Państwa członkowskie mają możliwość przekroczenia kwoty, o której mowa w ust. 2, i niepełnego wykorzystania kwot, o których mowa w ust. 3–6, w celu wsparcia środków określonych w art. 33 niniejszego rozporządzenia, jeżeli Zjednoczone Królestwo nie przedłuży praw dostępu do wód Zjednoczonego Królestwa dla statków rybackich Unii, które są w znacznym stopniu uzależnione od dostępu do tych wód na potrzeby swojej działalności połowowej, w przypadku gdy Traktaty przestaną mieć zastosowanie do Zjednoczonego Królestwa zgodnie z art. 50 ust. 3 Traktatu o Unii Europejskiej.”;</w:t>
      </w:r>
    </w:p>
    <w:p>
      <w:pPr>
        <w:pStyle w:val="Point1"/>
        <w:rPr>
          <w:noProof/>
        </w:rPr>
      </w:pPr>
      <w:r>
        <w:rPr>
          <w:noProof/>
        </w:rPr>
        <w:t>2)</w:t>
      </w:r>
      <w:r>
        <w:rPr>
          <w:noProof/>
        </w:rPr>
        <w:tab/>
        <w:t>w art. 25 dodaje się ust. 3a w brzmieniu:</w:t>
      </w:r>
    </w:p>
    <w:p>
      <w:pPr>
        <w:rPr>
          <w:noProof/>
          <w:highlight w:val="yellow"/>
        </w:rPr>
      </w:pPr>
      <w:r>
        <w:rPr>
          <w:noProof/>
        </w:rPr>
        <w:t>„3a. Przy ustalaniu, czy przekroczono progi określone w ust. 3 lit. a) i b), nie uwzględnia się łącznego wkładu finansowego z EFMR na rzecz środków, o których mowa w art. 33 niniejszego rozporządzenia, finansowanych w celu złagodzenia skutków wynikających z faktu, że Zjednoczone Królestwo nie przedłuży praw dostępu do wód Zjednoczonego Królestwa dla unijnych statków rybackich w znacznym stopniu uzależnionych od dostępu do tych wód na potrzeby swojej działalności połowowej, w przypadku gdy Traktaty przestaną mieć zastosowanie do Zjednoczonego Królestwa zgodnie z art. 50 ust. 3 Traktatu o Unii Europejskiej.”;</w:t>
      </w:r>
    </w:p>
    <w:p>
      <w:pPr>
        <w:pStyle w:val="Point1"/>
        <w:rPr>
          <w:noProof/>
        </w:rPr>
      </w:pPr>
      <w:r>
        <w:rPr>
          <w:noProof/>
        </w:rPr>
        <w:t>3)</w:t>
      </w:r>
      <w:r>
        <w:rPr>
          <w:noProof/>
        </w:rPr>
        <w:tab/>
      </w:r>
      <w:r>
        <w:rPr>
          <w:noProof/>
        </w:rPr>
        <w:tab/>
        <w:t>w art. 33 wprowadza się następujące zmiany:</w:t>
      </w:r>
    </w:p>
    <w:p>
      <w:pPr>
        <w:pStyle w:val="Point2"/>
        <w:rPr>
          <w:noProof/>
        </w:rPr>
      </w:pPr>
      <w:r>
        <w:rPr>
          <w:noProof/>
        </w:rPr>
        <w:t>a)</w:t>
      </w:r>
      <w:r>
        <w:rPr>
          <w:noProof/>
        </w:rPr>
        <w:tab/>
        <w:t>w ust. 1 dodaje się lit. d) w brzmieniu:</w:t>
      </w:r>
    </w:p>
    <w:p>
      <w:pPr>
        <w:rPr>
          <w:noProof/>
        </w:rPr>
      </w:pPr>
      <w:r>
        <w:rPr>
          <w:noProof/>
        </w:rPr>
        <w:t>„d) w celu złagodzenia skutków wynikających z faktu, że Zjednoczone Królestwo nie przedłuża praw dostępu do wód Zjednoczonego Królestwa dla unijnych statków rybackich, które są w znacznym stopniu uzależnione od dostępu do tych wód na potrzeby swojej działalności połowowej, w przypadku gdy Traktaty przestaną mieć zastosowanie do Zjednoczonego Królestwa zgodnie z art. 50 ust. 3 Traktatu o Unii Europejskiej.”;</w:t>
      </w:r>
    </w:p>
    <w:p>
      <w:pPr>
        <w:pStyle w:val="Point2"/>
        <w:rPr>
          <w:noProof/>
        </w:rPr>
      </w:pPr>
      <w:r>
        <w:rPr>
          <w:noProof/>
        </w:rPr>
        <w:t>b)</w:t>
      </w:r>
      <w:r>
        <w:rPr>
          <w:noProof/>
        </w:rPr>
        <w:tab/>
        <w:t>ust. 2 otrzymuje brzmienie:</w:t>
      </w:r>
    </w:p>
    <w:p>
      <w:pPr>
        <w:rPr>
          <w:noProof/>
        </w:rPr>
      </w:pPr>
      <w:r>
        <w:rPr>
          <w:noProof/>
        </w:rPr>
        <w:t>2. „Wsparcie, o którym mowa w ust. 1 lit. a), b) i c), może być udzielane na okres maksymalnie sześciu miesięcy na statek w latach 2014–2020, a wsparcie, o którym mowa w tym ustępie w lit. d) może być udzielane na okres maksymalnie dziewięciu miesięcy na statek w latach 2014–2020. Wydatki związane z ust. 1 lit. d) są kwalifikowalne od daty rozpoczęcia stosowania rozporządzenia Parlamentu Europejskiego i Rady (UE) [...]*.</w:t>
      </w:r>
    </w:p>
    <w:p>
      <w:pPr>
        <w:rPr>
          <w:noProof/>
        </w:rPr>
      </w:pPr>
      <w:r>
        <w:rPr>
          <w:noProof/>
        </w:rPr>
        <w:t>*Rozporządzenie Parlamentu Europejskiego i Rady (UE) [2019/...] z dnia [</w:t>
      </w:r>
      <w:r>
        <w:rPr>
          <w:i/>
          <w:noProof/>
        </w:rPr>
        <w:t>data</w:t>
      </w:r>
      <w:r>
        <w:rPr>
          <w:noProof/>
        </w:rPr>
        <w:t>] r. zmieniające rozporządzenie (UE) nr 508/2014 w odniesieniu do niektórych przepisów dotyczących Europejskiego Funduszu Morskiego i Rybackiego z powodu wystąpienia Zjednoczonego Królestwa z Unii (Dz.U. L z ..., s. ...).”</w:t>
      </w:r>
      <w:r>
        <w:rPr>
          <w:i/>
          <w:noProof/>
        </w:rPr>
        <w:t xml:space="preserve"> [numer i odniesienie do publikacji tego zmieniającego rozporządzenia wstawia Urząd Publikacji]</w:t>
      </w:r>
      <w:r>
        <w:rPr>
          <w:noProof/>
        </w:rPr>
        <w:t xml:space="preserve">. </w:t>
      </w:r>
    </w:p>
    <w:p>
      <w:pPr>
        <w:pStyle w:val="Titrearticle"/>
        <w:rPr>
          <w:noProof/>
        </w:rPr>
      </w:pPr>
      <w:r>
        <w:rPr>
          <w:noProof/>
        </w:rPr>
        <w:lastRenderedPageBreak/>
        <w:t>Artykuł 2</w:t>
      </w:r>
    </w:p>
    <w:p>
      <w:pPr>
        <w:pStyle w:val="Titrearticle"/>
        <w:rPr>
          <w:i w:val="0"/>
          <w:noProof/>
        </w:rPr>
      </w:pPr>
      <w:r>
        <w:rPr>
          <w:noProof/>
        </w:rPr>
        <w:t>Wejście w życie i stosowanie</w:t>
      </w:r>
    </w:p>
    <w:p>
      <w:pPr>
        <w:spacing w:after="240"/>
        <w:rPr>
          <w:noProof/>
        </w:rPr>
      </w:pPr>
      <w:r>
        <w:rPr>
          <w:noProof/>
        </w:rPr>
        <w:t>Niniejsze rozporządzenie wchodzi w życie następnego dnia po jego opublikowaniu w </w:t>
      </w:r>
      <w:r>
        <w:rPr>
          <w:i/>
          <w:noProof/>
        </w:rPr>
        <w:t>Dzienniku Urzędowym Unii Europejskiej</w:t>
      </w:r>
      <w:r>
        <w:rPr>
          <w:noProof/>
        </w:rPr>
        <w:t>.</w:t>
      </w:r>
    </w:p>
    <w:p>
      <w:pPr>
        <w:spacing w:after="240"/>
        <w:rPr>
          <w:noProof/>
        </w:rPr>
      </w:pPr>
      <w:r>
        <w:rPr>
          <w:noProof/>
        </w:rPr>
        <w:t>Niniejsze rozporządzenie stosuje się od dnia następującego po dniu, w którym Traktaty przestają mieć zastosowanie do Zjednoczonego Królestwa i w Zjednoczonym Królestwie na podstawie art. 50 ust. 3 Traktatu o Unii Europejskiej.</w:t>
      </w:r>
    </w:p>
    <w:p>
      <w:pPr>
        <w:spacing w:after="240"/>
        <w:rPr>
          <w:noProof/>
        </w:rPr>
      </w:pPr>
      <w:r>
        <w:rPr>
          <w:noProof/>
        </w:rPr>
        <w:t>Niniejsze rozporządzenie nie ma jednak zastosowania, jeżeli umowa o wystąpieniu zawarta ze Zjednoczonym Królestwem zgodnie z art. 50 ust. 2 Traktatu o Unii Europejskiej wejdzie w życie do dnia, o którym mowa w akapicie drugim niniejszego artykułu.</w:t>
      </w:r>
    </w:p>
    <w:p>
      <w:pPr>
        <w:spacing w:after="240"/>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jc w:val="both"/>
        <w:rPr>
          <w:sz w:val="20"/>
          <w:szCs w:val="20"/>
        </w:rPr>
      </w:pPr>
      <w:r>
        <w:rPr>
          <w:rStyle w:val="FootnoteReference"/>
        </w:rPr>
        <w:footnoteRef/>
      </w:r>
      <w:r>
        <w:tab/>
      </w:r>
      <w:r>
        <w:rPr>
          <w:sz w:val="20"/>
        </w:rPr>
        <w:t>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w:t>
      </w:r>
      <w:r>
        <w:rPr>
          <w:rStyle w:val="Emphasis"/>
          <w:sz w:val="20"/>
        </w:rPr>
        <w:t>Dz.U. L 354 z 28.12.2013, s. 22–61</w:t>
      </w:r>
      <w:r>
        <w:rPr>
          <w:sz w:val="20"/>
        </w:rPr>
        <w:t>).</w:t>
      </w:r>
    </w:p>
  </w:footnote>
  <w:footnote w:id="2">
    <w:p>
      <w:pPr>
        <w:pStyle w:val="FootnoteText"/>
      </w:pPr>
      <w:r>
        <w:rPr>
          <w:rStyle w:val="FootnoteReference"/>
        </w:rPr>
        <w:footnoteRef/>
      </w:r>
      <w:r>
        <w:tab/>
        <w:t>Belgia, Dania, Francja, Niemcy, Irlandia, Hiszpania, Szwecja i Niderlandy.</w:t>
      </w:r>
    </w:p>
  </w:footnote>
  <w:footnote w:id="3">
    <w:p>
      <w:pPr>
        <w:pStyle w:val="FootnoteText"/>
      </w:pPr>
      <w:r>
        <w:rPr>
          <w:rStyle w:val="FootnoteReference"/>
        </w:rPr>
        <w:footnoteRef/>
      </w:r>
      <w:r>
        <w:tab/>
        <w:t xml:space="preserve">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(Dz.U. L 149 z 20.5.2014, s. 1). </w:t>
      </w:r>
    </w:p>
    <w:p>
      <w:pPr>
        <w:pStyle w:val="FootnoteText"/>
      </w:pPr>
    </w:p>
  </w:footnote>
  <w:footnote w:id="4">
    <w:p>
      <w:pPr>
        <w:pStyle w:val="FootnoteText"/>
      </w:pPr>
      <w:r>
        <w:rPr>
          <w:rStyle w:val="FootnoteReference"/>
        </w:rPr>
        <w:footnoteRef/>
      </w:r>
      <w:r>
        <w:tab/>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(Dz.U. L 193 z 30.7.2018, s. 1).</w:t>
      </w:r>
    </w:p>
  </w:footnote>
  <w:footnote w:id="5">
    <w:p>
      <w:pPr>
        <w:pStyle w:val="FootnoteText"/>
        <w:rPr>
          <w:i/>
        </w:rPr>
      </w:pPr>
      <w:r>
        <w:rPr>
          <w:rStyle w:val="FootnoteReference"/>
        </w:rPr>
        <w:footnoteRef/>
      </w:r>
      <w:r>
        <w:tab/>
        <w:t xml:space="preserve">Rozporządzenie Rady (UE, Euratom) nr 1311/2013 z 2 grudnia 2013 r. określające wieloletnie ramy finansowe na lata 2014–2020 (Dz.U. L 347 z 20.12.2013, s. 884). </w:t>
      </w:r>
    </w:p>
    <w:p>
      <w:pPr>
        <w:pStyle w:val="FootnoteText"/>
      </w:pPr>
    </w:p>
  </w:footnote>
  <w:footnote w:id="6">
    <w:p>
      <w:pPr>
        <w:pStyle w:val="FootnoteText"/>
      </w:pPr>
      <w:r>
        <w:rPr>
          <w:rStyle w:val="FootnoteReference"/>
        </w:rPr>
        <w:footnoteRef/>
      </w:r>
      <w:r>
        <w:tab/>
      </w:r>
    </w:p>
    <w:p>
      <w:pPr>
        <w:pStyle w:val="FootnoteText"/>
        <w:ind w:left="0" w:firstLine="0"/>
      </w:pPr>
    </w:p>
  </w:footnote>
  <w:footnote w:id="7">
    <w:p>
      <w:pPr>
        <w:pStyle w:val="FootnoteText"/>
      </w:pPr>
      <w:r>
        <w:rPr>
          <w:rStyle w:val="FootnoteReference"/>
        </w:rPr>
        <w:footnoteRef/>
      </w:r>
      <w:r>
        <w:tab/>
      </w:r>
    </w:p>
  </w:footnote>
  <w:footnote w:id="8">
    <w:p>
      <w:pPr>
        <w:pStyle w:val="FootnoteText"/>
      </w:pPr>
      <w:r>
        <w:rPr>
          <w:rStyle w:val="FootnoteReference"/>
        </w:rPr>
        <w:footnoteRef/>
      </w:r>
      <w:r>
        <w:tab/>
        <w:t xml:space="preserve">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(Dz.U. L 149 z 20.5.2014, s. 1). </w:t>
      </w:r>
    </w:p>
  </w:footnote>
  <w:footnote w:id="9">
    <w:p>
      <w:pPr>
        <w:pStyle w:val="FootnoteText"/>
        <w:rPr>
          <w:i/>
        </w:rPr>
      </w:pPr>
      <w:r>
        <w:rPr>
          <w:rStyle w:val="FootnoteReference"/>
        </w:rPr>
        <w:footnoteRef/>
      </w:r>
      <w:r>
        <w:ta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Pr>
          <w:rStyle w:val="Emphasis"/>
        </w:rPr>
        <w:t>Dz.U. L 347 z 20.12.2013, s. 320</w:t>
      </w:r>
      <w:r>
        <w:t>).</w:t>
      </w:r>
    </w:p>
  </w:footnote>
  <w:footnote w:id="10">
    <w:p>
      <w:pPr>
        <w:pStyle w:val="FootnoteText"/>
      </w:pPr>
      <w:r>
        <w:rPr>
          <w:rStyle w:val="FootnoteReference"/>
        </w:rPr>
        <w:footnoteRef/>
      </w:r>
      <w:r>
        <w:tab/>
        <w:t>Rozporządzenie Rady (EWG, Euratom) nr 1182/71 z dnia 3 czerwca 1971 r. określające zasady mające zastosowanie do okresów, dat i terminów (Dz.U. L 124 z 8.6.1971,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BILLIET Stijn (MARE)">
    <w15:presenceInfo w15:providerId="None" w15:userId="BILLIET Stijn (MARE)"/>
  </w15:person>
  <w15:person w15:author="STOBIECKA-KUIK Agnieszka (SJ)">
    <w15:presenceInfo w15:providerId="None" w15:userId="STOBIECKA-KUIK Agnieszk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1: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B630EF0-14BB-401C-B60D-D6A2BD3A1C14"/>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zmieniaj\u261?ce rozporz\u261?dzenie (UE) nr 508/2014 w odniesieniu do niektórych przepisów dotycz\u261?cych Europejskiego Funduszu Morskiego i Rybackiego z powodu wyst\u261?pienia Zjednoczonego Królestwa z Unii"/>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0EA213-2C7F-48D9-8B5A-BEEE9E16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2740</Words>
  <Characters>17512</Characters>
  <Application>Microsoft Office Word</Application>
  <DocSecurity>0</DocSecurity>
  <Lines>291</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2019-01-21T10:47:00Z</cp:lastPrinted>
  <dcterms:created xsi:type="dcterms:W3CDTF">2019-01-29T07:53:00Z</dcterms:created>
  <dcterms:modified xsi:type="dcterms:W3CDTF">2019-01-29T17:01:00Z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