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20" w:rsidRDefault="00DE54EB" w:rsidP="00DE54EB">
      <w:pPr>
        <w:pStyle w:val="Pagedecouverture"/>
        <w:rPr>
          <w:noProof/>
          <w:lang w:val="de-DE" w:eastAsia="en-GB"/>
        </w:rPr>
      </w:pPr>
      <w:bookmarkStart w:id="0" w:name="LW_BM_COVERPAGE"/>
      <w:r>
        <w:rPr>
          <w:noProof/>
          <w:lang w:val="de-DE"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CD3E36AD-748A-4EAC-B89F-D1FA2354CB8B" style="width:450.6pt;height:428.4pt">
            <v:imagedata r:id="rId8" o:title=""/>
          </v:shape>
        </w:pict>
      </w:r>
    </w:p>
    <w:bookmarkEnd w:id="0"/>
    <w:p w:rsidR="00ED5820" w:rsidRDefault="00ED5820">
      <w:pPr>
        <w:pStyle w:val="Pagedecouverture"/>
        <w:rPr>
          <w:noProof/>
          <w:lang w:val="de-DE" w:eastAsia="en-GB"/>
        </w:rPr>
        <w:sectPr w:rsidR="00ED5820" w:rsidSect="00DE54EB">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ED5820" w:rsidRDefault="00DE54EB">
      <w:pPr>
        <w:keepNext/>
        <w:tabs>
          <w:tab w:val="left" w:pos="850"/>
        </w:tabs>
        <w:spacing w:before="360" w:after="120" w:line="240" w:lineRule="auto"/>
        <w:jc w:val="center"/>
        <w:outlineLvl w:val="0"/>
        <w:rPr>
          <w:rFonts w:ascii="Times New Roman" w:eastAsia="Times New Roman" w:hAnsi="Times New Roman" w:cs="Times New Roman"/>
          <w:b/>
          <w:smallCaps/>
          <w:noProof/>
          <w:sz w:val="24"/>
          <w:szCs w:val="20"/>
          <w:lang w:val="de-DE"/>
        </w:rPr>
      </w:pPr>
      <w:bookmarkStart w:id="1" w:name="_Toc359571817"/>
      <w:bookmarkStart w:id="2" w:name="_Toc359483856"/>
      <w:bookmarkStart w:id="3" w:name="_Toc359596073"/>
      <w:bookmarkStart w:id="4" w:name="_GoBack"/>
      <w:bookmarkEnd w:id="1"/>
      <w:bookmarkEnd w:id="4"/>
      <w:r>
        <w:rPr>
          <w:rFonts w:ascii="Times New Roman" w:hAnsi="Times New Roman"/>
          <w:b/>
          <w:smallCaps/>
          <w:noProof/>
          <w:sz w:val="24"/>
          <w:lang w:val="de-DE"/>
        </w:rPr>
        <w:lastRenderedPageBreak/>
        <w:t>Erster Ausblick zur Entwicklung der Luftreinheit</w:t>
      </w:r>
    </w:p>
    <w:p w:rsidR="00ED5820" w:rsidRDefault="00DE54EB">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lang w:val="de-DE"/>
        </w:rPr>
      </w:pPr>
      <w:r>
        <w:rPr>
          <w:rFonts w:ascii="Times New Roman" w:hAnsi="Times New Roman"/>
          <w:b/>
          <w:smallCaps/>
          <w:noProof/>
          <w:sz w:val="24"/>
          <w:lang w:val="de-DE"/>
        </w:rPr>
        <w:t xml:space="preserve"> Einleitung</w:t>
      </w:r>
      <w:bookmarkEnd w:id="2"/>
      <w:bookmarkEnd w:id="3"/>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Die Luftverschmutzung stellt in der EU immer noch ein gravierendes Problem für die</w:t>
      </w:r>
      <w:r>
        <w:rPr>
          <w:rFonts w:ascii="Times New Roman" w:hAnsi="Times New Roman"/>
          <w:noProof/>
          <w:sz w:val="24"/>
          <w:lang w:val="de-DE"/>
        </w:rPr>
        <w:t xml:space="preserve"> Umwelt und für die Gesundheit der Bürger dar. Viele europäische Städte leiden unter schlechter Luftqualität, und die in der Richtlinie 2008/50/EG</w:t>
      </w:r>
      <w:r>
        <w:rPr>
          <w:rFonts w:ascii="Times New Roman" w:hAnsi="Times New Roman"/>
          <w:noProof/>
          <w:sz w:val="24"/>
          <w:vertAlign w:val="superscript"/>
          <w:lang w:val="de-DE"/>
        </w:rPr>
        <w:footnoteReference w:id="1"/>
      </w:r>
      <w:r>
        <w:rPr>
          <w:rFonts w:ascii="Times New Roman" w:hAnsi="Times New Roman"/>
          <w:noProof/>
          <w:sz w:val="24"/>
          <w:lang w:val="de-DE"/>
        </w:rPr>
        <w:t xml:space="preserve"> über die Luftqualität festgelegten Grenzwerte sowie in noch höherem Maße die von der Weltgesundheitsorganisa</w:t>
      </w:r>
      <w:r>
        <w:rPr>
          <w:rFonts w:ascii="Times New Roman" w:hAnsi="Times New Roman"/>
          <w:noProof/>
          <w:sz w:val="24"/>
          <w:lang w:val="de-DE"/>
        </w:rPr>
        <w:t>tion (WHO) empfohlenen Richtwerte werden überschritten. Nach Schätzungen der Europäischen Umweltagentur (EUA) waren im Jahr 2015 in der EU etwa 400 000 vorzeitige Todesfälle auf Luftverschmutzung zurückzuführen.</w:t>
      </w:r>
      <w:r>
        <w:rPr>
          <w:rFonts w:ascii="Times New Roman" w:hAnsi="Times New Roman"/>
          <w:noProof/>
          <w:sz w:val="24"/>
          <w:vertAlign w:val="superscript"/>
          <w:lang w:val="de-DE"/>
        </w:rPr>
        <w:footnoteReference w:id="2"/>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Die Überprüfung der Luftqualitätspolitik de</w:t>
      </w:r>
      <w:r>
        <w:rPr>
          <w:rFonts w:ascii="Times New Roman" w:hAnsi="Times New Roman"/>
          <w:noProof/>
          <w:sz w:val="24"/>
          <w:lang w:val="de-DE"/>
        </w:rPr>
        <w:t>r EU in den Jahren 2011-2013 führte im Dezember 2013 zur Verabschiedung des Maßnahmenpakets für Luftqualität.</w:t>
      </w:r>
      <w:r>
        <w:rPr>
          <w:rFonts w:ascii="Times New Roman" w:hAnsi="Times New Roman"/>
          <w:noProof/>
          <w:sz w:val="24"/>
          <w:vertAlign w:val="superscript"/>
          <w:lang w:val="de-DE"/>
        </w:rPr>
        <w:footnoteReference w:id="3"/>
      </w:r>
      <w:r>
        <w:rPr>
          <w:rFonts w:ascii="Times New Roman" w:hAnsi="Times New Roman"/>
          <w:noProof/>
          <w:sz w:val="24"/>
          <w:lang w:val="de-DE"/>
        </w:rPr>
        <w:t xml:space="preserve"> Dieses Paket umfasst eine Mitteilung über das Programm „Saubere Luft für Europa“</w:t>
      </w:r>
      <w:r>
        <w:rPr>
          <w:rFonts w:ascii="Times New Roman" w:hAnsi="Times New Roman"/>
          <w:noProof/>
          <w:sz w:val="24"/>
          <w:vertAlign w:val="superscript"/>
          <w:lang w:val="de-DE"/>
        </w:rPr>
        <w:footnoteReference w:id="4"/>
      </w:r>
      <w:r>
        <w:rPr>
          <w:rFonts w:ascii="Times New Roman" w:hAnsi="Times New Roman"/>
          <w:noProof/>
          <w:sz w:val="24"/>
          <w:lang w:val="de-DE"/>
        </w:rPr>
        <w:t xml:space="preserve"> sowie drei Legislativvorschläge – zur Begrenzung der Emissionen</w:t>
      </w:r>
      <w:r>
        <w:rPr>
          <w:rFonts w:ascii="Times New Roman" w:hAnsi="Times New Roman"/>
          <w:noProof/>
          <w:sz w:val="24"/>
          <w:lang w:val="de-DE"/>
        </w:rPr>
        <w:t xml:space="preserve"> aus mittelgroßen Feuerungsanlagen, angenommen als Richtlinie (EU) 2015/2193 („Richtlinie über mittelgroße Feuerungsanlagen“),</w:t>
      </w:r>
      <w:r>
        <w:rPr>
          <w:rFonts w:ascii="Times New Roman" w:hAnsi="Times New Roman"/>
          <w:noProof/>
          <w:sz w:val="24"/>
          <w:vertAlign w:val="superscript"/>
          <w:lang w:val="de-DE"/>
        </w:rPr>
        <w:footnoteReference w:id="5"/>
      </w:r>
      <w:r>
        <w:rPr>
          <w:rFonts w:ascii="Times New Roman" w:hAnsi="Times New Roman"/>
          <w:noProof/>
          <w:sz w:val="24"/>
          <w:lang w:val="de-DE"/>
        </w:rPr>
        <w:t xml:space="preserve"> zur Ratifizierung der im Jahr 2012 angenommenen Änderung des Göteborg-Protokolls zur Festsetzung von Emissionsreduktionen für 20</w:t>
      </w:r>
      <w:r>
        <w:rPr>
          <w:rFonts w:ascii="Times New Roman" w:hAnsi="Times New Roman"/>
          <w:noProof/>
          <w:sz w:val="24"/>
          <w:lang w:val="de-DE"/>
        </w:rPr>
        <w:t>20, angenommen als Beschluss (EU) 2017/1757 des Rates,</w:t>
      </w:r>
      <w:r>
        <w:rPr>
          <w:rFonts w:ascii="Times New Roman" w:hAnsi="Times New Roman"/>
          <w:noProof/>
          <w:sz w:val="24"/>
          <w:vertAlign w:val="superscript"/>
          <w:lang w:val="de-DE"/>
        </w:rPr>
        <w:footnoteReference w:id="6"/>
      </w:r>
      <w:r>
        <w:rPr>
          <w:rFonts w:ascii="Times New Roman" w:hAnsi="Times New Roman"/>
          <w:noProof/>
          <w:sz w:val="24"/>
          <w:lang w:val="de-DE"/>
        </w:rPr>
        <w:t xml:space="preserve"> und zur Festsetzung neuer nationaler Emissionsreduktionsverpflichtungen für 2030 in einer neuen Richtlinie über die Reduktion der Emissionen bestimmter Luftschadstoffe, angenommen als Richtlinie (EU) </w:t>
      </w:r>
      <w:r>
        <w:rPr>
          <w:rFonts w:ascii="Times New Roman" w:hAnsi="Times New Roman"/>
          <w:noProof/>
          <w:sz w:val="24"/>
          <w:lang w:val="de-DE"/>
        </w:rPr>
        <w:t>2016/2284 („Richtlinie über nationale Emissionshöchstmengen“)</w:t>
      </w:r>
      <w:r>
        <w:rPr>
          <w:rFonts w:ascii="Times New Roman" w:hAnsi="Times New Roman"/>
          <w:noProof/>
          <w:sz w:val="24"/>
          <w:vertAlign w:val="superscript"/>
          <w:lang w:val="de-DE"/>
        </w:rPr>
        <w:footnoteReference w:id="7"/>
      </w:r>
      <w:r>
        <w:rPr>
          <w:rFonts w:ascii="Times New Roman" w:hAnsi="Times New Roman"/>
          <w:noProof/>
          <w:sz w:val="24"/>
          <w:lang w:val="de-DE"/>
        </w:rPr>
        <w:t xml:space="preserve">. </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Im Rahmen des Programms für saubere Luft von 2013 wurde empfohlen, regelmäßig Berichte über die Luftqualität in Europa unter Berücksichtigung der Aussichten für Emissionssenkungen und der For</w:t>
      </w:r>
      <w:r>
        <w:rPr>
          <w:rFonts w:ascii="Times New Roman" w:hAnsi="Times New Roman"/>
          <w:noProof/>
          <w:sz w:val="24"/>
          <w:lang w:val="de-DE"/>
        </w:rPr>
        <w:t xml:space="preserve">tschritte bei der Erreichung der EU-Ziele zu erstellen. Mit Annahme der Richtlinie über nationale Emissionshöchstmengen im Dezember 2016 wurde die analytische Grundlage aktualisiert. Mit dieser ersten Ausgabe des Ausblicks zur Entwicklung der Luftreinheit </w:t>
      </w:r>
      <w:r>
        <w:rPr>
          <w:rFonts w:ascii="Times New Roman" w:hAnsi="Times New Roman"/>
          <w:noProof/>
          <w:sz w:val="24"/>
          <w:lang w:val="de-DE"/>
        </w:rPr>
        <w:t>soll dieser Empfehlung Rechnung getragen und ein Rahmen für die Erarbeitung der nationalen Luftreinhalteprogramme bereitgestellt werden, die die Mitgliedstaaten nach der Richtlinie über nationale Emissionshöchstmengen bis zum 1. April 2019 vorlegen müssen.</w:t>
      </w:r>
    </w:p>
    <w:p w:rsidR="00ED5820" w:rsidRDefault="00DE54EB">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lang w:val="de-DE"/>
        </w:rPr>
      </w:pPr>
      <w:r>
        <w:rPr>
          <w:rFonts w:ascii="Times New Roman" w:hAnsi="Times New Roman"/>
          <w:b/>
          <w:smallCaps/>
          <w:noProof/>
          <w:sz w:val="24"/>
          <w:lang w:val="de-DE"/>
        </w:rPr>
        <w:t>Die Luftqualität in der EU und Fortschritte bei der Einhaltung der Grenzwerte bis 2020</w:t>
      </w:r>
    </w:p>
    <w:p w:rsidR="00ED5820" w:rsidRDefault="00DE54EB">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de-DE"/>
        </w:rPr>
      </w:pPr>
      <w:r>
        <w:rPr>
          <w:rFonts w:ascii="Times New Roman" w:hAnsi="Times New Roman"/>
          <w:b/>
          <w:noProof/>
          <w:sz w:val="24"/>
          <w:lang w:val="de-DE"/>
        </w:rPr>
        <w:t>Bestandsaufnahme im Hinblick auf Emissionen in die Luft und auf die Luftqualität</w:t>
      </w:r>
    </w:p>
    <w:p w:rsidR="00ED5820" w:rsidRDefault="00DE54EB">
      <w:pPr>
        <w:spacing w:before="120" w:after="120" w:line="240" w:lineRule="auto"/>
        <w:jc w:val="both"/>
        <w:rPr>
          <w:rFonts w:ascii="Times New Roman" w:hAnsi="Times New Roman"/>
          <w:noProof/>
          <w:sz w:val="24"/>
          <w:lang w:val="de-DE"/>
        </w:rPr>
      </w:pPr>
      <w:r>
        <w:rPr>
          <w:rFonts w:ascii="Times New Roman" w:hAnsi="Times New Roman"/>
          <w:noProof/>
          <w:sz w:val="24"/>
          <w:lang w:val="de-DE"/>
        </w:rPr>
        <w:t xml:space="preserve">Die positive Entwicklung bei der Reduktion der wichtigsten Luftschadstoffe in der EU </w:t>
      </w:r>
      <w:r>
        <w:rPr>
          <w:rFonts w:ascii="Times New Roman" w:hAnsi="Times New Roman"/>
          <w:noProof/>
          <w:sz w:val="24"/>
          <w:lang w:val="de-DE"/>
        </w:rPr>
        <w:t>hat sich ebenso fortgesetzt (siehe nachstehende Abbildung 1) wie die Entkopplung vom Wirtschaftswachstum. Im Zeitraum 2000-2015 nahm das Gesamt-BIP für die ganze EU um 32 % zu, während die Emissionen der wichtigsten Luftschadstoffe um 10 % (Ammoniak – NH</w:t>
      </w:r>
      <w:r>
        <w:rPr>
          <w:rFonts w:ascii="Times New Roman" w:hAnsi="Times New Roman"/>
          <w:noProof/>
          <w:sz w:val="24"/>
          <w:vertAlign w:val="subscript"/>
          <w:lang w:val="de-DE"/>
        </w:rPr>
        <w:t>3</w:t>
      </w:r>
      <w:r>
        <w:rPr>
          <w:rFonts w:ascii="Times New Roman" w:hAnsi="Times New Roman"/>
          <w:noProof/>
          <w:sz w:val="24"/>
          <w:lang w:val="de-DE"/>
        </w:rPr>
        <w:t>)</w:t>
      </w:r>
      <w:r>
        <w:rPr>
          <w:rFonts w:ascii="Times New Roman" w:hAnsi="Times New Roman"/>
          <w:noProof/>
          <w:sz w:val="24"/>
          <w:lang w:val="de-DE"/>
        </w:rPr>
        <w:t xml:space="preserve"> bis 70 % (Schwefeloxide – SO</w:t>
      </w:r>
      <w:r>
        <w:rPr>
          <w:rFonts w:ascii="Times New Roman" w:hAnsi="Times New Roman"/>
          <w:noProof/>
          <w:sz w:val="24"/>
          <w:vertAlign w:val="subscript"/>
          <w:lang w:val="de-DE"/>
        </w:rPr>
        <w:t>x</w:t>
      </w:r>
      <w:r>
        <w:rPr>
          <w:rFonts w:ascii="Times New Roman" w:hAnsi="Times New Roman"/>
          <w:noProof/>
          <w:sz w:val="24"/>
          <w:lang w:val="de-DE"/>
        </w:rPr>
        <w:t>) zurückgingen.</w:t>
      </w:r>
    </w:p>
    <w:p w:rsidR="00ED5820" w:rsidRDefault="00DE54EB">
      <w:pPr>
        <w:spacing w:before="120" w:after="120" w:line="240" w:lineRule="auto"/>
        <w:jc w:val="both"/>
        <w:rPr>
          <w:rFonts w:ascii="Times New Roman" w:eastAsia="Times New Roman" w:hAnsi="Times New Roman" w:cs="Times New Roman"/>
          <w:b/>
          <w:noProof/>
          <w:lang w:val="de-DE"/>
        </w:rPr>
      </w:pPr>
      <w:r>
        <w:rPr>
          <w:rFonts w:ascii="Times New Roman" w:hAnsi="Times New Roman"/>
          <w:b/>
          <w:noProof/>
          <w:lang w:val="de-DE"/>
        </w:rPr>
        <w:t>Abbildung 1: Entwicklung der EU-28-Emissionen in den Jahren 2000-2015 (als % der Werte von 2000) [Quelle: EUA]</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noProof/>
          <w:lang w:val="en-GB" w:eastAsia="en-GB"/>
        </w:rPr>
        <w:drawing>
          <wp:inline distT="0" distB="0" distL="0" distR="0">
            <wp:extent cx="5669102" cy="2674330"/>
            <wp:effectExtent l="0" t="0" r="825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1358" cy="2675394"/>
                    </a:xfrm>
                    <a:prstGeom prst="rect">
                      <a:avLst/>
                    </a:prstGeom>
                    <a:noFill/>
                    <a:ln>
                      <a:noFill/>
                    </a:ln>
                  </pic:spPr>
                </pic:pic>
              </a:graphicData>
            </a:graphic>
          </wp:inline>
        </w:drawing>
      </w:r>
      <w:r>
        <w:rPr>
          <w:noProof/>
          <w:lang w:val="de-DE"/>
        </w:rPr>
        <w:t xml:space="preserve"> </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Die EU-Grenzwerte für die Luftqualität werden jedoch häufig noch überschritten. Im Jahr 2015 war</w:t>
      </w:r>
      <w:r>
        <w:rPr>
          <w:rFonts w:ascii="Times New Roman" w:hAnsi="Times New Roman"/>
          <w:noProof/>
          <w:sz w:val="24"/>
          <w:lang w:val="de-DE"/>
        </w:rPr>
        <w:t>en bis zu 20 % der städtischen Bevölkerung in den 28 EU-Mitgliedstaaten Feinstaubbelastungen (PM</w:t>
      </w:r>
      <w:r>
        <w:rPr>
          <w:rFonts w:ascii="Times New Roman" w:hAnsi="Times New Roman"/>
          <w:noProof/>
          <w:sz w:val="24"/>
          <w:vertAlign w:val="subscript"/>
          <w:lang w:val="de-DE"/>
        </w:rPr>
        <w:t>10</w:t>
      </w:r>
      <w:r>
        <w:rPr>
          <w:rFonts w:ascii="Times New Roman" w:hAnsi="Times New Roman"/>
          <w:noProof/>
          <w:sz w:val="24"/>
          <w:lang w:val="de-DE"/>
        </w:rPr>
        <w:t>) ausgesetzt, die über dem EU-Tagesgrenzwert lagen. In Bezug auf Feinstaub mit kleineren Partikeln (PM</w:t>
      </w:r>
      <w:r>
        <w:rPr>
          <w:rFonts w:ascii="Times New Roman" w:hAnsi="Times New Roman"/>
          <w:noProof/>
          <w:sz w:val="24"/>
          <w:vertAlign w:val="subscript"/>
          <w:lang w:val="de-DE"/>
        </w:rPr>
        <w:t>2,5</w:t>
      </w:r>
      <w:r>
        <w:rPr>
          <w:rFonts w:ascii="Times New Roman" w:hAnsi="Times New Roman"/>
          <w:noProof/>
          <w:sz w:val="24"/>
          <w:lang w:val="de-DE"/>
        </w:rPr>
        <w:t>) waren bis zu 8 % der städtischen Bevölkerung Konzen</w:t>
      </w:r>
      <w:r>
        <w:rPr>
          <w:rFonts w:ascii="Times New Roman" w:hAnsi="Times New Roman"/>
          <w:noProof/>
          <w:sz w:val="24"/>
          <w:lang w:val="de-DE"/>
        </w:rPr>
        <w:t>trationen ausgesetzt, die den EU-Grenzwert von 25 µg/m</w:t>
      </w:r>
      <w:r>
        <w:rPr>
          <w:rFonts w:ascii="Times New Roman" w:hAnsi="Times New Roman"/>
          <w:noProof/>
          <w:sz w:val="24"/>
          <w:vertAlign w:val="superscript"/>
          <w:lang w:val="de-DE"/>
        </w:rPr>
        <w:t>3</w:t>
      </w:r>
      <w:r>
        <w:rPr>
          <w:rFonts w:ascii="Times New Roman" w:hAnsi="Times New Roman"/>
          <w:noProof/>
          <w:sz w:val="24"/>
          <w:lang w:val="de-DE"/>
        </w:rPr>
        <w:t xml:space="preserve"> überschritten, und über 82 % waren durch Konzentrationen belastet, die über dem (allerdings deutlich strengeren) WHO-Richtwert von 10 µg/m</w:t>
      </w:r>
      <w:r>
        <w:rPr>
          <w:rFonts w:ascii="Times New Roman" w:hAnsi="Times New Roman"/>
          <w:noProof/>
          <w:sz w:val="24"/>
          <w:vertAlign w:val="superscript"/>
          <w:lang w:val="de-DE"/>
        </w:rPr>
        <w:t>3</w:t>
      </w:r>
      <w:r>
        <w:rPr>
          <w:rFonts w:ascii="Times New Roman" w:hAnsi="Times New Roman"/>
          <w:noProof/>
          <w:sz w:val="24"/>
          <w:lang w:val="de-DE"/>
        </w:rPr>
        <w:t xml:space="preserve"> lagen.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Der Jahresgrenzwert für Stickstoffdioxid (NO</w:t>
      </w:r>
      <w:r>
        <w:rPr>
          <w:rFonts w:ascii="Times New Roman" w:hAnsi="Times New Roman"/>
          <w:noProof/>
          <w:sz w:val="24"/>
          <w:vertAlign w:val="subscript"/>
          <w:lang w:val="de-DE"/>
        </w:rPr>
        <w:t>2</w:t>
      </w:r>
      <w:r>
        <w:rPr>
          <w:rFonts w:ascii="Times New Roman" w:hAnsi="Times New Roman"/>
          <w:noProof/>
          <w:sz w:val="24"/>
          <w:lang w:val="de-DE"/>
        </w:rPr>
        <w:t>) wird i</w:t>
      </w:r>
      <w:r>
        <w:rPr>
          <w:rFonts w:ascii="Times New Roman" w:hAnsi="Times New Roman"/>
          <w:noProof/>
          <w:sz w:val="24"/>
          <w:lang w:val="de-DE"/>
        </w:rPr>
        <w:t>n ganz Europa nach wie vor häufig überschritten. In 22 Mitgliedstaaten waren Konzentrationen über dem Grenzwert zu verzeichnen. (Der EU-Grenzwert und der WHO-Richtwert sind in diesem Fall identisch.) Betroffen waren bis zu 9 % der städtischen Bevölkerung.</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 xml:space="preserve">18 Mitgliedstaaten maßen Ozonkonzentrationen über dem EU-Zielwert – bis zu 30 % der städtischen EU-Bevölkerung lebten in Gebieten, in denen dieser Zielwert nicht eingehalten wurde, und der strengere WHO-Wert wurde sogar bei über 95 % der EU-Bevölkerung in </w:t>
      </w:r>
      <w:r>
        <w:rPr>
          <w:rFonts w:ascii="Times New Roman" w:hAnsi="Times New Roman"/>
          <w:noProof/>
          <w:sz w:val="24"/>
          <w:lang w:val="de-DE"/>
        </w:rPr>
        <w:t>Stadtgebieten überschritten.</w:t>
      </w:r>
      <w:r>
        <w:rPr>
          <w:rFonts w:ascii="Times New Roman" w:eastAsia="Times New Roman" w:hAnsi="Times New Roman" w:cs="Times New Roman"/>
          <w:noProof/>
          <w:sz w:val="24"/>
          <w:szCs w:val="20"/>
          <w:vertAlign w:val="superscript"/>
          <w:lang w:val="de-DE" w:eastAsia="en-GB"/>
        </w:rPr>
        <w:footnoteReference w:id="8"/>
      </w:r>
    </w:p>
    <w:p w:rsidR="00ED5820" w:rsidRDefault="00DE54EB">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de-DE"/>
        </w:rPr>
      </w:pPr>
      <w:r>
        <w:rPr>
          <w:rFonts w:ascii="Times New Roman" w:hAnsi="Times New Roman"/>
          <w:b/>
          <w:noProof/>
          <w:sz w:val="24"/>
          <w:lang w:val="de-DE"/>
        </w:rPr>
        <w:t>Fortschritte bei der Einhaltung der Grenzwerte</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Emissionen von Stickstoffoxiden (NO</w:t>
      </w:r>
      <w:r>
        <w:rPr>
          <w:rFonts w:ascii="Times New Roman" w:hAnsi="Times New Roman"/>
          <w:noProof/>
          <w:sz w:val="24"/>
          <w:vertAlign w:val="subscript"/>
          <w:lang w:val="de-DE"/>
        </w:rPr>
        <w:t>x</w:t>
      </w:r>
      <w:r>
        <w:rPr>
          <w:rFonts w:ascii="Times New Roman" w:hAnsi="Times New Roman"/>
          <w:noProof/>
          <w:sz w:val="24"/>
          <w:lang w:val="de-DE"/>
        </w:rPr>
        <w:t xml:space="preserve">) aus Personenkraftwagen und leichten Nutzfahrzeugen mit Dieselmotor, die durchgängig deutlich über den in den Typgenehmigungen festgelegten </w:t>
      </w:r>
      <w:r>
        <w:rPr>
          <w:rFonts w:ascii="Times New Roman" w:hAnsi="Times New Roman"/>
          <w:noProof/>
          <w:sz w:val="24"/>
          <w:lang w:val="de-DE"/>
        </w:rPr>
        <w:t>Grenzwerten liegen, sind ein wichtiger Faktor für die Nichteinhaltung des NO</w:t>
      </w:r>
      <w:r>
        <w:rPr>
          <w:rFonts w:ascii="Times New Roman" w:hAnsi="Times New Roman"/>
          <w:noProof/>
          <w:sz w:val="24"/>
          <w:vertAlign w:val="subscript"/>
          <w:lang w:val="de-DE"/>
        </w:rPr>
        <w:t>2</w:t>
      </w:r>
      <w:r>
        <w:rPr>
          <w:rFonts w:ascii="Times New Roman" w:hAnsi="Times New Roman"/>
          <w:noProof/>
          <w:sz w:val="24"/>
          <w:lang w:val="de-DE"/>
        </w:rPr>
        <w:t>-Grenzwerts. Das neue EU-weite Prüfverfahren, das 2017 angenommen wurde und die Emissionen im praktischen Fahrbetrieb dieser Fahrzeuge realistisch wiedergibt,</w:t>
      </w:r>
      <w:r>
        <w:rPr>
          <w:rFonts w:ascii="Times New Roman" w:hAnsi="Times New Roman"/>
          <w:noProof/>
          <w:sz w:val="24"/>
          <w:vertAlign w:val="superscript"/>
          <w:lang w:val="de-DE"/>
        </w:rPr>
        <w:footnoteReference w:id="9"/>
      </w:r>
      <w:r>
        <w:rPr>
          <w:rFonts w:ascii="Times New Roman" w:hAnsi="Times New Roman"/>
          <w:noProof/>
          <w:sz w:val="24"/>
          <w:lang w:val="de-DE"/>
        </w:rPr>
        <w:t xml:space="preserve"> wird ebenso wie der</w:t>
      </w:r>
      <w:r>
        <w:rPr>
          <w:rFonts w:ascii="Times New Roman" w:hAnsi="Times New Roman"/>
          <w:noProof/>
          <w:sz w:val="24"/>
          <w:lang w:val="de-DE"/>
        </w:rPr>
        <w:t xml:space="preserve"> Vorschlag der Kommission von 2016 für ein überarbeitetes Typgenehmigungssystem</w:t>
      </w:r>
      <w:r>
        <w:rPr>
          <w:rFonts w:ascii="Times New Roman" w:hAnsi="Times New Roman"/>
          <w:noProof/>
          <w:sz w:val="24"/>
          <w:vertAlign w:val="superscript"/>
          <w:lang w:val="de-DE"/>
        </w:rPr>
        <w:footnoteReference w:id="10"/>
      </w:r>
      <w:r>
        <w:rPr>
          <w:rFonts w:ascii="Times New Roman" w:hAnsi="Times New Roman"/>
          <w:noProof/>
          <w:sz w:val="24"/>
          <w:lang w:val="de-DE"/>
        </w:rPr>
        <w:t xml:space="preserve"> zu Fortschritten in diesem Bereich beitragen.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Maßnahmen zur Förderung der Einhaltung des PM</w:t>
      </w:r>
      <w:r>
        <w:rPr>
          <w:rFonts w:ascii="Times New Roman" w:hAnsi="Times New Roman"/>
          <w:noProof/>
          <w:sz w:val="24"/>
          <w:vertAlign w:val="subscript"/>
          <w:lang w:val="de-DE"/>
        </w:rPr>
        <w:t>10</w:t>
      </w:r>
      <w:r>
        <w:rPr>
          <w:rFonts w:ascii="Times New Roman" w:hAnsi="Times New Roman"/>
          <w:noProof/>
          <w:sz w:val="24"/>
          <w:lang w:val="de-DE"/>
        </w:rPr>
        <w:t>-Grenzwerts umfassen die schrittweise Einführung von Partikelfiltern zur Einhaltun</w:t>
      </w:r>
      <w:r>
        <w:rPr>
          <w:rFonts w:ascii="Times New Roman" w:hAnsi="Times New Roman"/>
          <w:noProof/>
          <w:sz w:val="24"/>
          <w:lang w:val="de-DE"/>
        </w:rPr>
        <w:t>g der PM-Emissionsgrenzwerte für Personenkraftwagen (nach den Normen Euro 5 und 6</w:t>
      </w:r>
      <w:r>
        <w:rPr>
          <w:rFonts w:ascii="Times New Roman" w:hAnsi="Times New Roman"/>
          <w:noProof/>
          <w:sz w:val="24"/>
          <w:vertAlign w:val="superscript"/>
          <w:lang w:val="de-DE"/>
        </w:rPr>
        <w:footnoteReference w:id="11"/>
      </w:r>
      <w:r>
        <w:rPr>
          <w:rFonts w:ascii="Times New Roman" w:hAnsi="Times New Roman"/>
          <w:noProof/>
          <w:sz w:val="24"/>
          <w:lang w:val="de-DE"/>
        </w:rPr>
        <w:t>) sowie die Emissionsminderung bei Feuerungsanlagen gemäß der Richtlinie über Industrieemissionen</w:t>
      </w:r>
      <w:r>
        <w:rPr>
          <w:rFonts w:ascii="Times New Roman" w:hAnsi="Times New Roman"/>
          <w:noProof/>
          <w:sz w:val="24"/>
          <w:vertAlign w:val="superscript"/>
          <w:lang w:val="de-DE"/>
        </w:rPr>
        <w:footnoteReference w:id="12"/>
      </w:r>
      <w:r>
        <w:rPr>
          <w:rFonts w:ascii="Times New Roman" w:hAnsi="Times New Roman"/>
          <w:noProof/>
          <w:sz w:val="24"/>
          <w:lang w:val="de-DE"/>
        </w:rPr>
        <w:t xml:space="preserve"> und der Richtlinie über mittelgroße Feuerungsanlagen. Obwohl die Anforderun</w:t>
      </w:r>
      <w:r>
        <w:rPr>
          <w:rFonts w:ascii="Times New Roman" w:hAnsi="Times New Roman"/>
          <w:noProof/>
          <w:sz w:val="24"/>
          <w:lang w:val="de-DE"/>
        </w:rPr>
        <w:t>gen an die umweltgerechte Gestaltung von Festbrennstofföfen</w:t>
      </w:r>
      <w:r>
        <w:rPr>
          <w:rFonts w:ascii="Times New Roman" w:hAnsi="Times New Roman"/>
          <w:noProof/>
          <w:sz w:val="24"/>
          <w:vertAlign w:val="superscript"/>
          <w:lang w:val="de-DE"/>
        </w:rPr>
        <w:footnoteReference w:id="13"/>
      </w:r>
      <w:r>
        <w:rPr>
          <w:rFonts w:ascii="Times New Roman" w:hAnsi="Times New Roman"/>
          <w:noProof/>
          <w:sz w:val="24"/>
          <w:lang w:val="de-DE"/>
        </w:rPr>
        <w:t xml:space="preserve"> und </w:t>
      </w:r>
      <w:r>
        <w:rPr>
          <w:noProof/>
          <w:lang w:val="de-DE"/>
        </w:rPr>
        <w:noBreakHyphen/>
      </w:r>
      <w:r>
        <w:rPr>
          <w:rFonts w:ascii="Times New Roman" w:hAnsi="Times New Roman"/>
          <w:noProof/>
          <w:sz w:val="24"/>
          <w:lang w:val="de-DE"/>
        </w:rPr>
        <w:t>kesseln</w:t>
      </w:r>
      <w:r>
        <w:rPr>
          <w:rFonts w:ascii="Times New Roman" w:hAnsi="Times New Roman"/>
          <w:noProof/>
          <w:sz w:val="24"/>
          <w:vertAlign w:val="superscript"/>
          <w:lang w:val="de-DE"/>
        </w:rPr>
        <w:footnoteReference w:id="14"/>
      </w:r>
      <w:r>
        <w:rPr>
          <w:rFonts w:ascii="Times New Roman" w:hAnsi="Times New Roman"/>
          <w:noProof/>
          <w:sz w:val="24"/>
          <w:lang w:val="de-DE"/>
        </w:rPr>
        <w:t>, die auf EU-Ebene im Jahr 2015 angenommen wurden, erst nach 2020 gelten, wurden sie von einer Reihe von Mitgliedstaaten (z. B. Polen) bereits proaktiv vor Ablauf der Frist eingeführ</w:t>
      </w:r>
      <w:r>
        <w:rPr>
          <w:rFonts w:ascii="Times New Roman" w:hAnsi="Times New Roman"/>
          <w:noProof/>
          <w:sz w:val="24"/>
          <w:lang w:val="de-DE"/>
        </w:rPr>
        <w:t>t, um die Emissionen von Feinstaub, flüchtigen organischen Verbindungen (VOC) und NO</w:t>
      </w:r>
      <w:r>
        <w:rPr>
          <w:rFonts w:ascii="Times New Roman" w:hAnsi="Times New Roman"/>
          <w:noProof/>
          <w:sz w:val="24"/>
          <w:vertAlign w:val="subscript"/>
          <w:lang w:val="de-DE"/>
        </w:rPr>
        <w:t>x</w:t>
      </w:r>
      <w:r>
        <w:rPr>
          <w:rFonts w:ascii="Times New Roman" w:hAnsi="Times New Roman"/>
          <w:noProof/>
          <w:sz w:val="24"/>
          <w:lang w:val="de-DE"/>
        </w:rPr>
        <w:t xml:space="preserve"> zu reduzieren. Außerdem tragen diese umweltgerechte Gestaltung sowie ergänzende Rechtsvorschriften zur Verbesserung der Energieeffizienz (die Richtlinie über die Gesamten</w:t>
      </w:r>
      <w:r>
        <w:rPr>
          <w:rFonts w:ascii="Times New Roman" w:hAnsi="Times New Roman"/>
          <w:noProof/>
          <w:sz w:val="24"/>
          <w:lang w:val="de-DE"/>
        </w:rPr>
        <w:t>ergieeffizienz von Gebäuden</w:t>
      </w:r>
      <w:r>
        <w:rPr>
          <w:rFonts w:ascii="Times New Roman" w:hAnsi="Times New Roman"/>
          <w:noProof/>
          <w:sz w:val="24"/>
          <w:vertAlign w:val="superscript"/>
          <w:lang w:val="de-DE"/>
        </w:rPr>
        <w:footnoteReference w:id="15"/>
      </w:r>
      <w:r>
        <w:rPr>
          <w:rFonts w:ascii="Times New Roman" w:hAnsi="Times New Roman"/>
          <w:noProof/>
          <w:sz w:val="24"/>
          <w:lang w:val="de-DE"/>
        </w:rPr>
        <w:t xml:space="preserve"> von 2010, die Richtlinie zur Energieeffizienz</w:t>
      </w:r>
      <w:r>
        <w:rPr>
          <w:rFonts w:ascii="Times New Roman" w:hAnsi="Times New Roman"/>
          <w:noProof/>
          <w:sz w:val="24"/>
          <w:vertAlign w:val="superscript"/>
          <w:lang w:val="de-DE"/>
        </w:rPr>
        <w:footnoteReference w:id="16"/>
      </w:r>
      <w:r>
        <w:rPr>
          <w:rFonts w:ascii="Times New Roman" w:hAnsi="Times New Roman"/>
          <w:noProof/>
          <w:sz w:val="24"/>
          <w:lang w:val="de-DE"/>
        </w:rPr>
        <w:t xml:space="preserve"> von 2012 und die Verordnung über die Energieverbrauchskennzeichnung</w:t>
      </w:r>
      <w:r>
        <w:rPr>
          <w:rFonts w:ascii="Times New Roman" w:hAnsi="Times New Roman"/>
          <w:noProof/>
          <w:sz w:val="24"/>
          <w:vertAlign w:val="superscript"/>
          <w:lang w:val="de-DE"/>
        </w:rPr>
        <w:footnoteReference w:id="17"/>
      </w:r>
      <w:r>
        <w:rPr>
          <w:rFonts w:ascii="Times New Roman" w:hAnsi="Times New Roman"/>
          <w:noProof/>
          <w:sz w:val="24"/>
          <w:lang w:val="de-DE"/>
        </w:rPr>
        <w:t xml:space="preserve"> von 2017) durch Energieeinsparungen zu einer Reduzierung der Emission von Luftschadstoffen bei. Die kürzlich ve</w:t>
      </w:r>
      <w:r>
        <w:rPr>
          <w:rFonts w:ascii="Times New Roman" w:hAnsi="Times New Roman"/>
          <w:noProof/>
          <w:sz w:val="24"/>
          <w:lang w:val="de-DE"/>
        </w:rPr>
        <w:t>rabschiedeten Schlussfolgerungen zu den besten verfügbaren Techniken (BVT) für Großfeuerungsanlagen</w:t>
      </w:r>
      <w:r>
        <w:rPr>
          <w:rFonts w:ascii="Times New Roman" w:hAnsi="Times New Roman"/>
          <w:noProof/>
          <w:sz w:val="24"/>
          <w:vertAlign w:val="superscript"/>
          <w:lang w:val="de-DE"/>
        </w:rPr>
        <w:footnoteReference w:id="18"/>
      </w:r>
      <w:r>
        <w:rPr>
          <w:rFonts w:ascii="Times New Roman" w:hAnsi="Times New Roman"/>
          <w:noProof/>
          <w:sz w:val="24"/>
          <w:lang w:val="de-DE"/>
        </w:rPr>
        <w:t xml:space="preserve"> im Rahmen der Richtlinie über Industrieemissionen werden sich ebenfalls positiv auf die Emissionen von </w:t>
      </w:r>
      <w:r>
        <w:rPr>
          <w:rFonts w:ascii="Times New Roman" w:hAnsi="Times New Roman"/>
          <w:noProof/>
          <w:color w:val="000000"/>
          <w:sz w:val="24"/>
          <w:lang w:val="de-DE"/>
        </w:rPr>
        <w:t>NO</w:t>
      </w:r>
      <w:r>
        <w:rPr>
          <w:rFonts w:ascii="Times New Roman" w:hAnsi="Times New Roman"/>
          <w:noProof/>
          <w:color w:val="000000"/>
          <w:sz w:val="24"/>
          <w:vertAlign w:val="subscript"/>
          <w:lang w:val="de-DE"/>
        </w:rPr>
        <w:t>x</w:t>
      </w:r>
      <w:r>
        <w:rPr>
          <w:rFonts w:ascii="Times New Roman" w:hAnsi="Times New Roman"/>
          <w:noProof/>
          <w:color w:val="000000"/>
          <w:sz w:val="24"/>
          <w:lang w:val="de-DE"/>
        </w:rPr>
        <w:t>, SO</w:t>
      </w:r>
      <w:r>
        <w:rPr>
          <w:rFonts w:ascii="Times New Roman" w:hAnsi="Times New Roman"/>
          <w:noProof/>
          <w:color w:val="000000"/>
          <w:sz w:val="24"/>
          <w:vertAlign w:val="subscript"/>
          <w:lang w:val="de-DE"/>
        </w:rPr>
        <w:t>2</w:t>
      </w:r>
      <w:r>
        <w:rPr>
          <w:rFonts w:ascii="Times New Roman" w:hAnsi="Times New Roman"/>
          <w:noProof/>
          <w:color w:val="000000"/>
          <w:sz w:val="24"/>
          <w:lang w:val="de-DE"/>
        </w:rPr>
        <w:t xml:space="preserve"> und Feinstaub auswirken. Da Wärme aus erneuerbaren Energiequellen jedoch noch immer überwiegend (zu 82 %) aus fester Biomasse erzeugt wird</w:t>
      </w:r>
      <w:r>
        <w:rPr>
          <w:rFonts w:ascii="Times New Roman" w:hAnsi="Times New Roman"/>
          <w:noProof/>
          <w:color w:val="000000"/>
          <w:sz w:val="24"/>
          <w:vertAlign w:val="superscript"/>
          <w:lang w:val="de-DE"/>
        </w:rPr>
        <w:footnoteReference w:id="19"/>
      </w:r>
      <w:r>
        <w:rPr>
          <w:rFonts w:ascii="Times New Roman" w:hAnsi="Times New Roman"/>
          <w:noProof/>
          <w:color w:val="000000"/>
          <w:sz w:val="24"/>
          <w:lang w:val="de-DE"/>
        </w:rPr>
        <w:t xml:space="preserve"> und da auch weiterhin ein großer Anteil des Energiemixes auf der Grundlage erneuerbarer Energiequellen in der EU au</w:t>
      </w:r>
      <w:r>
        <w:rPr>
          <w:rFonts w:ascii="Times New Roman" w:hAnsi="Times New Roman"/>
          <w:noProof/>
          <w:color w:val="000000"/>
          <w:sz w:val="24"/>
          <w:lang w:val="de-DE"/>
        </w:rPr>
        <w:t>f Bioenergie entfallen wird</w:t>
      </w:r>
      <w:r>
        <w:rPr>
          <w:rFonts w:ascii="Times New Roman" w:hAnsi="Times New Roman"/>
          <w:noProof/>
          <w:color w:val="000000"/>
          <w:sz w:val="24"/>
          <w:vertAlign w:val="superscript"/>
          <w:lang w:val="de-DE"/>
        </w:rPr>
        <w:footnoteReference w:id="20"/>
      </w:r>
      <w:r>
        <w:rPr>
          <w:rFonts w:ascii="Times New Roman" w:hAnsi="Times New Roman"/>
          <w:noProof/>
          <w:color w:val="000000"/>
          <w:sz w:val="24"/>
          <w:lang w:val="de-DE"/>
        </w:rPr>
        <w:t>, werden die Verbesserungen in der Emissionsbegrenzung möglicherweise in gewissem Umfang durch die größere Zahl von Emissionsquellen beeinträchtigt.</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Es sind noch erhebliche weitere Anstrengungen erforderlich, um sicherzustellen,</w:t>
      </w:r>
      <w:r>
        <w:rPr>
          <w:rFonts w:ascii="Times New Roman" w:hAnsi="Times New Roman"/>
          <w:noProof/>
          <w:sz w:val="24"/>
          <w:lang w:val="de-DE"/>
        </w:rPr>
        <w:t xml:space="preserve"> dass die Überschreitungen der Grenzwerte auf ein zeitliches Minimum begrenzt werden. Derzeit sind 30 Vertragsverletzungsverfahren gegen Mitgliedstaaten im Zusammenhang mit der Richtlinie 2008/50/EG anhängig – davon 16 wegen Überschreitung der PM</w:t>
      </w:r>
      <w:r>
        <w:rPr>
          <w:rFonts w:ascii="Times New Roman" w:hAnsi="Times New Roman"/>
          <w:noProof/>
          <w:sz w:val="24"/>
          <w:vertAlign w:val="subscript"/>
          <w:lang w:val="de-DE"/>
        </w:rPr>
        <w:t>10</w:t>
      </w:r>
      <w:r>
        <w:rPr>
          <w:rFonts w:ascii="Times New Roman" w:hAnsi="Times New Roman"/>
          <w:noProof/>
          <w:sz w:val="24"/>
          <w:lang w:val="de-DE"/>
        </w:rPr>
        <w:t>-Grenzwe</w:t>
      </w:r>
      <w:r>
        <w:rPr>
          <w:rFonts w:ascii="Times New Roman" w:hAnsi="Times New Roman"/>
          <w:noProof/>
          <w:sz w:val="24"/>
          <w:lang w:val="de-DE"/>
        </w:rPr>
        <w:t>rte, 13 wegen Überschreitung der NO</w:t>
      </w:r>
      <w:r>
        <w:rPr>
          <w:rFonts w:ascii="Times New Roman" w:hAnsi="Times New Roman"/>
          <w:noProof/>
          <w:sz w:val="24"/>
          <w:vertAlign w:val="subscript"/>
          <w:lang w:val="de-DE"/>
        </w:rPr>
        <w:t>2</w:t>
      </w:r>
      <w:r>
        <w:rPr>
          <w:rFonts w:ascii="Times New Roman" w:hAnsi="Times New Roman"/>
          <w:noProof/>
          <w:sz w:val="24"/>
          <w:lang w:val="de-DE"/>
        </w:rPr>
        <w:t>-Grenzwerte und eines wegen Überschreitung der SO</w:t>
      </w:r>
      <w:r>
        <w:rPr>
          <w:rFonts w:ascii="Times New Roman" w:hAnsi="Times New Roman"/>
          <w:noProof/>
          <w:sz w:val="24"/>
          <w:vertAlign w:val="subscript"/>
          <w:lang w:val="de-DE"/>
        </w:rPr>
        <w:t>2</w:t>
      </w:r>
      <w:r>
        <w:rPr>
          <w:rFonts w:ascii="Times New Roman" w:hAnsi="Times New Roman"/>
          <w:noProof/>
          <w:sz w:val="24"/>
          <w:lang w:val="de-DE"/>
        </w:rPr>
        <w:t>-Grenzwerte.</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 xml:space="preserve">Für Maßnahmen der Mitgliedstaaten zur Förderung der Luftreinhaltung sind beträchtliche EU-Mittel verfügbar (siehe Abschnitt 3.2.5). Im umfassenderen Kontext </w:t>
      </w:r>
      <w:r>
        <w:rPr>
          <w:rFonts w:ascii="Times New Roman" w:hAnsi="Times New Roman"/>
          <w:noProof/>
          <w:sz w:val="24"/>
          <w:lang w:val="de-DE"/>
        </w:rPr>
        <w:t>der von der Kommission durchgeführten Überprüfung der Umsetzung der Umweltpolitik</w:t>
      </w:r>
      <w:r>
        <w:rPr>
          <w:rFonts w:ascii="Times New Roman" w:hAnsi="Times New Roman"/>
          <w:noProof/>
          <w:sz w:val="24"/>
          <w:vertAlign w:val="superscript"/>
          <w:lang w:val="de-DE"/>
        </w:rPr>
        <w:footnoteReference w:id="21"/>
      </w:r>
      <w:r>
        <w:rPr>
          <w:rFonts w:ascii="Times New Roman" w:hAnsi="Times New Roman"/>
          <w:noProof/>
          <w:sz w:val="24"/>
          <w:lang w:val="de-DE"/>
        </w:rPr>
        <w:t xml:space="preserve"> führt die Kommission mit den Mitgliedstaaten Dialoge über die Luftqualität</w:t>
      </w:r>
      <w:r>
        <w:rPr>
          <w:rFonts w:ascii="Times New Roman" w:hAnsi="Times New Roman"/>
          <w:noProof/>
          <w:sz w:val="24"/>
          <w:vertAlign w:val="superscript"/>
          <w:lang w:val="de-DE"/>
        </w:rPr>
        <w:footnoteReference w:id="22"/>
      </w:r>
      <w:r>
        <w:rPr>
          <w:rFonts w:ascii="Times New Roman" w:hAnsi="Times New Roman"/>
          <w:noProof/>
          <w:sz w:val="24"/>
          <w:lang w:val="de-DE"/>
        </w:rPr>
        <w:t>, um die nationalen Umsetzungskonzepte besser zu verstehen, Erfahrungen mit der Anwendung bestimmt</w:t>
      </w:r>
      <w:r>
        <w:rPr>
          <w:rFonts w:ascii="Times New Roman" w:hAnsi="Times New Roman"/>
          <w:noProof/>
          <w:sz w:val="24"/>
          <w:lang w:val="de-DE"/>
        </w:rPr>
        <w:t>er Lösungen auszutauschen, Synergieeffekte zwischen politischen Maßnahmen zu fördern und Bereiche zu ermitteln, in denen EU-Mittel hilfreich sein können. Der geführte Dialog war besonders erfolgreich bei der Förderung von Maßnahmen unter Einbeziehung aller</w:t>
      </w:r>
      <w:r>
        <w:rPr>
          <w:rFonts w:ascii="Times New Roman" w:hAnsi="Times New Roman"/>
          <w:noProof/>
          <w:sz w:val="24"/>
          <w:lang w:val="de-DE"/>
        </w:rPr>
        <w:t xml:space="preserve"> zuständigen Ministerien und Interessenvertretern.</w:t>
      </w:r>
    </w:p>
    <w:p w:rsidR="00ED5820" w:rsidRDefault="00DE54EB">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de-DE"/>
        </w:rPr>
      </w:pPr>
      <w:r>
        <w:rPr>
          <w:rFonts w:ascii="Times New Roman" w:hAnsi="Times New Roman"/>
          <w:b/>
          <w:noProof/>
          <w:sz w:val="24"/>
          <w:lang w:val="de-DE"/>
        </w:rPr>
        <w:t>Zweckmäßigkeitsprüfung der Luftqualitätsrichtlinien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Nach Durchführung des Programms für saubere Luft von 2013 wurde für wenig sinnvoll erachtet, die Luftqualitätsrichtlinien 2008/50/EU und 2004/107/EG zu ü</w:t>
      </w:r>
      <w:r>
        <w:rPr>
          <w:rFonts w:ascii="Times New Roman" w:hAnsi="Times New Roman"/>
          <w:noProof/>
          <w:sz w:val="24"/>
          <w:lang w:val="de-DE"/>
        </w:rPr>
        <w:t>berarbeiten. Allerdings wurde die Notwendigkeit betont, die Konformität mit den geltenden Normen sicherzustellen und die Emissionen durch die Richtlinie über nationale Emissionshöchstmengen zu senken.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2017 leitete die Kommission eine Zweckmäßigkeitsprüfung</w:t>
      </w:r>
      <w:r>
        <w:rPr>
          <w:rFonts w:ascii="Times New Roman" w:hAnsi="Times New Roman"/>
          <w:noProof/>
          <w:sz w:val="24"/>
          <w:lang w:val="de-DE"/>
        </w:rPr>
        <w:t xml:space="preserve"> ein, um die bisherige Wirkung der Luftqualitätsrichtlinien zu untersuchen. Die Prüfung beruht auf der Analyse, die dem Programm für saubere Luft zugrunde liegt, und greift auf Erfahrungen in allen Mitgliedstaaten vorrangig im Zeitraum 2008-2018 zurück. Di</w:t>
      </w:r>
      <w:r>
        <w:rPr>
          <w:rFonts w:ascii="Times New Roman" w:hAnsi="Times New Roman"/>
          <w:noProof/>
          <w:sz w:val="24"/>
          <w:lang w:val="de-DE"/>
        </w:rPr>
        <w:t>e Prüfung untersucht die Zweckmäßigkeit aller Bestimmungen der Richtlinien und insbesondere der Überwachungs- und Bewertungsmethoden, der Luftqualitätsstandards, der Bestimmungen über die Unterrichtung der Öffentlichkeit und des Ausmaßes, in dem die Richtl</w:t>
      </w:r>
      <w:r>
        <w:rPr>
          <w:rFonts w:ascii="Times New Roman" w:hAnsi="Times New Roman"/>
          <w:noProof/>
          <w:sz w:val="24"/>
          <w:lang w:val="de-DE"/>
        </w:rPr>
        <w:t>inien Maßnahmen zur Vermeidung oder Minderung schädlicher Auswirkungen unterstützt haben.</w:t>
      </w:r>
    </w:p>
    <w:p w:rsidR="00ED5820" w:rsidRDefault="00DE54EB">
      <w:pPr>
        <w:spacing w:after="0" w:line="240" w:lineRule="auto"/>
        <w:jc w:val="both"/>
        <w:rPr>
          <w:rFonts w:ascii="Times New Roman" w:eastAsia="Times New Roman" w:hAnsi="Times New Roman" w:cs="Times New Roman"/>
          <w:noProof/>
          <w:sz w:val="24"/>
          <w:szCs w:val="24"/>
          <w:lang w:val="de-DE"/>
        </w:rPr>
      </w:pPr>
      <w:r>
        <w:rPr>
          <w:rFonts w:ascii="Times New Roman" w:hAnsi="Times New Roman"/>
          <w:noProof/>
          <w:sz w:val="24"/>
          <w:lang w:val="de-DE"/>
        </w:rPr>
        <w:t>Verwaltungskosten, administrative Überschneidungen und/oder Synergieeffekte, Lücken, Inkonsistenzen und/oder potenziell veraltete Maßnahmen werden ebenso betrachtet w</w:t>
      </w:r>
      <w:r>
        <w:rPr>
          <w:rFonts w:ascii="Times New Roman" w:hAnsi="Times New Roman"/>
          <w:noProof/>
          <w:sz w:val="24"/>
          <w:lang w:val="de-DE"/>
        </w:rPr>
        <w:t>ie die Kohärenz einer verantwortungsvollen Verwaltung zur Verbesserung der Luftqualität auf EU-Ebene sowie in den Mitgliedstaaten auf nationaler, regionaler und lokaler Ebene. Nach aktuellem Planungsstand soll die Zweckmäßigkeitsprüfung im Jahr 2019 abgesc</w:t>
      </w:r>
      <w:r>
        <w:rPr>
          <w:rFonts w:ascii="Times New Roman" w:hAnsi="Times New Roman"/>
          <w:noProof/>
          <w:sz w:val="24"/>
          <w:lang w:val="de-DE"/>
        </w:rPr>
        <w:t>hlossen werden.</w:t>
      </w:r>
    </w:p>
    <w:p w:rsidR="00ED5820" w:rsidRDefault="00DE54EB">
      <w:pPr>
        <w:keepNext/>
        <w:numPr>
          <w:ilvl w:val="0"/>
          <w:numId w:val="1"/>
        </w:numPr>
        <w:tabs>
          <w:tab w:val="left" w:pos="850"/>
        </w:tabs>
        <w:spacing w:before="360" w:after="120" w:line="240" w:lineRule="auto"/>
        <w:ind w:left="840" w:hanging="840"/>
        <w:jc w:val="both"/>
        <w:outlineLvl w:val="0"/>
        <w:rPr>
          <w:rFonts w:ascii="Times New Roman" w:eastAsia="Times New Roman" w:hAnsi="Times New Roman" w:cs="Times New Roman"/>
          <w:b/>
          <w:smallCaps/>
          <w:noProof/>
          <w:sz w:val="24"/>
          <w:szCs w:val="20"/>
          <w:lang w:val="de-DE"/>
        </w:rPr>
      </w:pPr>
      <w:r>
        <w:rPr>
          <w:rFonts w:ascii="Times New Roman" w:hAnsi="Times New Roman"/>
          <w:b/>
          <w:smallCaps/>
          <w:noProof/>
          <w:sz w:val="24"/>
          <w:lang w:val="de-DE"/>
        </w:rPr>
        <w:t>Durchführung der neuen Richtlinie über nationale Emissionshöchstmengen und zusätzlicher Vorschriften über Emissionsquellen</w:t>
      </w:r>
    </w:p>
    <w:p w:rsidR="00ED5820" w:rsidRDefault="00DE54EB">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de-DE"/>
        </w:rPr>
      </w:pPr>
      <w:bookmarkStart w:id="5" w:name="_Ref496622083"/>
      <w:r>
        <w:rPr>
          <w:rFonts w:ascii="Times New Roman" w:hAnsi="Times New Roman"/>
          <w:b/>
          <w:noProof/>
          <w:sz w:val="24"/>
          <w:lang w:val="de-DE"/>
        </w:rPr>
        <w:t>Ziele in den Bereichen Gesundheit und Ökosysteme</w:t>
      </w:r>
      <w:bookmarkEnd w:id="5"/>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 xml:space="preserve">Die im Programm für saubere Luft festgelegten Ziele basierten auf </w:t>
      </w:r>
      <w:r>
        <w:rPr>
          <w:rFonts w:ascii="Times New Roman" w:hAnsi="Times New Roman"/>
          <w:noProof/>
          <w:sz w:val="24"/>
          <w:lang w:val="de-DE"/>
        </w:rPr>
        <w:t>den im Vorschlag der Kommission</w:t>
      </w:r>
      <w:r>
        <w:rPr>
          <w:rFonts w:ascii="Times New Roman" w:hAnsi="Times New Roman"/>
          <w:noProof/>
          <w:sz w:val="24"/>
          <w:vertAlign w:val="superscript"/>
          <w:lang w:val="de-DE"/>
        </w:rPr>
        <w:footnoteReference w:id="23"/>
      </w:r>
      <w:r>
        <w:rPr>
          <w:rFonts w:ascii="Times New Roman" w:hAnsi="Times New Roman"/>
          <w:noProof/>
          <w:sz w:val="24"/>
          <w:lang w:val="de-DE"/>
        </w:rPr>
        <w:t xml:space="preserve"> für die Richtlinie über nationale Emissionshöchstmengen vorgesehenen Emissionssenkungen. Da die Richtlinie seit dem 31. Dezember 2016 in Kraft ist und seit Beginn des Programms für saubere Luft aus dem Jahr 2013 zusätzliche</w:t>
      </w:r>
      <w:r>
        <w:rPr>
          <w:rFonts w:ascii="Times New Roman" w:hAnsi="Times New Roman"/>
          <w:noProof/>
          <w:sz w:val="24"/>
          <w:lang w:val="de-DE"/>
        </w:rPr>
        <w:t xml:space="preserve"> Vorschriften über Emissionsquellen (d. h. Maßnahmen zur Regulierung spezifischer Belastungsquellen wie Fahrzeuge, Öfen und Industrieanlagen) verabschiedet wurden, können diese Werte entsprechend der nachstehenden Tabelle 1 aktualisiert werden. </w:t>
      </w:r>
    </w:p>
    <w:p w:rsidR="00ED5820" w:rsidRDefault="00DE54EB">
      <w:pPr>
        <w:keepNext/>
        <w:spacing w:after="120" w:line="240" w:lineRule="auto"/>
        <w:jc w:val="both"/>
        <w:rPr>
          <w:rFonts w:ascii="Times New Roman" w:eastAsia="Times New Roman" w:hAnsi="Times New Roman" w:cs="Times New Roman"/>
          <w:b/>
          <w:noProof/>
          <w:lang w:val="de-DE"/>
        </w:rPr>
      </w:pPr>
      <w:r>
        <w:rPr>
          <w:rFonts w:ascii="Times New Roman" w:hAnsi="Times New Roman"/>
          <w:b/>
          <w:noProof/>
          <w:lang w:val="de-DE"/>
        </w:rPr>
        <w:t>Tabelle 1: Prognostizierte Erfolge der Luftqualitätspolitik bis 2030 durch die Richtlinie über nationale Emissionshöchstmengen und alle seit 2014 angenommenen Vorschriften über Emissionsquellen, verglichen mit den Vorschlägen im Programm für saubere Luft (</w:t>
      </w:r>
      <w:r>
        <w:rPr>
          <w:rFonts w:ascii="Times New Roman" w:hAnsi="Times New Roman"/>
          <w:b/>
          <w:noProof/>
          <w:lang w:val="de-DE"/>
        </w:rPr>
        <w:t xml:space="preserve">relativ zum Bezugsjahr 2005)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7"/>
      </w:tblGrid>
      <w:tr w:rsidR="00ED5820" w:rsidRPr="00DE54EB">
        <w:tc>
          <w:tcPr>
            <w:tcW w:w="3096" w:type="dxa"/>
            <w:tcBorders>
              <w:bottom w:val="single" w:sz="12" w:space="0" w:color="auto"/>
            </w:tcBorders>
            <w:shd w:val="clear" w:color="auto" w:fill="auto"/>
          </w:tcPr>
          <w:p w:rsidR="00ED5820" w:rsidRDefault="00ED5820">
            <w:pPr>
              <w:keepNext/>
              <w:spacing w:before="120" w:after="120" w:line="240" w:lineRule="auto"/>
              <w:jc w:val="center"/>
              <w:rPr>
                <w:rFonts w:ascii="Times New Roman" w:eastAsia="Times New Roman" w:hAnsi="Times New Roman" w:cs="Times New Roman"/>
                <w:noProof/>
                <w:sz w:val="24"/>
                <w:szCs w:val="20"/>
                <w:lang w:val="de-DE"/>
              </w:rPr>
            </w:pPr>
          </w:p>
        </w:tc>
        <w:tc>
          <w:tcPr>
            <w:tcW w:w="3096" w:type="dxa"/>
            <w:tcBorders>
              <w:bottom w:val="single" w:sz="12" w:space="0" w:color="auto"/>
            </w:tcBorders>
            <w:shd w:val="clear" w:color="auto" w:fill="auto"/>
          </w:tcPr>
          <w:p w:rsidR="00ED5820" w:rsidRDefault="00DE54EB">
            <w:pPr>
              <w:keepNext/>
              <w:spacing w:before="120" w:after="120" w:line="240" w:lineRule="auto"/>
              <w:jc w:val="center"/>
              <w:rPr>
                <w:rFonts w:ascii="Times New Roman" w:eastAsia="Times New Roman" w:hAnsi="Times New Roman" w:cs="Times New Roman"/>
                <w:noProof/>
                <w:sz w:val="24"/>
                <w:szCs w:val="20"/>
                <w:lang w:val="de-DE"/>
              </w:rPr>
            </w:pPr>
            <w:r>
              <w:rPr>
                <w:rFonts w:ascii="Times New Roman" w:hAnsi="Times New Roman"/>
                <w:noProof/>
                <w:lang w:val="de-DE"/>
              </w:rPr>
              <w:t>Voraussichtliche Verringerung der gesundheitlichen Auswirkungen gegenüber 2005</w:t>
            </w:r>
            <w:r>
              <w:rPr>
                <w:rFonts w:ascii="Times New Roman" w:eastAsia="Times New Roman" w:hAnsi="Times New Roman" w:cs="Times New Roman"/>
                <w:noProof/>
                <w:szCs w:val="20"/>
                <w:lang w:val="de-DE"/>
              </w:rPr>
              <w:br/>
            </w:r>
            <w:r>
              <w:rPr>
                <w:rFonts w:ascii="Times New Roman" w:hAnsi="Times New Roman"/>
                <w:noProof/>
                <w:lang w:val="de-DE"/>
              </w:rPr>
              <w:t>(feinstaub- und ozonbedingte vorzeitige Todesfälle)</w:t>
            </w:r>
          </w:p>
        </w:tc>
        <w:tc>
          <w:tcPr>
            <w:tcW w:w="3097" w:type="dxa"/>
            <w:tcBorders>
              <w:bottom w:val="single" w:sz="12" w:space="0" w:color="auto"/>
            </w:tcBorders>
            <w:shd w:val="clear" w:color="auto" w:fill="auto"/>
          </w:tcPr>
          <w:p w:rsidR="00ED5820" w:rsidRDefault="00DE54EB">
            <w:pPr>
              <w:keepNext/>
              <w:spacing w:before="120" w:after="120" w:line="240" w:lineRule="auto"/>
              <w:jc w:val="center"/>
              <w:rPr>
                <w:rFonts w:ascii="Times New Roman" w:eastAsia="Times New Roman" w:hAnsi="Times New Roman" w:cs="Times New Roman"/>
                <w:noProof/>
                <w:sz w:val="24"/>
                <w:szCs w:val="20"/>
                <w:lang w:val="de-DE"/>
              </w:rPr>
            </w:pPr>
            <w:r>
              <w:rPr>
                <w:rFonts w:ascii="Times New Roman" w:hAnsi="Times New Roman"/>
                <w:noProof/>
                <w:lang w:val="de-DE"/>
              </w:rPr>
              <w:t>Voraussichtliche Verringerung der Ökosystemflächen, auf denen die Eutrophierungsgrenzwerte übe</w:t>
            </w:r>
            <w:r>
              <w:rPr>
                <w:rFonts w:ascii="Times New Roman" w:hAnsi="Times New Roman"/>
                <w:noProof/>
                <w:lang w:val="de-DE"/>
              </w:rPr>
              <w:t>rschritten werden, gegenüber 2005</w:t>
            </w:r>
          </w:p>
        </w:tc>
      </w:tr>
      <w:tr w:rsidR="00ED5820">
        <w:tc>
          <w:tcPr>
            <w:tcW w:w="3096" w:type="dxa"/>
            <w:tcBorders>
              <w:top w:val="single" w:sz="12" w:space="0" w:color="auto"/>
            </w:tcBorders>
            <w:shd w:val="clear" w:color="auto" w:fill="auto"/>
          </w:tcPr>
          <w:p w:rsidR="00ED5820" w:rsidRDefault="00DE54EB">
            <w:pPr>
              <w:keepNext/>
              <w:spacing w:before="120" w:after="120" w:line="240" w:lineRule="auto"/>
              <w:jc w:val="center"/>
              <w:rPr>
                <w:rFonts w:ascii="Times New Roman" w:eastAsia="Times New Roman" w:hAnsi="Times New Roman" w:cs="Times New Roman"/>
                <w:noProof/>
                <w:sz w:val="24"/>
                <w:szCs w:val="20"/>
                <w:lang w:val="de-DE"/>
              </w:rPr>
            </w:pPr>
            <w:r>
              <w:rPr>
                <w:rFonts w:ascii="Times New Roman" w:hAnsi="Times New Roman"/>
                <w:noProof/>
                <w:lang w:val="de-DE"/>
              </w:rPr>
              <w:t>Programm „Saubere Luft für Europa“ (Dezember 2013) unter Berücksichtigung der Basisvorschriften, die die seit 2014 angenommenen Vorschriften über Emissionsquellen nicht umfassen</w:t>
            </w:r>
          </w:p>
        </w:tc>
        <w:tc>
          <w:tcPr>
            <w:tcW w:w="3096" w:type="dxa"/>
            <w:tcBorders>
              <w:top w:val="single" w:sz="12" w:space="0" w:color="auto"/>
            </w:tcBorders>
            <w:shd w:val="clear" w:color="auto" w:fill="auto"/>
          </w:tcPr>
          <w:p w:rsidR="00ED5820" w:rsidRDefault="00DE54EB">
            <w:pPr>
              <w:keepNext/>
              <w:spacing w:before="120" w:after="120" w:line="240" w:lineRule="auto"/>
              <w:jc w:val="center"/>
              <w:rPr>
                <w:rFonts w:ascii="Times New Roman" w:eastAsia="Times New Roman" w:hAnsi="Times New Roman" w:cs="Times New Roman"/>
                <w:noProof/>
                <w:sz w:val="24"/>
                <w:szCs w:val="20"/>
                <w:lang w:val="de-DE"/>
              </w:rPr>
            </w:pPr>
            <w:r>
              <w:rPr>
                <w:rFonts w:ascii="Times New Roman" w:hAnsi="Times New Roman"/>
                <w:noProof/>
                <w:sz w:val="24"/>
                <w:lang w:val="de-DE"/>
              </w:rPr>
              <w:t>52 %</w:t>
            </w:r>
          </w:p>
        </w:tc>
        <w:tc>
          <w:tcPr>
            <w:tcW w:w="3097" w:type="dxa"/>
            <w:tcBorders>
              <w:top w:val="single" w:sz="12" w:space="0" w:color="auto"/>
            </w:tcBorders>
            <w:shd w:val="clear" w:color="auto" w:fill="auto"/>
          </w:tcPr>
          <w:p w:rsidR="00ED5820" w:rsidRDefault="00DE54EB">
            <w:pPr>
              <w:keepNext/>
              <w:spacing w:before="120" w:after="120" w:line="240" w:lineRule="auto"/>
              <w:jc w:val="center"/>
              <w:rPr>
                <w:rFonts w:ascii="Times New Roman" w:eastAsia="Times New Roman" w:hAnsi="Times New Roman" w:cs="Times New Roman"/>
                <w:noProof/>
                <w:sz w:val="24"/>
                <w:szCs w:val="20"/>
                <w:lang w:val="de-DE"/>
              </w:rPr>
            </w:pPr>
            <w:r>
              <w:rPr>
                <w:rFonts w:ascii="Times New Roman" w:hAnsi="Times New Roman"/>
                <w:noProof/>
                <w:sz w:val="24"/>
                <w:lang w:val="de-DE"/>
              </w:rPr>
              <w:t>35 %</w:t>
            </w:r>
          </w:p>
        </w:tc>
      </w:tr>
      <w:tr w:rsidR="00ED5820">
        <w:tc>
          <w:tcPr>
            <w:tcW w:w="3096" w:type="dxa"/>
            <w:shd w:val="clear" w:color="auto" w:fill="auto"/>
          </w:tcPr>
          <w:p w:rsidR="00ED5820" w:rsidRDefault="00DE54EB">
            <w:pPr>
              <w:spacing w:before="120" w:after="120" w:line="240" w:lineRule="auto"/>
              <w:jc w:val="center"/>
              <w:rPr>
                <w:rFonts w:ascii="Times New Roman" w:eastAsia="Times New Roman" w:hAnsi="Times New Roman" w:cs="Times New Roman"/>
                <w:noProof/>
                <w:szCs w:val="20"/>
                <w:lang w:val="de-DE"/>
              </w:rPr>
            </w:pPr>
            <w:r>
              <w:rPr>
                <w:rFonts w:ascii="Times New Roman" w:hAnsi="Times New Roman"/>
                <w:noProof/>
                <w:lang w:val="de-DE"/>
              </w:rPr>
              <w:t>Auswirkungen der Richtlinie über</w:t>
            </w:r>
            <w:r>
              <w:rPr>
                <w:rFonts w:ascii="Times New Roman" w:hAnsi="Times New Roman"/>
                <w:noProof/>
                <w:lang w:val="de-DE"/>
              </w:rPr>
              <w:t xml:space="preserve"> nationale Emissionshöchstmengen nach Schätzungen zum Zeitpunkt der Annahme im Dezember 2016 unter Berücksichtigung der gleichen Basisvorschriften wie oben</w:t>
            </w:r>
          </w:p>
        </w:tc>
        <w:tc>
          <w:tcPr>
            <w:tcW w:w="3096" w:type="dxa"/>
            <w:shd w:val="clear" w:color="auto" w:fill="auto"/>
          </w:tcPr>
          <w:p w:rsidR="00ED5820" w:rsidRDefault="00DE54EB">
            <w:pPr>
              <w:spacing w:before="120" w:after="120" w:line="240" w:lineRule="auto"/>
              <w:jc w:val="center"/>
              <w:rPr>
                <w:rFonts w:ascii="Times New Roman" w:eastAsia="Times New Roman" w:hAnsi="Times New Roman" w:cs="Times New Roman"/>
                <w:noProof/>
                <w:sz w:val="24"/>
                <w:szCs w:val="20"/>
                <w:lang w:val="de-DE"/>
              </w:rPr>
            </w:pPr>
            <w:r>
              <w:rPr>
                <w:rFonts w:ascii="Times New Roman" w:hAnsi="Times New Roman"/>
                <w:noProof/>
                <w:sz w:val="24"/>
                <w:lang w:val="de-DE"/>
              </w:rPr>
              <w:t>49,6 %</w:t>
            </w:r>
          </w:p>
        </w:tc>
        <w:tc>
          <w:tcPr>
            <w:tcW w:w="3097" w:type="dxa"/>
            <w:shd w:val="clear" w:color="auto" w:fill="auto"/>
          </w:tcPr>
          <w:p w:rsidR="00ED5820" w:rsidRDefault="00DE54EB">
            <w:pPr>
              <w:spacing w:before="120" w:after="120" w:line="240" w:lineRule="auto"/>
              <w:jc w:val="center"/>
              <w:rPr>
                <w:rFonts w:ascii="Times New Roman" w:eastAsia="Times New Roman" w:hAnsi="Times New Roman" w:cs="Times New Roman"/>
                <w:noProof/>
                <w:sz w:val="24"/>
                <w:szCs w:val="20"/>
                <w:lang w:val="de-DE"/>
              </w:rPr>
            </w:pPr>
            <w:r>
              <w:rPr>
                <w:rFonts w:ascii="Times New Roman" w:hAnsi="Times New Roman"/>
                <w:noProof/>
                <w:sz w:val="24"/>
                <w:lang w:val="de-DE"/>
              </w:rPr>
              <w:t>–</w:t>
            </w:r>
          </w:p>
        </w:tc>
      </w:tr>
      <w:tr w:rsidR="00ED5820">
        <w:tc>
          <w:tcPr>
            <w:tcW w:w="3096" w:type="dxa"/>
            <w:shd w:val="clear" w:color="auto" w:fill="auto"/>
          </w:tcPr>
          <w:p w:rsidR="00ED5820" w:rsidRDefault="00DE54EB">
            <w:pPr>
              <w:spacing w:before="120" w:after="120" w:line="240" w:lineRule="auto"/>
              <w:jc w:val="center"/>
              <w:rPr>
                <w:rFonts w:ascii="Times New Roman" w:eastAsia="Times New Roman" w:hAnsi="Times New Roman" w:cs="Times New Roman"/>
                <w:b/>
                <w:noProof/>
                <w:szCs w:val="20"/>
                <w:lang w:val="de-DE"/>
              </w:rPr>
            </w:pPr>
            <w:r>
              <w:rPr>
                <w:rFonts w:ascii="Times New Roman" w:hAnsi="Times New Roman"/>
                <w:b/>
                <w:noProof/>
                <w:lang w:val="de-DE"/>
              </w:rPr>
              <w:t>Auswirkungen der Richtlinie über nationale Emissionshöchstmengen einschließlich Auswirkung</w:t>
            </w:r>
            <w:r>
              <w:rPr>
                <w:rFonts w:ascii="Times New Roman" w:hAnsi="Times New Roman"/>
                <w:b/>
                <w:noProof/>
                <w:lang w:val="de-DE"/>
              </w:rPr>
              <w:t>en der seit 2014 angenommenen Vorschriften über Emissionsquellen</w:t>
            </w:r>
          </w:p>
        </w:tc>
        <w:tc>
          <w:tcPr>
            <w:tcW w:w="3096" w:type="dxa"/>
            <w:shd w:val="clear" w:color="auto" w:fill="auto"/>
          </w:tcPr>
          <w:p w:rsidR="00ED5820" w:rsidRDefault="00DE54EB">
            <w:pPr>
              <w:spacing w:before="120" w:after="120" w:line="240" w:lineRule="auto"/>
              <w:jc w:val="center"/>
              <w:rPr>
                <w:rFonts w:ascii="Times New Roman" w:eastAsia="Times New Roman" w:hAnsi="Times New Roman" w:cs="Times New Roman"/>
                <w:b/>
                <w:noProof/>
                <w:sz w:val="24"/>
                <w:szCs w:val="20"/>
                <w:lang w:val="de-DE"/>
              </w:rPr>
            </w:pPr>
            <w:r>
              <w:rPr>
                <w:rFonts w:ascii="Times New Roman" w:hAnsi="Times New Roman"/>
                <w:b/>
                <w:noProof/>
                <w:sz w:val="24"/>
                <w:lang w:val="de-DE"/>
              </w:rPr>
              <w:t>54 %</w:t>
            </w:r>
          </w:p>
        </w:tc>
        <w:tc>
          <w:tcPr>
            <w:tcW w:w="3097" w:type="dxa"/>
            <w:shd w:val="clear" w:color="auto" w:fill="auto"/>
          </w:tcPr>
          <w:p w:rsidR="00ED5820" w:rsidRDefault="00DE54EB">
            <w:pPr>
              <w:spacing w:before="120" w:after="120" w:line="240" w:lineRule="auto"/>
              <w:jc w:val="center"/>
              <w:rPr>
                <w:rFonts w:ascii="Times New Roman" w:eastAsia="Times New Roman" w:hAnsi="Times New Roman" w:cs="Times New Roman"/>
                <w:b/>
                <w:noProof/>
                <w:sz w:val="24"/>
                <w:szCs w:val="20"/>
                <w:lang w:val="de-DE"/>
              </w:rPr>
            </w:pPr>
            <w:r>
              <w:rPr>
                <w:rFonts w:ascii="Times New Roman" w:hAnsi="Times New Roman"/>
                <w:b/>
                <w:noProof/>
                <w:sz w:val="24"/>
                <w:lang w:val="de-DE"/>
              </w:rPr>
              <w:t>27 %</w:t>
            </w:r>
          </w:p>
        </w:tc>
      </w:tr>
    </w:tbl>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 xml:space="preserve">Einige Erläuterungen sind angebracht, insbesondere angesichts der Tatsache, dass die Verringerung der gesundheitlichen Auswirkungen auf 54 % beziffert wurde, obwohl ursprünglich </w:t>
      </w:r>
      <w:r>
        <w:rPr>
          <w:rFonts w:ascii="Times New Roman" w:hAnsi="Times New Roman"/>
          <w:noProof/>
          <w:sz w:val="24"/>
          <w:lang w:val="de-DE"/>
        </w:rPr>
        <w:t>(zum Zeitpunkt der Annahme) Auswirkungen nur von knapp 50 % erwartet wurden. Dies ist auf zwei Faktoren zurückzuführen.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Der erste ist die Wirkung der zusätzlichen Vorschriften über spezifische Emissionsquellen, die seit 2014 angenommen wurden. Die in der R</w:t>
      </w:r>
      <w:r>
        <w:rPr>
          <w:rFonts w:ascii="Times New Roman" w:hAnsi="Times New Roman"/>
          <w:noProof/>
          <w:sz w:val="24"/>
          <w:lang w:val="de-DE"/>
        </w:rPr>
        <w:t>ichtlinie über mittelgroße Feuerungsanlagen von 2015 festgelegten Emissionsbegrenzungen gelten ab dem 20. Dezember 2018 für alle neuen Feuerungsanlagen und spätestens ab 2025 bzw. 2030 für bestehende Anlagen (je nach ihrer Größe). Die Durchführungsverordnu</w:t>
      </w:r>
      <w:r>
        <w:rPr>
          <w:rFonts w:ascii="Times New Roman" w:hAnsi="Times New Roman"/>
          <w:noProof/>
          <w:sz w:val="24"/>
          <w:lang w:val="de-DE"/>
        </w:rPr>
        <w:t>ngen über die umweltgerechte Gestaltung aus dem Jahr 2015 gelten für neue Festbrennstoffkessel, die ab dem 1. Januar 2020 verkauft werden, und für neue Festbrennstofföfen, die ab dem 1. Januar 2022 verkauft werden. Die Verordnung über nicht für den Straßen</w:t>
      </w:r>
      <w:r>
        <w:rPr>
          <w:rFonts w:ascii="Times New Roman" w:hAnsi="Times New Roman"/>
          <w:noProof/>
          <w:sz w:val="24"/>
          <w:lang w:val="de-DE"/>
        </w:rPr>
        <w:t>verkehr bestimmte mobile Maschinen und Geräte</w:t>
      </w:r>
      <w:r>
        <w:rPr>
          <w:rFonts w:ascii="Times New Roman" w:hAnsi="Times New Roman"/>
          <w:noProof/>
          <w:sz w:val="24"/>
          <w:vertAlign w:val="superscript"/>
          <w:lang w:val="de-DE"/>
        </w:rPr>
        <w:footnoteReference w:id="24"/>
      </w:r>
      <w:r>
        <w:rPr>
          <w:rFonts w:ascii="Times New Roman" w:hAnsi="Times New Roman"/>
          <w:noProof/>
          <w:sz w:val="24"/>
          <w:lang w:val="de-DE"/>
        </w:rPr>
        <w:t xml:space="preserve"> aus dem Jahr 2016 gilt für Motoren, die ab dem 1. Januar 2019, 2020 bzw. 2021 in Verkehr gebracht werden (je nach Motorklasse). Die Schlussfolgerungen zu den BVT für Großfeuerungsanlagen aus dem Jahr 2017 gelt</w:t>
      </w:r>
      <w:r>
        <w:rPr>
          <w:rFonts w:ascii="Times New Roman" w:hAnsi="Times New Roman"/>
          <w:noProof/>
          <w:sz w:val="24"/>
          <w:lang w:val="de-DE"/>
        </w:rPr>
        <w:t xml:space="preserve">en ab dem 17. August 2017 für neue Anlagen und ab dem 17. August 2021 für alle bestehenden Anlagen. Das Maßnahmenpaket für Luftqualität von 2013 betonte den potenziellen Beitrag, den diese Initiativen bis zum Jahr 2030 leisten könnten, und die endgültigen </w:t>
      </w:r>
      <w:r>
        <w:rPr>
          <w:rFonts w:ascii="Times New Roman" w:hAnsi="Times New Roman"/>
          <w:noProof/>
          <w:sz w:val="24"/>
          <w:lang w:val="de-DE"/>
        </w:rPr>
        <w:t>Fassungen dieser Rechtsvorschriften wurden nun in der Analyse berücksichtigt. Eine kombinierte Beurteilung dieser Maßnahmen lässt den Schluss zu, dass bei vollständiger Erfüllung aller einschlägigen gesetzlichen Anforderungen bis zum Jahr 2030 sogar größer</w:t>
      </w:r>
      <w:r>
        <w:rPr>
          <w:rFonts w:ascii="Times New Roman" w:hAnsi="Times New Roman"/>
          <w:noProof/>
          <w:sz w:val="24"/>
          <w:lang w:val="de-DE"/>
        </w:rPr>
        <w:t>e Emissionssenkungen zu erwarten sind, als zum Zeitpunkt der Annahme der Richtlinie über nationale Emissionshöchstmengen geschätzt.</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Der zweite Faktor besteht darin, dass Maßnahmen, die zur Senkung der Emissionen eines Schadstoffs eingeführt werden, auch po</w:t>
      </w:r>
      <w:r>
        <w:rPr>
          <w:rFonts w:ascii="Times New Roman" w:hAnsi="Times New Roman"/>
          <w:noProof/>
          <w:sz w:val="24"/>
          <w:lang w:val="de-DE"/>
        </w:rPr>
        <w:t>sitive Nebeneffekte für andere Schadstoffe mit sich bringen („Co-Control“). Ein Beispiel dafür ist die Begrenzung der landwirtschaftlichen Abfallverbrennung im Rahmen der GAP</w:t>
      </w:r>
      <w:r>
        <w:rPr>
          <w:rFonts w:ascii="Times New Roman" w:hAnsi="Times New Roman"/>
          <w:noProof/>
          <w:sz w:val="24"/>
          <w:vertAlign w:val="superscript"/>
          <w:lang w:val="de-DE"/>
        </w:rPr>
        <w:footnoteReference w:id="25"/>
      </w:r>
      <w:r>
        <w:rPr>
          <w:rFonts w:ascii="Times New Roman" w:hAnsi="Times New Roman"/>
          <w:noProof/>
          <w:sz w:val="24"/>
          <w:lang w:val="de-DE"/>
        </w:rPr>
        <w:t xml:space="preserve"> und gemäß Anhang III der Richtlinie über nationale Emissionshöchstmengen, mit de</w:t>
      </w:r>
      <w:r>
        <w:rPr>
          <w:rFonts w:ascii="Times New Roman" w:hAnsi="Times New Roman"/>
          <w:noProof/>
          <w:sz w:val="24"/>
          <w:lang w:val="de-DE"/>
        </w:rPr>
        <w:t>r häufig eine Senkung der NH</w:t>
      </w:r>
      <w:r>
        <w:rPr>
          <w:rFonts w:ascii="Times New Roman" w:hAnsi="Times New Roman"/>
          <w:noProof/>
          <w:sz w:val="24"/>
          <w:vertAlign w:val="subscript"/>
          <w:lang w:val="de-DE"/>
        </w:rPr>
        <w:t>3</w:t>
      </w:r>
      <w:r>
        <w:rPr>
          <w:rFonts w:ascii="Times New Roman" w:hAnsi="Times New Roman"/>
          <w:noProof/>
          <w:sz w:val="24"/>
          <w:lang w:val="de-DE"/>
        </w:rPr>
        <w:t>-Emissionen erreicht werden soll, die aber auch zu verringerten Emissionen von Feinstaub und flüchtigen organischen Verbindungen führt. In vielen Fällen bewirken diese Synergieeffekte Kosteneinsparungen, in einigen anderen Fäll</w:t>
      </w:r>
      <w:r>
        <w:rPr>
          <w:rFonts w:ascii="Times New Roman" w:hAnsi="Times New Roman"/>
          <w:noProof/>
          <w:sz w:val="24"/>
          <w:lang w:val="de-DE"/>
        </w:rPr>
        <w:t>en bringen sie aber in erster Linie gesundheitliche Vorteile mit sich. In welchem Umfang dieser Faktor sich auswirkt, hängt davon ab, welche Maßnahmen in den Mitgliedstaaten in der Praxis kombiniert werden.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Im Hinblick auf eine Eutrophierung machen sich di</w:t>
      </w:r>
      <w:r>
        <w:rPr>
          <w:rFonts w:ascii="Times New Roman" w:hAnsi="Times New Roman"/>
          <w:noProof/>
          <w:sz w:val="24"/>
          <w:lang w:val="de-DE"/>
        </w:rPr>
        <w:t>ese Effekte nicht in gleicher Weise bemerkbar. Tatsächlich dient keine der seit 2014 angenommenen zusätzlichen EU-Vorschriften über Emissionsquellen der Senkung der NH</w:t>
      </w:r>
      <w:r>
        <w:rPr>
          <w:rFonts w:ascii="Times New Roman" w:hAnsi="Times New Roman"/>
          <w:noProof/>
          <w:sz w:val="24"/>
          <w:vertAlign w:val="subscript"/>
          <w:lang w:val="de-DE"/>
        </w:rPr>
        <w:t>3</w:t>
      </w:r>
      <w:r>
        <w:rPr>
          <w:rFonts w:ascii="Times New Roman" w:hAnsi="Times New Roman"/>
          <w:noProof/>
          <w:sz w:val="24"/>
          <w:lang w:val="de-DE"/>
        </w:rPr>
        <w:t>-Emissionen, und die positiven Nebeneffekte sind begrenzt. Daher führt die Lockerung der</w:t>
      </w:r>
      <w:r>
        <w:rPr>
          <w:rFonts w:ascii="Times New Roman" w:hAnsi="Times New Roman"/>
          <w:noProof/>
          <w:sz w:val="24"/>
          <w:lang w:val="de-DE"/>
        </w:rPr>
        <w:t xml:space="preserve"> Anforderung an die NH</w:t>
      </w:r>
      <w:r>
        <w:rPr>
          <w:rFonts w:ascii="Times New Roman" w:hAnsi="Times New Roman"/>
          <w:noProof/>
          <w:sz w:val="24"/>
          <w:vertAlign w:val="subscript"/>
          <w:lang w:val="de-DE"/>
        </w:rPr>
        <w:t>3</w:t>
      </w:r>
      <w:r>
        <w:rPr>
          <w:rFonts w:ascii="Times New Roman" w:hAnsi="Times New Roman"/>
          <w:noProof/>
          <w:sz w:val="24"/>
          <w:lang w:val="de-DE"/>
        </w:rPr>
        <w:t xml:space="preserve">-Emissionssenkung zwischen dem Vorschlag der Kommission und der angenommenen Richtlinie über nationale Emissionshöchstwerte (von 25 % auf 19 %) dazu, dass sich die durch die Emissionssenkung bewirkte Verbesserung für Ökosysteme etwa </w:t>
      </w:r>
      <w:r>
        <w:rPr>
          <w:rFonts w:ascii="Times New Roman" w:hAnsi="Times New Roman"/>
          <w:noProof/>
          <w:sz w:val="24"/>
          <w:lang w:val="de-DE"/>
        </w:rPr>
        <w:t>im gleichen Maße verringert.</w:t>
      </w:r>
    </w:p>
    <w:p w:rsidR="00ED5820" w:rsidRDefault="00DE54EB">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de-DE"/>
        </w:rPr>
      </w:pPr>
      <w:r>
        <w:rPr>
          <w:rFonts w:ascii="Times New Roman" w:hAnsi="Times New Roman"/>
          <w:b/>
          <w:noProof/>
          <w:sz w:val="24"/>
          <w:lang w:val="de-DE"/>
        </w:rPr>
        <w:t>Umsetzung der Emissionsreduktionsverpflichtungen für 2020 und 2030 gemäß der Richtlinie über nationale Emissionshöchstmengen</w:t>
      </w:r>
    </w:p>
    <w:p w:rsidR="00ED5820" w:rsidRDefault="00DE54EB">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lang w:val="de-DE"/>
        </w:rPr>
      </w:pPr>
      <w:r>
        <w:rPr>
          <w:rFonts w:ascii="Times New Roman" w:hAnsi="Times New Roman"/>
          <w:i/>
          <w:noProof/>
          <w:sz w:val="24"/>
          <w:lang w:val="de-DE"/>
        </w:rPr>
        <w:t>Erfüllung der Emissionsreduktionsverpflichtungen für 2020</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 xml:space="preserve">In der Auswirkungsbewertung von 2013 wurde </w:t>
      </w:r>
      <w:r>
        <w:rPr>
          <w:rFonts w:ascii="Times New Roman" w:hAnsi="Times New Roman"/>
          <w:noProof/>
          <w:sz w:val="24"/>
          <w:lang w:val="de-DE"/>
        </w:rPr>
        <w:t>prognostiziert, dass die Emissionsreduktionsverpflichtungen der EU für 2020 (die 2012 bei der Überarbeitung des Göteborg-Protokolls festgesetzt wurden) durch die EU-Vorschriften erreicht würden, die zu dem Zeitpunkt bereits in Kraft waren. Die aktualisiert</w:t>
      </w:r>
      <w:r>
        <w:rPr>
          <w:rFonts w:ascii="Times New Roman" w:hAnsi="Times New Roman"/>
          <w:noProof/>
          <w:sz w:val="24"/>
          <w:lang w:val="de-DE"/>
        </w:rPr>
        <w:t>e Analyse bestätigt dies für die EU-Ebene, für einzelne Mitgliedstaaten können sich aber unterschiedliche Auswirkungen ergeben, und je nach nationalen Bedingungen können weitere Maßnahmen erforderlich sein, um die Konformität zu gewährleisten.</w:t>
      </w:r>
    </w:p>
    <w:p w:rsidR="00ED5820" w:rsidRDefault="00DE54EB">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lang w:val="de-DE"/>
        </w:rPr>
      </w:pPr>
      <w:bookmarkStart w:id="6" w:name="_Ref496879435"/>
      <w:r>
        <w:rPr>
          <w:rFonts w:ascii="Times New Roman" w:hAnsi="Times New Roman"/>
          <w:i/>
          <w:noProof/>
          <w:sz w:val="24"/>
          <w:lang w:val="de-DE"/>
        </w:rPr>
        <w:t>Erfüllung de</w:t>
      </w:r>
      <w:r>
        <w:rPr>
          <w:rFonts w:ascii="Times New Roman" w:hAnsi="Times New Roman"/>
          <w:i/>
          <w:noProof/>
          <w:sz w:val="24"/>
          <w:lang w:val="de-DE"/>
        </w:rPr>
        <w:t>r Emissionsreduktionsverpflichtungen für 2030</w:t>
      </w:r>
      <w:bookmarkEnd w:id="6"/>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Die geschätzten Kosten der im Vorschlag der Kommission für die Richtlinie über nationale Emissionshöchstmengen vorgesehenen Emissionssenkungen bis zum Jahr 2030 beliefen sich auf 2,2 Mrd. EUR.</w:t>
      </w:r>
      <w:r>
        <w:rPr>
          <w:rFonts w:ascii="Times New Roman" w:hAnsi="Times New Roman"/>
          <w:noProof/>
          <w:sz w:val="24"/>
          <w:vertAlign w:val="superscript"/>
          <w:lang w:val="de-DE"/>
        </w:rPr>
        <w:footnoteReference w:id="26"/>
      </w:r>
      <w:r>
        <w:rPr>
          <w:rFonts w:ascii="Times New Roman" w:hAnsi="Times New Roman"/>
          <w:noProof/>
          <w:sz w:val="24"/>
          <w:lang w:val="de-DE"/>
        </w:rPr>
        <w:t xml:space="preserve"> Die Analyse hat jedoch gezeigt, dass die Kosten der tatsächlichen Emissionssenkungen, die in der im Dezember 2016 angenommenen Richtlinie über nationale Emissionshöchstmengen vereinbart wurden, mit 1,8 Mrd. EUR sogar unterschritten wurden. Dies ist auf di</w:t>
      </w:r>
      <w:r>
        <w:rPr>
          <w:rFonts w:ascii="Times New Roman" w:hAnsi="Times New Roman"/>
          <w:noProof/>
          <w:sz w:val="24"/>
          <w:lang w:val="de-DE"/>
        </w:rPr>
        <w:t xml:space="preserve">e Lockerung der Zielwerte für die Emissionssenkungen zurückzuführen, die die Legislativorgane vereinbart haben. </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Unter Berücksichtigung der seit 2014 angenommenen zusätzlichen Vorschriften über Emissionsquellen reduzieren sich die Kosten für die Durchführu</w:t>
      </w:r>
      <w:r>
        <w:rPr>
          <w:rFonts w:ascii="Times New Roman" w:hAnsi="Times New Roman"/>
          <w:noProof/>
          <w:sz w:val="24"/>
          <w:lang w:val="de-DE"/>
        </w:rPr>
        <w:t>ng der Richtlinie über nationale Emissionshöchstmengen voraussichtlich weiter auf 960 Mio. EUR (oder 1,9 EUR je Person und Jahr).</w:t>
      </w:r>
      <w:r>
        <w:rPr>
          <w:rFonts w:ascii="Times New Roman" w:hAnsi="Times New Roman"/>
          <w:noProof/>
          <w:sz w:val="24"/>
          <w:vertAlign w:val="superscript"/>
          <w:lang w:val="de-DE"/>
        </w:rPr>
        <w:footnoteReference w:id="27"/>
      </w:r>
      <w:r>
        <w:rPr>
          <w:rFonts w:ascii="Times New Roman" w:hAnsi="Times New Roman"/>
          <w:noProof/>
          <w:sz w:val="24"/>
          <w:lang w:val="de-DE"/>
        </w:rPr>
        <w:t xml:space="preserve"> Zu einem erheblichen Anteil ist die Differenz auf die Durchführung der Bestimmungen über die umweltgerechte Gestaltung von Fe</w:t>
      </w:r>
      <w:r>
        <w:rPr>
          <w:rFonts w:ascii="Times New Roman" w:hAnsi="Times New Roman"/>
          <w:noProof/>
          <w:sz w:val="24"/>
          <w:lang w:val="de-DE"/>
        </w:rPr>
        <w:t xml:space="preserve">stbrennstofföfen und </w:t>
      </w:r>
      <w:r>
        <w:rPr>
          <w:rFonts w:ascii="MS Mincho" w:hAnsi="MS Mincho" w:cs="MS Mincho"/>
          <w:noProof/>
          <w:sz w:val="24"/>
          <w:lang w:val="de-DE"/>
        </w:rPr>
        <w:t>‑</w:t>
      </w:r>
      <w:r>
        <w:rPr>
          <w:rFonts w:ascii="Times New Roman" w:hAnsi="Times New Roman"/>
          <w:noProof/>
          <w:sz w:val="24"/>
          <w:lang w:val="de-DE"/>
        </w:rPr>
        <w:t>kesseln in Privathaushalten zur</w:t>
      </w:r>
      <w:r>
        <w:rPr>
          <w:rFonts w:ascii="Times New Roman" w:hAnsi="Times New Roman" w:cs="Times New Roman"/>
          <w:noProof/>
          <w:sz w:val="24"/>
          <w:lang w:val="de-DE"/>
        </w:rPr>
        <w:t>ü</w:t>
      </w:r>
      <w:r>
        <w:rPr>
          <w:rFonts w:ascii="Times New Roman" w:hAnsi="Times New Roman"/>
          <w:noProof/>
          <w:sz w:val="24"/>
          <w:lang w:val="de-DE"/>
        </w:rPr>
        <w:t>ckzuf</w:t>
      </w:r>
      <w:r>
        <w:rPr>
          <w:rFonts w:ascii="Times New Roman" w:hAnsi="Times New Roman" w:cs="Times New Roman"/>
          <w:noProof/>
          <w:sz w:val="24"/>
          <w:lang w:val="de-DE"/>
        </w:rPr>
        <w:t>ü</w:t>
      </w:r>
      <w:r>
        <w:rPr>
          <w:rFonts w:ascii="Times New Roman" w:hAnsi="Times New Roman"/>
          <w:noProof/>
          <w:sz w:val="24"/>
          <w:lang w:val="de-DE"/>
        </w:rPr>
        <w:t>hren. Wenn die geschätzten Auswirkungen des zukünftigen EU-Rahmens für die Klima- und Energiepolitik bis 2030</w:t>
      </w:r>
      <w:r>
        <w:rPr>
          <w:rFonts w:ascii="Times New Roman" w:hAnsi="Times New Roman"/>
          <w:noProof/>
          <w:sz w:val="24"/>
          <w:vertAlign w:val="superscript"/>
          <w:lang w:val="de-DE"/>
        </w:rPr>
        <w:footnoteReference w:id="28"/>
      </w:r>
      <w:r>
        <w:rPr>
          <w:rFonts w:ascii="Times New Roman" w:hAnsi="Times New Roman"/>
          <w:noProof/>
          <w:sz w:val="24"/>
          <w:lang w:val="de-DE"/>
        </w:rPr>
        <w:t xml:space="preserve"> ebenfalls berücksichtigt werden, ist ein weiterer Kostenrückgang (in erster Linie in </w:t>
      </w:r>
      <w:r>
        <w:rPr>
          <w:rFonts w:ascii="Times New Roman" w:hAnsi="Times New Roman"/>
          <w:noProof/>
          <w:sz w:val="24"/>
          <w:lang w:val="de-DE"/>
        </w:rPr>
        <w:t>der Energiebranche und in der Industrie) auf 540 Mio. EUR (d. h. 1,05 EUR je Person und Jahr) zu erwarten. Der Nutzen dürfte gegenüber den Kosten deutlich überwiegen: um einen Faktor zwischen 14 (konservative Schätzung) und 50.</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Der Anteil der von den einze</w:t>
      </w:r>
      <w:r>
        <w:rPr>
          <w:rFonts w:ascii="Times New Roman" w:hAnsi="Times New Roman"/>
          <w:noProof/>
          <w:sz w:val="24"/>
          <w:lang w:val="de-DE"/>
        </w:rPr>
        <w:t>lnen Mitgliedstaaten getragenen Durchführungskosten variiert ebenfalls. Dies ist auf verschiedene Faktoren zurückzuführen, unter anderem auf neue Vorschriften über Emissionsquellen und Änderungen in den Prognosen des nationalen Energiemixes für 2030 (insbe</w:t>
      </w:r>
      <w:r>
        <w:rPr>
          <w:rFonts w:ascii="Times New Roman" w:hAnsi="Times New Roman"/>
          <w:noProof/>
          <w:sz w:val="24"/>
          <w:lang w:val="de-DE"/>
        </w:rPr>
        <w:t>sondere durch den vermehrten Einsatz von Kohle in einigen Mitgliedstaaten).</w:t>
      </w:r>
      <w:r>
        <w:rPr>
          <w:rFonts w:ascii="Times New Roman" w:hAnsi="Times New Roman"/>
          <w:noProof/>
          <w:sz w:val="24"/>
          <w:vertAlign w:val="superscript"/>
          <w:lang w:val="de-DE"/>
        </w:rPr>
        <w:footnoteReference w:id="29"/>
      </w:r>
    </w:p>
    <w:p w:rsidR="00ED5820" w:rsidRDefault="00DE54EB">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lang w:val="de-DE"/>
        </w:rPr>
      </w:pPr>
      <w:r>
        <w:rPr>
          <w:rFonts w:ascii="Times New Roman" w:hAnsi="Times New Roman"/>
          <w:i/>
          <w:noProof/>
          <w:sz w:val="24"/>
          <w:lang w:val="de-DE"/>
        </w:rPr>
        <w:t>Bereiche, in denen zusätzliche Vorschriften über Emissionsquellen erforderlich sein könnten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Die nachstehende Abbildung 2a stellt den Anteil der Emissionssenkungen dar, die a) durc</w:t>
      </w:r>
      <w:r>
        <w:rPr>
          <w:rFonts w:ascii="Times New Roman" w:hAnsi="Times New Roman"/>
          <w:noProof/>
          <w:sz w:val="24"/>
          <w:lang w:val="de-DE"/>
        </w:rPr>
        <w:t>h die vor 2014 angenommenen Basisvorschriften, b) durch die seit 2014 angenommenen zusätzlichen Vorschriften, c) durch weitere Maßnahmen, die zur Erfüllung der Emissionsreduktionsanforderungen gemäß der Richtlinie über nationale Emissionshöchstmengen erfor</w:t>
      </w:r>
      <w:r>
        <w:rPr>
          <w:rFonts w:ascii="Times New Roman" w:hAnsi="Times New Roman"/>
          <w:noProof/>
          <w:sz w:val="24"/>
          <w:lang w:val="de-DE"/>
        </w:rPr>
        <w:t>derlich sind, und d) durch „Co-Control“-Maßnahmen (siehe Abschnitt 3.1) erreicht werden. Die „Co-Control“-Maßnahmen mit den deutlichsten positiven Nebeneffekten sind a) das Verbot der landwirtschaftlichen Abfallverbrennung gemäß Anhang III der Richtlinie ü</w:t>
      </w:r>
      <w:r>
        <w:rPr>
          <w:rFonts w:ascii="Times New Roman" w:hAnsi="Times New Roman"/>
          <w:noProof/>
          <w:sz w:val="24"/>
          <w:lang w:val="de-DE"/>
        </w:rPr>
        <w:t>ber nationale Emissionshöchstmengen (Senkung der PM</w:t>
      </w:r>
      <w:r>
        <w:rPr>
          <w:rFonts w:ascii="Times New Roman" w:hAnsi="Times New Roman"/>
          <w:noProof/>
          <w:sz w:val="24"/>
          <w:vertAlign w:val="subscript"/>
          <w:lang w:val="de-DE"/>
        </w:rPr>
        <w:t>2.5</w:t>
      </w:r>
      <w:r>
        <w:rPr>
          <w:rFonts w:ascii="Times New Roman" w:hAnsi="Times New Roman"/>
          <w:noProof/>
          <w:sz w:val="24"/>
          <w:lang w:val="de-DE"/>
        </w:rPr>
        <w:t>-, VOC</w:t>
      </w:r>
      <w:r>
        <w:rPr>
          <w:rFonts w:ascii="Times New Roman" w:hAnsi="Times New Roman"/>
          <w:noProof/>
          <w:sz w:val="24"/>
          <w:lang w:val="de-DE"/>
        </w:rPr>
        <w:noBreakHyphen/>
        <w:t>, NH</w:t>
      </w:r>
      <w:r>
        <w:rPr>
          <w:rFonts w:ascii="Times New Roman" w:hAnsi="Times New Roman"/>
          <w:noProof/>
          <w:sz w:val="24"/>
          <w:vertAlign w:val="subscript"/>
          <w:lang w:val="de-DE"/>
        </w:rPr>
        <w:t>3</w:t>
      </w:r>
      <w:r>
        <w:rPr>
          <w:rFonts w:ascii="Times New Roman" w:hAnsi="Times New Roman"/>
          <w:noProof/>
          <w:sz w:val="24"/>
          <w:lang w:val="de-DE"/>
        </w:rPr>
        <w:t>- sowie CO- und CH</w:t>
      </w:r>
      <w:r>
        <w:rPr>
          <w:rFonts w:ascii="Times New Roman" w:hAnsi="Times New Roman"/>
          <w:noProof/>
          <w:sz w:val="24"/>
          <w:vertAlign w:val="subscript"/>
          <w:lang w:val="de-DE"/>
        </w:rPr>
        <w:t>4</w:t>
      </w:r>
      <w:r>
        <w:rPr>
          <w:rFonts w:ascii="Times New Roman" w:hAnsi="Times New Roman"/>
          <w:noProof/>
          <w:sz w:val="24"/>
          <w:lang w:val="de-DE"/>
        </w:rPr>
        <w:t>-Emissionen), b) die Minderung der Emissionen von Holzöfen nach Standards der umweltgerechten Gestaltung (Senkung der PM</w:t>
      </w:r>
      <w:r>
        <w:rPr>
          <w:rFonts w:ascii="Times New Roman" w:hAnsi="Times New Roman"/>
          <w:noProof/>
          <w:sz w:val="24"/>
          <w:vertAlign w:val="subscript"/>
          <w:lang w:val="de-DE"/>
        </w:rPr>
        <w:t>2.5</w:t>
      </w:r>
      <w:r>
        <w:rPr>
          <w:rFonts w:ascii="Times New Roman" w:hAnsi="Times New Roman"/>
          <w:noProof/>
          <w:sz w:val="24"/>
          <w:lang w:val="de-DE"/>
        </w:rPr>
        <w:t>-, VOC-, NO</w:t>
      </w:r>
      <w:r>
        <w:rPr>
          <w:rFonts w:ascii="Times New Roman" w:hAnsi="Times New Roman"/>
          <w:noProof/>
          <w:sz w:val="24"/>
          <w:vertAlign w:val="subscript"/>
          <w:lang w:val="de-DE"/>
        </w:rPr>
        <w:t>x</w:t>
      </w:r>
      <w:r>
        <w:rPr>
          <w:rFonts w:ascii="Times New Roman" w:hAnsi="Times New Roman"/>
          <w:noProof/>
          <w:sz w:val="24"/>
          <w:lang w:val="de-DE"/>
        </w:rPr>
        <w:t>- und NH</w:t>
      </w:r>
      <w:r>
        <w:rPr>
          <w:rFonts w:ascii="Times New Roman" w:hAnsi="Times New Roman"/>
          <w:noProof/>
          <w:sz w:val="24"/>
          <w:vertAlign w:val="subscript"/>
          <w:lang w:val="de-DE"/>
        </w:rPr>
        <w:t>3</w:t>
      </w:r>
      <w:r>
        <w:rPr>
          <w:rFonts w:ascii="Times New Roman" w:hAnsi="Times New Roman"/>
          <w:noProof/>
          <w:sz w:val="24"/>
          <w:lang w:val="de-DE"/>
        </w:rPr>
        <w:t>- sowie CO- und CH</w:t>
      </w:r>
      <w:r>
        <w:rPr>
          <w:rFonts w:ascii="Times New Roman" w:hAnsi="Times New Roman"/>
          <w:noProof/>
          <w:sz w:val="24"/>
          <w:vertAlign w:val="subscript"/>
          <w:lang w:val="de-DE"/>
        </w:rPr>
        <w:t>4</w:t>
      </w:r>
      <w:r>
        <w:rPr>
          <w:rFonts w:ascii="Times New Roman" w:hAnsi="Times New Roman"/>
          <w:noProof/>
          <w:sz w:val="24"/>
          <w:lang w:val="de-DE"/>
        </w:rPr>
        <w:t>-Emissio</w:t>
      </w:r>
      <w:r>
        <w:rPr>
          <w:rFonts w:ascii="Times New Roman" w:hAnsi="Times New Roman"/>
          <w:noProof/>
          <w:sz w:val="24"/>
          <w:lang w:val="de-DE"/>
        </w:rPr>
        <w:t>nen) und c) die Minderung der Emissionen aus Kohleöfen, ebenfalls aufgrund der umweltgerechten Gestaltung (Senkung der PM</w:t>
      </w:r>
      <w:r>
        <w:rPr>
          <w:rFonts w:ascii="Times New Roman" w:hAnsi="Times New Roman"/>
          <w:noProof/>
          <w:sz w:val="24"/>
          <w:vertAlign w:val="subscript"/>
          <w:lang w:val="de-DE"/>
        </w:rPr>
        <w:t>2.5</w:t>
      </w:r>
      <w:r>
        <w:rPr>
          <w:rFonts w:ascii="Times New Roman" w:hAnsi="Times New Roman"/>
          <w:noProof/>
          <w:sz w:val="24"/>
          <w:lang w:val="de-DE"/>
        </w:rPr>
        <w:t>-, VOC-, SO</w:t>
      </w:r>
      <w:r>
        <w:rPr>
          <w:rFonts w:ascii="Times New Roman" w:hAnsi="Times New Roman"/>
          <w:noProof/>
          <w:sz w:val="24"/>
          <w:vertAlign w:val="subscript"/>
          <w:lang w:val="de-DE"/>
        </w:rPr>
        <w:t>2</w:t>
      </w:r>
      <w:r>
        <w:rPr>
          <w:rFonts w:ascii="Times New Roman" w:hAnsi="Times New Roman"/>
          <w:noProof/>
          <w:sz w:val="24"/>
          <w:lang w:val="de-DE"/>
        </w:rPr>
        <w:t>- und NO</w:t>
      </w:r>
      <w:r>
        <w:rPr>
          <w:rFonts w:ascii="Times New Roman" w:hAnsi="Times New Roman"/>
          <w:noProof/>
          <w:sz w:val="24"/>
          <w:vertAlign w:val="subscript"/>
          <w:lang w:val="de-DE"/>
        </w:rPr>
        <w:t>x</w:t>
      </w:r>
      <w:r>
        <w:rPr>
          <w:rFonts w:ascii="Times New Roman" w:hAnsi="Times New Roman"/>
          <w:noProof/>
          <w:sz w:val="24"/>
          <w:lang w:val="de-DE"/>
        </w:rPr>
        <w:t>-Emissionen).</w:t>
      </w:r>
    </w:p>
    <w:p w:rsidR="00ED5820" w:rsidRDefault="00DE54EB">
      <w:pPr>
        <w:spacing w:before="120" w:after="120" w:line="240" w:lineRule="auto"/>
        <w:jc w:val="both"/>
        <w:rPr>
          <w:rFonts w:ascii="Times New Roman" w:hAnsi="Times New Roman"/>
          <w:noProof/>
          <w:sz w:val="24"/>
          <w:lang w:val="de-DE"/>
        </w:rPr>
      </w:pPr>
      <w:r>
        <w:rPr>
          <w:rFonts w:ascii="Times New Roman" w:hAnsi="Times New Roman"/>
          <w:noProof/>
          <w:sz w:val="24"/>
          <w:lang w:val="de-DE"/>
        </w:rPr>
        <w:t xml:space="preserve">Die Analyse bestätigt weitgehend die Wirksamkeit des Konzepts des ursprünglichen Vorschlags. Für </w:t>
      </w:r>
      <w:r>
        <w:rPr>
          <w:rFonts w:ascii="Times New Roman" w:hAnsi="Times New Roman"/>
          <w:noProof/>
          <w:sz w:val="24"/>
          <w:lang w:val="de-DE"/>
        </w:rPr>
        <w:t>SO</w:t>
      </w:r>
      <w:r>
        <w:rPr>
          <w:rFonts w:ascii="Times New Roman" w:hAnsi="Times New Roman"/>
          <w:noProof/>
          <w:sz w:val="24"/>
          <w:vertAlign w:val="subscript"/>
          <w:lang w:val="de-DE"/>
        </w:rPr>
        <w:t>2</w:t>
      </w:r>
      <w:r>
        <w:rPr>
          <w:rFonts w:ascii="Times New Roman" w:hAnsi="Times New Roman"/>
          <w:noProof/>
          <w:sz w:val="24"/>
          <w:lang w:val="de-DE"/>
        </w:rPr>
        <w:t xml:space="preserve"> und NO</w:t>
      </w:r>
      <w:r>
        <w:rPr>
          <w:rFonts w:ascii="Times New Roman" w:hAnsi="Times New Roman"/>
          <w:noProof/>
          <w:sz w:val="24"/>
          <w:vertAlign w:val="subscript"/>
          <w:lang w:val="de-DE"/>
        </w:rPr>
        <w:t>x</w:t>
      </w:r>
      <w:r>
        <w:rPr>
          <w:rFonts w:ascii="Times New Roman" w:hAnsi="Times New Roman"/>
          <w:noProof/>
          <w:sz w:val="24"/>
          <w:lang w:val="de-DE"/>
        </w:rPr>
        <w:t xml:space="preserve"> werden durch die 2013 bereits wirksamen Vorschriften starke Emissionssenkungen erreicht. Die wichtigste Wirkung der Emissionsreduktionsverpflichtungen besteht darin, diese Senkungen zu konsolidieren und zu gewährleisten, dass Änderungen der Tät</w:t>
      </w:r>
      <w:r>
        <w:rPr>
          <w:rFonts w:ascii="Times New Roman" w:hAnsi="Times New Roman"/>
          <w:noProof/>
          <w:sz w:val="24"/>
          <w:lang w:val="de-DE"/>
        </w:rPr>
        <w:t>igkeit (z. B. vermehrter Einsatz von Kohle in einigen Mitgliedstaaten) die Gesamtsenkung nicht beeinträchtigen. Für Feinstaub (PM) und flüchtige organische Verbindungen (VOC) sind die Auswirkungen der Richtlinie über nationale Emissionshöchstmengen und der</w:t>
      </w:r>
      <w:r>
        <w:rPr>
          <w:rFonts w:ascii="Times New Roman" w:hAnsi="Times New Roman"/>
          <w:noProof/>
          <w:sz w:val="24"/>
          <w:lang w:val="de-DE"/>
        </w:rPr>
        <w:t xml:space="preserve"> seit 2014 angenommenen zusätzlichen Vorschriften deutlich stärker. Dies deutet darauf hin, dass durch die früheren Vorschriften nur geringere Emissionssenkungen erreicht wurden. </w:t>
      </w:r>
    </w:p>
    <w:p w:rsidR="00ED5820" w:rsidRDefault="00DE54EB">
      <w:pPr>
        <w:rPr>
          <w:noProof/>
          <w:lang w:val="de-DE"/>
        </w:rPr>
      </w:pPr>
      <w:r>
        <w:rPr>
          <w:noProof/>
          <w:lang w:val="de-DE"/>
        </w:rPr>
        <w:br w:type="page"/>
      </w:r>
    </w:p>
    <w:p w:rsidR="00ED5820" w:rsidRDefault="00DE54EB">
      <w:pPr>
        <w:keepNext/>
        <w:spacing w:before="120" w:after="120" w:line="240" w:lineRule="auto"/>
        <w:jc w:val="both"/>
        <w:rPr>
          <w:rFonts w:ascii="Times New Roman" w:hAnsi="Times New Roman"/>
          <w:b/>
          <w:noProof/>
          <w:vertAlign w:val="subscript"/>
          <w:lang w:val="de-DE"/>
        </w:rPr>
      </w:pPr>
      <w:r>
        <w:rPr>
          <w:rFonts w:ascii="Times New Roman" w:hAnsi="Times New Roman"/>
          <w:b/>
          <w:noProof/>
          <w:lang w:val="de-DE"/>
        </w:rPr>
        <w:t xml:space="preserve">Abbildung 2a: Beiträge zur Erfüllung der Emissionsreduktionsanforderungen </w:t>
      </w:r>
      <w:r>
        <w:rPr>
          <w:rFonts w:ascii="Times New Roman" w:hAnsi="Times New Roman"/>
          <w:b/>
          <w:noProof/>
          <w:lang w:val="de-DE"/>
        </w:rPr>
        <w:t>durch (i) die vor 2014 angenommenen Basisvorschriften, (ii) die nach 2014 angenommenen Legislativmaßnahmen, (iii) weitere Maßnahmen, die zur Erfüllung der Emissionsreduktionsanforderungen erforderlich sind, und (iv) positive Nebeneffekte von Maßnahmen, die</w:t>
      </w:r>
      <w:r>
        <w:rPr>
          <w:rFonts w:ascii="Times New Roman" w:hAnsi="Times New Roman"/>
          <w:b/>
          <w:noProof/>
          <w:lang w:val="de-DE"/>
        </w:rPr>
        <w:t xml:space="preserve"> zur Senkung anderer Emissionen bestimmt sind: SO</w:t>
      </w:r>
      <w:r>
        <w:rPr>
          <w:rFonts w:ascii="Times New Roman" w:hAnsi="Times New Roman"/>
          <w:b/>
          <w:noProof/>
          <w:vertAlign w:val="subscript"/>
          <w:lang w:val="de-DE"/>
        </w:rPr>
        <w:t>2</w:t>
      </w:r>
      <w:r>
        <w:rPr>
          <w:rFonts w:ascii="Times New Roman" w:hAnsi="Times New Roman"/>
          <w:b/>
          <w:noProof/>
          <w:lang w:val="de-DE"/>
        </w:rPr>
        <w:t>, NO</w:t>
      </w:r>
      <w:r>
        <w:rPr>
          <w:rFonts w:ascii="Times New Roman" w:hAnsi="Times New Roman"/>
          <w:b/>
          <w:noProof/>
          <w:vertAlign w:val="subscript"/>
          <w:lang w:val="de-DE"/>
        </w:rPr>
        <w:t>x</w:t>
      </w:r>
      <w:r>
        <w:rPr>
          <w:rFonts w:ascii="Times New Roman" w:hAnsi="Times New Roman"/>
          <w:b/>
          <w:noProof/>
          <w:lang w:val="de-DE"/>
        </w:rPr>
        <w:t>, VOC und PM</w:t>
      </w:r>
      <w:r>
        <w:rPr>
          <w:rFonts w:ascii="Times New Roman" w:hAnsi="Times New Roman"/>
          <w:b/>
          <w:noProof/>
          <w:vertAlign w:val="subscript"/>
          <w:lang w:val="de-DE"/>
        </w:rPr>
        <w:t>2,5</w:t>
      </w:r>
    </w:p>
    <w:p w:rsidR="00ED5820" w:rsidRDefault="00ED5820">
      <w:pPr>
        <w:keepNext/>
        <w:spacing w:before="120" w:after="120" w:line="240" w:lineRule="auto"/>
        <w:jc w:val="both"/>
        <w:rPr>
          <w:rFonts w:ascii="Times New Roman" w:eastAsia="Times New Roman" w:hAnsi="Times New Roman" w:cs="Times New Roman"/>
          <w:b/>
          <w:noProof/>
          <w:lang w:val="de-DE"/>
        </w:rPr>
      </w:pPr>
    </w:p>
    <w:p w:rsidR="00ED5820" w:rsidRDefault="00DE54EB">
      <w:pPr>
        <w:keepNext/>
        <w:spacing w:before="120" w:after="120" w:line="240" w:lineRule="auto"/>
        <w:jc w:val="both"/>
        <w:rPr>
          <w:rFonts w:ascii="Times New Roman" w:eastAsia="Times New Roman" w:hAnsi="Times New Roman" w:cs="Times New Roman"/>
          <w:b/>
          <w:noProof/>
          <w:lang w:val="en-GB"/>
        </w:rPr>
      </w:pPr>
      <w:r>
        <w:rPr>
          <w:rFonts w:ascii="Times New Roman" w:eastAsia="Times New Roman" w:hAnsi="Times New Roman" w:cs="Times New Roman"/>
          <w:b/>
          <w:noProof/>
          <w:lang w:val="en-GB" w:eastAsia="en-GB"/>
        </w:rPr>
        <w:drawing>
          <wp:inline distT="0" distB="0" distL="0" distR="0">
            <wp:extent cx="2822676" cy="3566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3164" cy="3566777"/>
                    </a:xfrm>
                    <a:prstGeom prst="rect">
                      <a:avLst/>
                    </a:prstGeom>
                    <a:noFill/>
                  </pic:spPr>
                </pic:pic>
              </a:graphicData>
            </a:graphic>
          </wp:inline>
        </w:drawing>
      </w:r>
      <w:r>
        <w:rPr>
          <w:rFonts w:ascii="Times New Roman" w:eastAsia="Times New Roman" w:hAnsi="Times New Roman" w:cs="Times New Roman"/>
          <w:b/>
          <w:noProof/>
          <w:lang w:val="en-GB" w:eastAsia="en-GB"/>
        </w:rPr>
        <w:drawing>
          <wp:inline distT="0" distB="0" distL="0" distR="0">
            <wp:extent cx="2813012" cy="354787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3512" cy="3548503"/>
                    </a:xfrm>
                    <a:prstGeom prst="rect">
                      <a:avLst/>
                    </a:prstGeom>
                    <a:noFill/>
                  </pic:spPr>
                </pic:pic>
              </a:graphicData>
            </a:graphic>
          </wp:inline>
        </w:drawing>
      </w:r>
    </w:p>
    <w:p w:rsidR="00ED5820" w:rsidRDefault="00DE54EB">
      <w:pPr>
        <w:keepNext/>
        <w:spacing w:before="120" w:after="120" w:line="240" w:lineRule="auto"/>
        <w:jc w:val="both"/>
        <w:rPr>
          <w:rFonts w:ascii="Times New Roman" w:eastAsia="Times New Roman" w:hAnsi="Times New Roman" w:cs="Times New Roman"/>
          <w:b/>
          <w:noProof/>
          <w:lang w:val="en-GB"/>
        </w:rPr>
      </w:pPr>
      <w:r>
        <w:rPr>
          <w:rFonts w:ascii="Times New Roman" w:eastAsia="Times New Roman" w:hAnsi="Times New Roman" w:cs="Times New Roman"/>
          <w:b/>
          <w:noProof/>
          <w:lang w:val="en-GB" w:eastAsia="en-GB"/>
        </w:rPr>
        <w:drawing>
          <wp:inline distT="0" distB="0" distL="0" distR="0">
            <wp:extent cx="2828925" cy="354838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8925" cy="3548380"/>
                    </a:xfrm>
                    <a:prstGeom prst="rect">
                      <a:avLst/>
                    </a:prstGeom>
                    <a:noFill/>
                  </pic:spPr>
                </pic:pic>
              </a:graphicData>
            </a:graphic>
          </wp:inline>
        </w:drawing>
      </w:r>
      <w:r>
        <w:rPr>
          <w:rFonts w:ascii="Times New Roman" w:eastAsia="Times New Roman" w:hAnsi="Times New Roman" w:cs="Times New Roman"/>
          <w:b/>
          <w:noProof/>
          <w:lang w:val="en-GB" w:eastAsia="en-GB"/>
        </w:rPr>
        <w:drawing>
          <wp:inline distT="0" distB="0" distL="0" distR="0">
            <wp:extent cx="2821004" cy="35478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1434" cy="3548413"/>
                    </a:xfrm>
                    <a:prstGeom prst="rect">
                      <a:avLst/>
                    </a:prstGeom>
                    <a:noFill/>
                  </pic:spPr>
                </pic:pic>
              </a:graphicData>
            </a:graphic>
          </wp:inline>
        </w:drawing>
      </w:r>
    </w:p>
    <w:p w:rsidR="00ED5820" w:rsidRDefault="00DE54EB">
      <w:pPr>
        <w:keepNext/>
        <w:spacing w:before="120" w:after="120" w:line="240" w:lineRule="auto"/>
        <w:jc w:val="both"/>
        <w:rPr>
          <w:rFonts w:ascii="Times New Roman" w:hAnsi="Times New Roman"/>
          <w:noProof/>
          <w:sz w:val="24"/>
          <w:lang w:val="de-DE"/>
        </w:rPr>
      </w:pPr>
      <w:r>
        <w:rPr>
          <w:rFonts w:ascii="Times New Roman" w:hAnsi="Times New Roman"/>
          <w:noProof/>
          <w:sz w:val="24"/>
          <w:lang w:val="de-DE"/>
        </w:rPr>
        <w:t>Anders gestaltet sich die Entwicklung bei NH</w:t>
      </w:r>
      <w:r>
        <w:rPr>
          <w:rFonts w:ascii="Times New Roman" w:hAnsi="Times New Roman"/>
          <w:noProof/>
          <w:sz w:val="24"/>
          <w:vertAlign w:val="subscript"/>
          <w:lang w:val="de-DE"/>
        </w:rPr>
        <w:t>3</w:t>
      </w:r>
      <w:r>
        <w:rPr>
          <w:rFonts w:ascii="Times New Roman" w:hAnsi="Times New Roman"/>
          <w:noProof/>
          <w:sz w:val="24"/>
          <w:lang w:val="de-DE"/>
        </w:rPr>
        <w:t xml:space="preserve"> (siehe Abbildung 2b). Die Emissionssenkungen müssen fast ausschließlich durch die Richtlinie über nationale Emissionshöchstmengen er</w:t>
      </w:r>
      <w:r>
        <w:rPr>
          <w:rFonts w:ascii="Times New Roman" w:hAnsi="Times New Roman"/>
          <w:noProof/>
          <w:sz w:val="24"/>
          <w:lang w:val="de-DE"/>
        </w:rPr>
        <w:t>reicht werden, und die Vorschriften über Emissionsquellen in den Basisvorschriften vor 2014 wie in den seitdem angenommenen zusätzlichen Maßnahmen tragen wenig dazu bei.</w:t>
      </w:r>
    </w:p>
    <w:p w:rsidR="00ED5820" w:rsidRDefault="00ED5820">
      <w:pPr>
        <w:keepNext/>
        <w:spacing w:before="120" w:after="120" w:line="240" w:lineRule="auto"/>
        <w:jc w:val="both"/>
        <w:rPr>
          <w:rFonts w:ascii="Times New Roman" w:eastAsia="Times New Roman" w:hAnsi="Times New Roman" w:cs="Times New Roman"/>
          <w:noProof/>
          <w:sz w:val="24"/>
          <w:szCs w:val="20"/>
          <w:lang w:val="de-DE"/>
        </w:rPr>
      </w:pPr>
    </w:p>
    <w:p w:rsidR="00ED5820" w:rsidRDefault="00DE54EB">
      <w:pPr>
        <w:spacing w:before="120" w:after="120" w:line="240" w:lineRule="auto"/>
        <w:jc w:val="both"/>
        <w:rPr>
          <w:rFonts w:ascii="Times New Roman" w:eastAsia="Times New Roman" w:hAnsi="Times New Roman" w:cs="Times New Roman"/>
          <w:b/>
          <w:noProof/>
          <w:lang w:val="de-DE"/>
        </w:rPr>
      </w:pPr>
      <w:r>
        <w:rPr>
          <w:rFonts w:ascii="Times New Roman" w:hAnsi="Times New Roman"/>
          <w:b/>
          <w:noProof/>
          <w:lang w:val="de-DE"/>
        </w:rPr>
        <w:t>Abbildung 2b: Beiträge zur Erfüllung der Emissionsreduktionsanforderungen für NH</w:t>
      </w:r>
      <w:r>
        <w:rPr>
          <w:rFonts w:ascii="Times New Roman" w:hAnsi="Times New Roman"/>
          <w:b/>
          <w:noProof/>
          <w:vertAlign w:val="subscript"/>
          <w:lang w:val="de-DE"/>
        </w:rPr>
        <w:t>3</w:t>
      </w:r>
      <w:r>
        <w:rPr>
          <w:rFonts w:ascii="Times New Roman" w:hAnsi="Times New Roman"/>
          <w:b/>
          <w:noProof/>
          <w:lang w:val="de-DE"/>
        </w:rPr>
        <w:t xml:space="preserve"> dur</w:t>
      </w:r>
      <w:r>
        <w:rPr>
          <w:rFonts w:ascii="Times New Roman" w:hAnsi="Times New Roman"/>
          <w:b/>
          <w:noProof/>
          <w:lang w:val="de-DE"/>
        </w:rPr>
        <w:t>ch (i) die vor 2014 angenommenen Basisvorschriften, (ii) die nach 2014 angenommenen Legislativmaßnahmen, (iii) weitere Maßnahmen, die zur Erfüllung der Emissionsreduktionsanforderungen erforderlich sind, und (iv) positive Nebeneffekte von Maßnahmen, die zu</w:t>
      </w:r>
      <w:r>
        <w:rPr>
          <w:rFonts w:ascii="Times New Roman" w:hAnsi="Times New Roman"/>
          <w:b/>
          <w:noProof/>
          <w:lang w:val="de-DE"/>
        </w:rPr>
        <w:t>r Senkung anderer Emissionen bestimmt sind</w:t>
      </w:r>
    </w:p>
    <w:p w:rsidR="00ED5820" w:rsidRDefault="00DE54EB">
      <w:pPr>
        <w:keepNext/>
        <w:spacing w:after="120" w:line="240" w:lineRule="auto"/>
        <w:jc w:val="both"/>
        <w:rPr>
          <w:rFonts w:ascii="Times New Roman" w:eastAsia="Times New Roman" w:hAnsi="Times New Roman" w:cs="Times New Roman"/>
          <w:b/>
          <w:noProof/>
          <w:lang w:val="de-DE"/>
        </w:rPr>
      </w:pPr>
      <w:r>
        <w:rPr>
          <w:noProof/>
          <w:lang w:val="en-GB" w:eastAsia="en-GB"/>
        </w:rPr>
        <w:drawing>
          <wp:inline distT="0" distB="0" distL="0" distR="0">
            <wp:extent cx="2948940" cy="3468704"/>
            <wp:effectExtent l="0" t="0" r="381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8243" cy="3503172"/>
                    </a:xfrm>
                    <a:prstGeom prst="rect">
                      <a:avLst/>
                    </a:prstGeom>
                    <a:noFill/>
                    <a:ln>
                      <a:noFill/>
                    </a:ln>
                  </pic:spPr>
                </pic:pic>
              </a:graphicData>
            </a:graphic>
          </wp:inline>
        </w:drawing>
      </w:r>
    </w:p>
    <w:p w:rsidR="00ED5820" w:rsidRDefault="00ED5820">
      <w:pPr>
        <w:spacing w:before="120" w:after="120" w:line="240" w:lineRule="auto"/>
        <w:jc w:val="both"/>
        <w:rPr>
          <w:rFonts w:ascii="Times New Roman" w:eastAsia="Times New Roman" w:hAnsi="Times New Roman" w:cs="Times New Roman"/>
          <w:noProof/>
          <w:sz w:val="24"/>
          <w:szCs w:val="20"/>
          <w:lang w:val="de-DE"/>
        </w:rPr>
      </w:pP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Die landwirtschaftlichen Bereiche, in denen die vorgeschriebenen NH</w:t>
      </w:r>
      <w:r>
        <w:rPr>
          <w:rFonts w:ascii="Times New Roman" w:hAnsi="Times New Roman"/>
          <w:noProof/>
          <w:sz w:val="24"/>
          <w:vertAlign w:val="subscript"/>
          <w:lang w:val="de-DE"/>
        </w:rPr>
        <w:t>3</w:t>
      </w:r>
      <w:r>
        <w:rPr>
          <w:rFonts w:ascii="Times New Roman" w:hAnsi="Times New Roman"/>
          <w:noProof/>
          <w:sz w:val="24"/>
          <w:lang w:val="de-DE"/>
        </w:rPr>
        <w:t xml:space="preserve">-Emissionssenkungen erreicht wurden, sind in der nachstehenden Abbildung 3 dargestellt. In vielen Mitgliedstaaten wurde festgestellt, dass </w:t>
      </w:r>
      <w:r>
        <w:rPr>
          <w:rFonts w:ascii="Times New Roman" w:hAnsi="Times New Roman"/>
          <w:noProof/>
          <w:sz w:val="24"/>
          <w:lang w:val="de-DE"/>
        </w:rPr>
        <w:t>Maßnahmen zur Senkung der Emissionen aus der Anwendung mineralischer Düngemittel, speziell Harnstoff, kosteneffizient sind. Die Richtlinie über nationale Emissionshöchstmengen verbietet die Anwendung von Harnstoff nicht vollständig, da es tragfähige Option</w:t>
      </w:r>
      <w:r>
        <w:rPr>
          <w:rFonts w:ascii="Times New Roman" w:hAnsi="Times New Roman"/>
          <w:noProof/>
          <w:sz w:val="24"/>
          <w:lang w:val="de-DE"/>
        </w:rPr>
        <w:t>en für die Anwendung gibt, darunter die Ausbringung zu einem optimierten Zeitpunkt und in optimierter Menge, die Verwendung kommerziell erhältlicher Ureasehemmstoffe oder die Umstellung auf andere mineralische Düngemittel mit geringerer NH</w:t>
      </w:r>
      <w:r>
        <w:rPr>
          <w:rFonts w:ascii="Times New Roman" w:hAnsi="Times New Roman"/>
          <w:noProof/>
          <w:sz w:val="24"/>
          <w:vertAlign w:val="subscript"/>
          <w:lang w:val="de-DE"/>
        </w:rPr>
        <w:t>3</w:t>
      </w:r>
      <w:r>
        <w:rPr>
          <w:rFonts w:ascii="Times New Roman" w:hAnsi="Times New Roman"/>
          <w:noProof/>
          <w:sz w:val="24"/>
          <w:lang w:val="de-DE"/>
        </w:rPr>
        <w:t>-Freisetzung (z.</w:t>
      </w:r>
      <w:r>
        <w:rPr>
          <w:rFonts w:ascii="Times New Roman" w:hAnsi="Times New Roman"/>
          <w:noProof/>
          <w:sz w:val="24"/>
          <w:lang w:val="de-DE"/>
        </w:rPr>
        <w:t xml:space="preserve"> B. Ammoniumnitrat). Ein erheblicher Anteil der Emissionssenkung kann durch das Wirtschaftsdünger-Management in Schweine- und Geflügelhaltungsbetrieben erreicht werden, und die kürzlich veröffentlichten BVT-Schlussfolgerungen für die Intensivhaltung oder </w:t>
      </w:r>
      <w:r>
        <w:rPr>
          <w:noProof/>
          <w:lang w:val="de-DE"/>
        </w:rPr>
        <w:noBreakHyphen/>
      </w:r>
      <w:r>
        <w:rPr>
          <w:rFonts w:ascii="Times New Roman" w:hAnsi="Times New Roman"/>
          <w:noProof/>
          <w:sz w:val="24"/>
          <w:lang w:val="de-DE"/>
        </w:rPr>
        <w:t>aufzucht von Geflügel oder Schweinen</w:t>
      </w:r>
      <w:r>
        <w:rPr>
          <w:rFonts w:ascii="Times New Roman" w:hAnsi="Times New Roman"/>
          <w:noProof/>
          <w:sz w:val="24"/>
          <w:vertAlign w:val="superscript"/>
          <w:lang w:val="de-DE"/>
        </w:rPr>
        <w:footnoteReference w:id="30"/>
      </w:r>
      <w:r>
        <w:rPr>
          <w:rFonts w:ascii="Times New Roman" w:hAnsi="Times New Roman"/>
          <w:noProof/>
          <w:sz w:val="24"/>
          <w:lang w:val="de-DE"/>
        </w:rPr>
        <w:t xml:space="preserve"> (die in der Analyse noch nicht berücksichtigt wurden) können zur Erreichung der vorgeschriebenen Emissionssenkungen beitragen. Maßnahmen des Wirtschaftsdünger-Managements, die darüber hinausgehen, sind ebenfalls häufig</w:t>
      </w:r>
      <w:r>
        <w:rPr>
          <w:rFonts w:ascii="Times New Roman" w:hAnsi="Times New Roman"/>
          <w:noProof/>
          <w:sz w:val="24"/>
          <w:lang w:val="de-DE"/>
        </w:rPr>
        <w:t xml:space="preserve"> kosteneffizient, und ein vereinfachtes Programm für das Wirtschaftsdünger-Management auf BVT-Basis, z. B. auf Grundlage der Erfahrungen mit der Richtlinie über Industrieemissionen, würde die Durchführung erheblich unterstützen. Synergieeffekte mit der Dur</w:t>
      </w:r>
      <w:r>
        <w:rPr>
          <w:rFonts w:ascii="Times New Roman" w:hAnsi="Times New Roman"/>
          <w:noProof/>
          <w:sz w:val="24"/>
          <w:lang w:val="de-DE"/>
        </w:rPr>
        <w:t>chführung einschlägiger EU-Rechtsvorschriften, z. B. der Nitratrichtlinie 91/676/EWG,</w:t>
      </w:r>
      <w:r>
        <w:rPr>
          <w:rFonts w:ascii="Times New Roman" w:hAnsi="Times New Roman"/>
          <w:noProof/>
          <w:sz w:val="24"/>
          <w:vertAlign w:val="superscript"/>
          <w:lang w:val="de-DE"/>
        </w:rPr>
        <w:footnoteReference w:id="31"/>
      </w:r>
      <w:r>
        <w:rPr>
          <w:rFonts w:ascii="Times New Roman" w:hAnsi="Times New Roman"/>
          <w:noProof/>
          <w:sz w:val="24"/>
          <w:lang w:val="de-DE"/>
        </w:rPr>
        <w:t xml:space="preserve"> sollten ebenfalls weiter dadurch verstärkt werden, dass Mitgliedstaaten dazu angeregt werden, integrierte Managementmaßnahmen zur Vermeidung von Emissionen in die Luft, </w:t>
      </w:r>
      <w:r>
        <w:rPr>
          <w:rFonts w:ascii="Times New Roman" w:hAnsi="Times New Roman"/>
          <w:noProof/>
          <w:sz w:val="24"/>
          <w:lang w:val="de-DE"/>
        </w:rPr>
        <w:t>in Wasser und in den Boden einzuführen.</w:t>
      </w:r>
    </w:p>
    <w:p w:rsidR="00ED5820" w:rsidRDefault="00DE54EB">
      <w:pPr>
        <w:keepNext/>
        <w:spacing w:after="120" w:line="240" w:lineRule="auto"/>
        <w:jc w:val="both"/>
        <w:rPr>
          <w:rFonts w:ascii="Times New Roman" w:eastAsia="Times New Roman" w:hAnsi="Times New Roman" w:cs="Times New Roman"/>
          <w:b/>
          <w:noProof/>
          <w:lang w:val="de-DE"/>
        </w:rPr>
      </w:pPr>
      <w:r>
        <w:rPr>
          <w:rFonts w:ascii="Times New Roman" w:hAnsi="Times New Roman"/>
          <w:b/>
          <w:noProof/>
          <w:lang w:val="de-DE"/>
        </w:rPr>
        <w:t>Abbildung 3: Weitere Senkungen der NH</w:t>
      </w:r>
      <w:r>
        <w:rPr>
          <w:rFonts w:ascii="Times New Roman" w:hAnsi="Times New Roman"/>
          <w:b/>
          <w:noProof/>
          <w:vertAlign w:val="subscript"/>
          <w:lang w:val="de-DE"/>
        </w:rPr>
        <w:t>3</w:t>
      </w:r>
      <w:r>
        <w:rPr>
          <w:rFonts w:ascii="Times New Roman" w:hAnsi="Times New Roman"/>
          <w:b/>
          <w:noProof/>
          <w:lang w:val="de-DE"/>
        </w:rPr>
        <w:t>-Emissionen zur Erfüllung der Emissionsreduktionsanforderungen bis 2030, die über die Basisvorschriften von 2017 hinausgehen, nach landwirtschaftlichen Sektoren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noProof/>
          <w:lang w:val="en-GB" w:eastAsia="en-GB"/>
        </w:rPr>
        <w:drawing>
          <wp:inline distT="0" distB="0" distL="0" distR="0">
            <wp:extent cx="5761355" cy="387391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1355" cy="3873916"/>
                    </a:xfrm>
                    <a:prstGeom prst="rect">
                      <a:avLst/>
                    </a:prstGeom>
                    <a:noFill/>
                    <a:ln>
                      <a:noFill/>
                    </a:ln>
                  </pic:spPr>
                </pic:pic>
              </a:graphicData>
            </a:graphic>
          </wp:inline>
        </w:drawing>
      </w:r>
    </w:p>
    <w:p w:rsidR="00ED5820" w:rsidRDefault="00DE54EB">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lang w:val="de-DE"/>
        </w:rPr>
      </w:pPr>
      <w:r>
        <w:rPr>
          <w:rFonts w:ascii="Times New Roman" w:hAnsi="Times New Roman"/>
          <w:i/>
          <w:noProof/>
          <w:sz w:val="24"/>
          <w:lang w:val="de-DE"/>
        </w:rPr>
        <w:t>Branchenspezifi</w:t>
      </w:r>
      <w:r>
        <w:rPr>
          <w:rFonts w:ascii="Times New Roman" w:hAnsi="Times New Roman"/>
          <w:i/>
          <w:noProof/>
          <w:sz w:val="24"/>
          <w:lang w:val="de-DE"/>
        </w:rPr>
        <w:t>sche und makroökonomische Auswirkungen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Die wirtschaftlichen Auswirkungen der Regulierung der Luftverschmutzung gehen über die in den Abschnitten 3.1 und 3.2.2 beschriebenen direkten Vorteile und Kosten hinaus. Erstens schafft die Einführung von Technologie</w:t>
      </w:r>
      <w:r>
        <w:rPr>
          <w:rFonts w:ascii="Times New Roman" w:hAnsi="Times New Roman"/>
          <w:noProof/>
          <w:sz w:val="24"/>
          <w:lang w:val="de-DE"/>
        </w:rPr>
        <w:t>n zur Schadstoffsenkung eine zusätzliche Nachfrage für die Branchen, die diese Emissionsminderungsprodukte anbieten. Zweitens können die mit der Emissionsminderung verbundenen Kosten die Wettbewerbsfähigkeit von Branchen beeinträchtigen, die auf dem intern</w:t>
      </w:r>
      <w:r>
        <w:rPr>
          <w:rFonts w:ascii="Times New Roman" w:hAnsi="Times New Roman"/>
          <w:noProof/>
          <w:sz w:val="24"/>
          <w:lang w:val="de-DE"/>
        </w:rPr>
        <w:t>ationalen Markt tätig sind. Drittens können Auswirkungen auf die Produktionsleistung in einer Branche zu weitergehenden Auswirkungen auf die gesamte Wirtschaft führen, indem sie die Nachfrage nach Zwischenerzeugnissen und Arbeitsleistungen beeinflussen. Le</w:t>
      </w:r>
      <w:r>
        <w:rPr>
          <w:rFonts w:ascii="Times New Roman" w:hAnsi="Times New Roman"/>
          <w:noProof/>
          <w:sz w:val="24"/>
          <w:lang w:val="de-DE"/>
        </w:rPr>
        <w:t>tzteres führt auch zu Änderungen in den Bereichen Beschäftigung und Einkommen und beeinflusst damit das verfügbare Einkommen und das Wohlergehen von Haushalten.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Um diese indirekten Wirkungen zu berücksichtigen, wurden die makroökonomischen und branchenspez</w:t>
      </w:r>
      <w:r>
        <w:rPr>
          <w:rFonts w:ascii="Times New Roman" w:hAnsi="Times New Roman"/>
          <w:noProof/>
          <w:sz w:val="24"/>
          <w:lang w:val="de-DE"/>
        </w:rPr>
        <w:t>ifischen Auswirkungen der Erfüllung der Verpflichtungen für 2030 berechnet (anhand des Modells JRC-GEM-E3). Diese wurden in der nachstehenden Tabelle 2 zusammengestellt und entsprechen ungefähr den Wirkungen, die in der dem Vorschlag der Kommission für die</w:t>
      </w:r>
      <w:r>
        <w:rPr>
          <w:rFonts w:ascii="Times New Roman" w:hAnsi="Times New Roman"/>
          <w:noProof/>
          <w:sz w:val="24"/>
          <w:lang w:val="de-DE"/>
        </w:rPr>
        <w:t xml:space="preserve"> Richtlinie über nationale Emissionshöchstmengen beigefügten Auswirkungsbewertung von 2013 ermittelt worden waren: Die Kosten für die Erfüllung der Emissionsreduktionsverpflichtungen für 2030 werden durch die Nutzen in den Bereichen Gesundheit und Landwirt</w:t>
      </w:r>
      <w:r>
        <w:rPr>
          <w:rFonts w:ascii="Times New Roman" w:hAnsi="Times New Roman"/>
          <w:noProof/>
          <w:sz w:val="24"/>
          <w:lang w:val="de-DE"/>
        </w:rPr>
        <w:t>schaft (verringerter Krankenstand und verbesserte Anbauerträge) mehr als wettgemacht, sodass eine leicht positive Entwicklung des BIP erreicht wird. Branchen, die einen erheblichen Anteil der Kosten tragen, (z. B. die Landwirtschaft) verzeichnen eine leich</w:t>
      </w:r>
      <w:r>
        <w:rPr>
          <w:rFonts w:ascii="Times New Roman" w:hAnsi="Times New Roman"/>
          <w:noProof/>
          <w:sz w:val="24"/>
          <w:lang w:val="de-DE"/>
        </w:rPr>
        <w:t>te Ertragssteigerung, während in Branchen, die von der gesteigerten Nachfrage nach Emissionsminderungsprodukten profitieren, (z. B. elektrische Produkte, Warenbeförderung und andere Ausrüstungsgüter) die Produktion steigt.</w:t>
      </w:r>
    </w:p>
    <w:p w:rsidR="00ED5820" w:rsidRDefault="00DE54EB">
      <w:pPr>
        <w:keepNext/>
        <w:spacing w:before="120" w:after="120" w:line="240" w:lineRule="auto"/>
        <w:jc w:val="both"/>
        <w:rPr>
          <w:rFonts w:ascii="Times New Roman" w:eastAsia="Times New Roman" w:hAnsi="Times New Roman" w:cs="Times New Roman"/>
          <w:b/>
          <w:bCs/>
          <w:noProof/>
          <w:lang w:val="de-DE"/>
        </w:rPr>
      </w:pPr>
      <w:bookmarkStart w:id="7" w:name="_Ref496860719"/>
      <w:r>
        <w:rPr>
          <w:rFonts w:ascii="Times New Roman" w:hAnsi="Times New Roman"/>
          <w:b/>
          <w:noProof/>
          <w:lang w:val="de-DE"/>
        </w:rPr>
        <w:br/>
        <w:t>Tabelle 2</w:t>
      </w:r>
      <w:bookmarkEnd w:id="7"/>
      <w:r>
        <w:rPr>
          <w:rFonts w:ascii="Times New Roman" w:hAnsi="Times New Roman"/>
          <w:b/>
          <w:noProof/>
          <w:lang w:val="de-DE"/>
        </w:rPr>
        <w:t xml:space="preserve">: Auswirkungen der </w:t>
      </w:r>
      <w:r>
        <w:rPr>
          <w:rFonts w:ascii="Times New Roman" w:hAnsi="Times New Roman"/>
          <w:b/>
          <w:noProof/>
          <w:lang w:val="de-DE"/>
        </w:rPr>
        <w:t>Erfüllung der Emissionsreduktionsverpflichtungen für 2030 auf BIP und branchenspezifische Produktionsleistung – Quelle: JRC-GEM-E3</w:t>
      </w:r>
    </w:p>
    <w:tbl>
      <w:tblPr>
        <w:tblW w:w="9245" w:type="dxa"/>
        <w:tblInd w:w="93" w:type="dxa"/>
        <w:tblLook w:val="04A0" w:firstRow="1" w:lastRow="0" w:firstColumn="1" w:lastColumn="0" w:noHBand="0" w:noVBand="1"/>
      </w:tblPr>
      <w:tblGrid>
        <w:gridCol w:w="3496"/>
        <w:gridCol w:w="833"/>
        <w:gridCol w:w="928"/>
        <w:gridCol w:w="1066"/>
        <w:gridCol w:w="928"/>
        <w:gridCol w:w="1066"/>
        <w:gridCol w:w="928"/>
      </w:tblGrid>
      <w:tr w:rsidR="00ED5820">
        <w:trPr>
          <w:trHeight w:val="268"/>
        </w:trPr>
        <w:tc>
          <w:tcPr>
            <w:tcW w:w="3496" w:type="dxa"/>
            <w:tcBorders>
              <w:top w:val="single" w:sz="4" w:space="0" w:color="auto"/>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Benchmark</w:t>
            </w:r>
            <w:r>
              <w:rPr>
                <w:rFonts w:ascii="Times New Roman" w:hAnsi="Times New Roman"/>
                <w:noProof/>
                <w:color w:val="000000"/>
                <w:sz w:val="20"/>
                <w:vertAlign w:val="superscript"/>
                <w:lang w:val="de-DE"/>
              </w:rPr>
              <w:t>*</w:t>
            </w:r>
            <w:r>
              <w:rPr>
                <w:rFonts w:ascii="Times New Roman" w:hAnsi="Times New Roman"/>
                <w:noProof/>
                <w:color w:val="000000"/>
                <w:sz w:val="20"/>
                <w:lang w:val="de-DE"/>
              </w:rPr>
              <w:t xml:space="preserve"> umfasst</w:t>
            </w:r>
          </w:p>
        </w:tc>
        <w:tc>
          <w:tcPr>
            <w:tcW w:w="833" w:type="dxa"/>
            <w:tcBorders>
              <w:top w:val="single" w:sz="4" w:space="0" w:color="auto"/>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w:t>
            </w:r>
          </w:p>
        </w:tc>
        <w:tc>
          <w:tcPr>
            <w:tcW w:w="928" w:type="dxa"/>
            <w:tcBorders>
              <w:top w:val="single" w:sz="4" w:space="0" w:color="auto"/>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w:t>
            </w:r>
          </w:p>
        </w:tc>
        <w:tc>
          <w:tcPr>
            <w:tcW w:w="1066" w:type="dxa"/>
            <w:tcBorders>
              <w:top w:val="single" w:sz="4" w:space="0" w:color="auto"/>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w:t>
            </w:r>
          </w:p>
        </w:tc>
        <w:tc>
          <w:tcPr>
            <w:tcW w:w="928" w:type="dxa"/>
            <w:tcBorders>
              <w:top w:val="single" w:sz="4" w:space="0" w:color="auto"/>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w:t>
            </w:r>
          </w:p>
        </w:tc>
        <w:tc>
          <w:tcPr>
            <w:tcW w:w="1066" w:type="dxa"/>
            <w:tcBorders>
              <w:top w:val="single" w:sz="4" w:space="0" w:color="auto"/>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w:t>
            </w:r>
          </w:p>
        </w:tc>
        <w:tc>
          <w:tcPr>
            <w:tcW w:w="928" w:type="dxa"/>
            <w:tcBorders>
              <w:top w:val="single" w:sz="4" w:space="0" w:color="auto"/>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w:t>
            </w:r>
          </w:p>
        </w:tc>
      </w:tr>
      <w:tr w:rsidR="00ED5820">
        <w:trPr>
          <w:trHeight w:val="268"/>
        </w:trPr>
        <w:tc>
          <w:tcPr>
            <w:tcW w:w="3496" w:type="dxa"/>
            <w:tcBorders>
              <w:top w:val="nil"/>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xml:space="preserve"> seit 2014 angenommene Vorschriften über Emissionsquellen?</w:t>
            </w:r>
          </w:p>
        </w:tc>
        <w:tc>
          <w:tcPr>
            <w:tcW w:w="833" w:type="dxa"/>
            <w:tcBorders>
              <w:top w:val="nil"/>
              <w:left w:val="nil"/>
              <w:bottom w:val="nil"/>
              <w:right w:val="nil"/>
            </w:tcBorders>
            <w:shd w:val="clear" w:color="auto" w:fill="auto"/>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Nein</w:t>
            </w:r>
          </w:p>
        </w:tc>
        <w:tc>
          <w:tcPr>
            <w:tcW w:w="928" w:type="dxa"/>
            <w:tcBorders>
              <w:top w:val="nil"/>
              <w:left w:val="nil"/>
              <w:bottom w:val="nil"/>
              <w:right w:val="nil"/>
            </w:tcBorders>
            <w:shd w:val="clear" w:color="auto" w:fill="auto"/>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Nein</w:t>
            </w:r>
          </w:p>
        </w:tc>
        <w:tc>
          <w:tcPr>
            <w:tcW w:w="1066"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Ja</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Ja</w:t>
            </w:r>
          </w:p>
        </w:tc>
        <w:tc>
          <w:tcPr>
            <w:tcW w:w="1066"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Ja</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Ja</w:t>
            </w:r>
          </w:p>
        </w:tc>
      </w:tr>
      <w:tr w:rsidR="00ED5820">
        <w:trPr>
          <w:trHeight w:val="268"/>
        </w:trPr>
        <w:tc>
          <w:tcPr>
            <w:tcW w:w="3496" w:type="dxa"/>
            <w:tcBorders>
              <w:top w:val="nil"/>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 xml:space="preserve"> das Klima- und Energiepaket</w:t>
            </w:r>
            <w:r>
              <w:rPr>
                <w:rFonts w:ascii="Times New Roman" w:hAnsi="Times New Roman"/>
                <w:noProof/>
                <w:color w:val="000000"/>
                <w:sz w:val="20"/>
                <w:vertAlign w:val="superscript"/>
                <w:lang w:val="de-DE"/>
              </w:rPr>
              <w:footnoteReference w:id="32"/>
            </w:r>
            <w:r>
              <w:rPr>
                <w:rFonts w:ascii="Times New Roman" w:hAnsi="Times New Roman"/>
                <w:noProof/>
                <w:color w:val="000000"/>
                <w:sz w:val="20"/>
                <w:lang w:val="de-DE"/>
              </w:rPr>
              <w:t>?</w:t>
            </w:r>
          </w:p>
        </w:tc>
        <w:tc>
          <w:tcPr>
            <w:tcW w:w="833" w:type="dxa"/>
            <w:tcBorders>
              <w:top w:val="nil"/>
              <w:left w:val="nil"/>
              <w:bottom w:val="nil"/>
              <w:right w:val="nil"/>
            </w:tcBorders>
            <w:shd w:val="clear" w:color="auto" w:fill="auto"/>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Nein</w:t>
            </w:r>
          </w:p>
        </w:tc>
        <w:tc>
          <w:tcPr>
            <w:tcW w:w="928" w:type="dxa"/>
            <w:tcBorders>
              <w:top w:val="nil"/>
              <w:left w:val="nil"/>
              <w:bottom w:val="nil"/>
              <w:right w:val="nil"/>
            </w:tcBorders>
            <w:shd w:val="clear" w:color="auto" w:fill="auto"/>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Nein</w:t>
            </w:r>
          </w:p>
        </w:tc>
        <w:tc>
          <w:tcPr>
            <w:tcW w:w="1066" w:type="dxa"/>
            <w:tcBorders>
              <w:top w:val="nil"/>
              <w:left w:val="nil"/>
              <w:bottom w:val="nil"/>
              <w:right w:val="nil"/>
            </w:tcBorders>
            <w:shd w:val="clear" w:color="auto" w:fill="auto"/>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Nein</w:t>
            </w:r>
          </w:p>
        </w:tc>
        <w:tc>
          <w:tcPr>
            <w:tcW w:w="928" w:type="dxa"/>
            <w:tcBorders>
              <w:top w:val="nil"/>
              <w:left w:val="nil"/>
              <w:bottom w:val="nil"/>
              <w:right w:val="nil"/>
            </w:tcBorders>
            <w:shd w:val="clear" w:color="auto" w:fill="auto"/>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Nein</w:t>
            </w:r>
          </w:p>
        </w:tc>
        <w:tc>
          <w:tcPr>
            <w:tcW w:w="1066"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Ja</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Ja</w:t>
            </w:r>
          </w:p>
        </w:tc>
      </w:tr>
      <w:tr w:rsidR="00ED5820">
        <w:trPr>
          <w:trHeight w:val="395"/>
        </w:trPr>
        <w:tc>
          <w:tcPr>
            <w:tcW w:w="3496" w:type="dxa"/>
            <w:tcBorders>
              <w:top w:val="nil"/>
              <w:left w:val="nil"/>
              <w:bottom w:val="single" w:sz="4" w:space="0" w:color="auto"/>
              <w:right w:val="nil"/>
            </w:tcBorders>
            <w:shd w:val="clear" w:color="auto" w:fill="auto"/>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Nutzen für Gesundheit und Anbauerträge berücksichtigt?</w:t>
            </w:r>
          </w:p>
        </w:tc>
        <w:tc>
          <w:tcPr>
            <w:tcW w:w="833" w:type="dxa"/>
            <w:tcBorders>
              <w:top w:val="nil"/>
              <w:left w:val="nil"/>
              <w:bottom w:val="single" w:sz="4" w:space="0" w:color="auto"/>
              <w:right w:val="nil"/>
            </w:tcBorders>
            <w:shd w:val="clear" w:color="auto" w:fill="auto"/>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Nein</w:t>
            </w:r>
          </w:p>
        </w:tc>
        <w:tc>
          <w:tcPr>
            <w:tcW w:w="928" w:type="dxa"/>
            <w:tcBorders>
              <w:top w:val="nil"/>
              <w:left w:val="nil"/>
              <w:bottom w:val="single" w:sz="4" w:space="0" w:color="auto"/>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Ja</w:t>
            </w:r>
          </w:p>
        </w:tc>
        <w:tc>
          <w:tcPr>
            <w:tcW w:w="1066" w:type="dxa"/>
            <w:tcBorders>
              <w:top w:val="nil"/>
              <w:left w:val="nil"/>
              <w:bottom w:val="single" w:sz="4" w:space="0" w:color="auto"/>
              <w:right w:val="nil"/>
            </w:tcBorders>
            <w:shd w:val="clear" w:color="auto" w:fill="auto"/>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Nein</w:t>
            </w:r>
          </w:p>
        </w:tc>
        <w:tc>
          <w:tcPr>
            <w:tcW w:w="928" w:type="dxa"/>
            <w:tcBorders>
              <w:top w:val="nil"/>
              <w:left w:val="nil"/>
              <w:bottom w:val="single" w:sz="4" w:space="0" w:color="auto"/>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Ja</w:t>
            </w:r>
          </w:p>
        </w:tc>
        <w:tc>
          <w:tcPr>
            <w:tcW w:w="1066" w:type="dxa"/>
            <w:tcBorders>
              <w:top w:val="nil"/>
              <w:left w:val="nil"/>
              <w:bottom w:val="single" w:sz="4" w:space="0" w:color="auto"/>
              <w:right w:val="nil"/>
            </w:tcBorders>
            <w:shd w:val="clear" w:color="auto" w:fill="auto"/>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Nein</w:t>
            </w:r>
          </w:p>
        </w:tc>
        <w:tc>
          <w:tcPr>
            <w:tcW w:w="928" w:type="dxa"/>
            <w:tcBorders>
              <w:top w:val="nil"/>
              <w:left w:val="nil"/>
              <w:bottom w:val="single" w:sz="4" w:space="0" w:color="auto"/>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Ja</w:t>
            </w:r>
          </w:p>
        </w:tc>
      </w:tr>
      <w:tr w:rsidR="00ED5820">
        <w:trPr>
          <w:trHeight w:val="122"/>
        </w:trPr>
        <w:tc>
          <w:tcPr>
            <w:tcW w:w="3496"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c>
          <w:tcPr>
            <w:tcW w:w="833"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c>
          <w:tcPr>
            <w:tcW w:w="928"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c>
          <w:tcPr>
            <w:tcW w:w="1066"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c>
          <w:tcPr>
            <w:tcW w:w="928"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c>
          <w:tcPr>
            <w:tcW w:w="1066"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c>
          <w:tcPr>
            <w:tcW w:w="928"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r>
      <w:tr w:rsidR="00ED5820">
        <w:trPr>
          <w:trHeight w:val="268"/>
        </w:trPr>
        <w:tc>
          <w:tcPr>
            <w:tcW w:w="3496" w:type="dxa"/>
            <w:tcBorders>
              <w:top w:val="nil"/>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b/>
                <w:bCs/>
                <w:noProof/>
                <w:color w:val="000000"/>
                <w:sz w:val="20"/>
                <w:szCs w:val="20"/>
                <w:lang w:val="de-DE"/>
              </w:rPr>
            </w:pPr>
            <w:r>
              <w:rPr>
                <w:rFonts w:ascii="Times New Roman" w:hAnsi="Times New Roman"/>
                <w:b/>
                <w:noProof/>
                <w:color w:val="000000"/>
                <w:sz w:val="20"/>
                <w:lang w:val="de-DE"/>
              </w:rPr>
              <w:t>BIP</w:t>
            </w:r>
          </w:p>
        </w:tc>
        <w:tc>
          <w:tcPr>
            <w:tcW w:w="833"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b/>
                <w:bCs/>
                <w:noProof/>
                <w:color w:val="000000"/>
                <w:sz w:val="20"/>
                <w:szCs w:val="20"/>
                <w:lang w:val="de-DE"/>
              </w:rPr>
            </w:pPr>
            <w:r>
              <w:rPr>
                <w:rFonts w:ascii="Times New Roman" w:hAnsi="Times New Roman"/>
                <w:b/>
                <w:noProof/>
                <w:color w:val="000000"/>
                <w:sz w:val="20"/>
                <w:lang w:val="de-DE"/>
              </w:rPr>
              <w:t>-0,010</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b/>
                <w:bCs/>
                <w:noProof/>
                <w:color w:val="000000"/>
                <w:sz w:val="20"/>
                <w:szCs w:val="20"/>
                <w:lang w:val="de-DE"/>
              </w:rPr>
            </w:pPr>
            <w:r>
              <w:rPr>
                <w:rFonts w:ascii="Times New Roman" w:hAnsi="Times New Roman"/>
                <w:b/>
                <w:noProof/>
                <w:color w:val="000000"/>
                <w:sz w:val="20"/>
                <w:lang w:val="de-DE"/>
              </w:rPr>
              <w:t>0,006</w:t>
            </w:r>
          </w:p>
        </w:tc>
        <w:tc>
          <w:tcPr>
            <w:tcW w:w="1066"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b/>
                <w:bCs/>
                <w:noProof/>
                <w:color w:val="000000"/>
                <w:sz w:val="20"/>
                <w:szCs w:val="20"/>
                <w:lang w:val="de-DE"/>
              </w:rPr>
            </w:pPr>
            <w:r>
              <w:rPr>
                <w:rFonts w:ascii="Times New Roman" w:hAnsi="Times New Roman"/>
                <w:b/>
                <w:noProof/>
                <w:color w:val="000000"/>
                <w:sz w:val="20"/>
                <w:lang w:val="de-DE"/>
              </w:rPr>
              <w:t>-0,005</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b/>
                <w:bCs/>
                <w:noProof/>
                <w:color w:val="000000"/>
                <w:sz w:val="20"/>
                <w:szCs w:val="20"/>
                <w:lang w:val="de-DE"/>
              </w:rPr>
            </w:pPr>
            <w:r>
              <w:rPr>
                <w:rFonts w:ascii="Times New Roman" w:hAnsi="Times New Roman"/>
                <w:b/>
                <w:noProof/>
                <w:color w:val="000000"/>
                <w:sz w:val="20"/>
                <w:lang w:val="de-DE"/>
              </w:rPr>
              <w:t>0,006</w:t>
            </w:r>
          </w:p>
        </w:tc>
        <w:tc>
          <w:tcPr>
            <w:tcW w:w="1066"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b/>
                <w:bCs/>
                <w:noProof/>
                <w:color w:val="000000"/>
                <w:sz w:val="20"/>
                <w:szCs w:val="20"/>
                <w:lang w:val="de-DE"/>
              </w:rPr>
            </w:pPr>
            <w:r>
              <w:rPr>
                <w:rFonts w:ascii="Times New Roman" w:hAnsi="Times New Roman"/>
                <w:b/>
                <w:noProof/>
                <w:color w:val="000000"/>
                <w:sz w:val="20"/>
                <w:lang w:val="de-DE"/>
              </w:rPr>
              <w:t>-0,002</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b/>
                <w:bCs/>
                <w:noProof/>
                <w:color w:val="000000"/>
                <w:sz w:val="20"/>
                <w:szCs w:val="20"/>
                <w:lang w:val="de-DE"/>
              </w:rPr>
            </w:pPr>
            <w:r>
              <w:rPr>
                <w:rFonts w:ascii="Times New Roman" w:hAnsi="Times New Roman"/>
                <w:b/>
                <w:noProof/>
                <w:color w:val="000000"/>
                <w:sz w:val="20"/>
                <w:lang w:val="de-DE"/>
              </w:rPr>
              <w:t>0,006</w:t>
            </w:r>
          </w:p>
        </w:tc>
      </w:tr>
      <w:tr w:rsidR="00ED5820">
        <w:trPr>
          <w:trHeight w:val="196"/>
        </w:trPr>
        <w:tc>
          <w:tcPr>
            <w:tcW w:w="3496"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c>
          <w:tcPr>
            <w:tcW w:w="833"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c>
          <w:tcPr>
            <w:tcW w:w="928"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c>
          <w:tcPr>
            <w:tcW w:w="1066"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c>
          <w:tcPr>
            <w:tcW w:w="928"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c>
          <w:tcPr>
            <w:tcW w:w="1066"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c>
          <w:tcPr>
            <w:tcW w:w="928" w:type="dxa"/>
            <w:tcBorders>
              <w:top w:val="nil"/>
              <w:left w:val="nil"/>
              <w:bottom w:val="nil"/>
              <w:right w:val="nil"/>
            </w:tcBorders>
            <w:shd w:val="clear" w:color="auto" w:fill="auto"/>
            <w:noWrap/>
            <w:vAlign w:val="bottom"/>
            <w:hideMark/>
          </w:tcPr>
          <w:p w:rsidR="00ED5820" w:rsidRDefault="00ED5820">
            <w:pPr>
              <w:spacing w:after="0" w:line="240" w:lineRule="auto"/>
              <w:rPr>
                <w:rFonts w:ascii="Times New Roman" w:eastAsia="Times New Roman" w:hAnsi="Times New Roman" w:cs="Times New Roman"/>
                <w:noProof/>
                <w:color w:val="000000"/>
                <w:sz w:val="20"/>
                <w:szCs w:val="20"/>
                <w:lang w:val="de-DE"/>
              </w:rPr>
            </w:pPr>
          </w:p>
        </w:tc>
      </w:tr>
      <w:tr w:rsidR="00ED5820">
        <w:trPr>
          <w:trHeight w:val="268"/>
        </w:trPr>
        <w:tc>
          <w:tcPr>
            <w:tcW w:w="3496" w:type="dxa"/>
            <w:tcBorders>
              <w:top w:val="nil"/>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Landwirtschaft</w:t>
            </w:r>
          </w:p>
        </w:tc>
        <w:tc>
          <w:tcPr>
            <w:tcW w:w="833"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-0,09</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-0,04</w:t>
            </w:r>
          </w:p>
        </w:tc>
        <w:tc>
          <w:tcPr>
            <w:tcW w:w="1066"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-0,05</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-0,07</w:t>
            </w:r>
          </w:p>
        </w:tc>
        <w:tc>
          <w:tcPr>
            <w:tcW w:w="1066"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-0,07</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-0,05</w:t>
            </w:r>
          </w:p>
        </w:tc>
      </w:tr>
      <w:tr w:rsidR="00ED5820">
        <w:trPr>
          <w:trHeight w:val="268"/>
        </w:trPr>
        <w:tc>
          <w:tcPr>
            <w:tcW w:w="3496" w:type="dxa"/>
            <w:tcBorders>
              <w:top w:val="nil"/>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Energie</w:t>
            </w:r>
          </w:p>
        </w:tc>
        <w:tc>
          <w:tcPr>
            <w:tcW w:w="833"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0,01</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0,03</w:t>
            </w:r>
          </w:p>
        </w:tc>
        <w:tc>
          <w:tcPr>
            <w:tcW w:w="1066"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0,01</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0,02</w:t>
            </w:r>
          </w:p>
        </w:tc>
        <w:tc>
          <w:tcPr>
            <w:tcW w:w="1066"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0,01</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0,02</w:t>
            </w:r>
          </w:p>
        </w:tc>
      </w:tr>
      <w:tr w:rsidR="00ED5820">
        <w:trPr>
          <w:trHeight w:val="268"/>
        </w:trPr>
        <w:tc>
          <w:tcPr>
            <w:tcW w:w="3496" w:type="dxa"/>
            <w:tcBorders>
              <w:top w:val="nil"/>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Energieintensive Industrien</w:t>
            </w:r>
          </w:p>
        </w:tc>
        <w:tc>
          <w:tcPr>
            <w:tcW w:w="833"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0,00</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0,02</w:t>
            </w:r>
          </w:p>
        </w:tc>
        <w:tc>
          <w:tcPr>
            <w:tcW w:w="1066"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0,00</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0,02</w:t>
            </w:r>
          </w:p>
        </w:tc>
        <w:tc>
          <w:tcPr>
            <w:tcW w:w="1066"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0,00</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0,02</w:t>
            </w:r>
          </w:p>
        </w:tc>
      </w:tr>
      <w:tr w:rsidR="00ED5820">
        <w:trPr>
          <w:trHeight w:val="268"/>
        </w:trPr>
        <w:tc>
          <w:tcPr>
            <w:tcW w:w="3496" w:type="dxa"/>
            <w:tcBorders>
              <w:top w:val="nil"/>
              <w:left w:val="nil"/>
              <w:bottom w:val="nil"/>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Sonstige Industrien</w:t>
            </w:r>
          </w:p>
        </w:tc>
        <w:tc>
          <w:tcPr>
            <w:tcW w:w="833"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0,01</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0,03</w:t>
            </w:r>
          </w:p>
        </w:tc>
        <w:tc>
          <w:tcPr>
            <w:tcW w:w="1066"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0,01</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0,02</w:t>
            </w:r>
          </w:p>
        </w:tc>
        <w:tc>
          <w:tcPr>
            <w:tcW w:w="1066"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0,00</w:t>
            </w:r>
          </w:p>
        </w:tc>
        <w:tc>
          <w:tcPr>
            <w:tcW w:w="928" w:type="dxa"/>
            <w:tcBorders>
              <w:top w:val="nil"/>
              <w:left w:val="nil"/>
              <w:bottom w:val="nil"/>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0,02</w:t>
            </w:r>
          </w:p>
        </w:tc>
      </w:tr>
      <w:tr w:rsidR="00ED5820">
        <w:trPr>
          <w:trHeight w:val="268"/>
        </w:trPr>
        <w:tc>
          <w:tcPr>
            <w:tcW w:w="3496" w:type="dxa"/>
            <w:tcBorders>
              <w:top w:val="nil"/>
              <w:left w:val="nil"/>
              <w:bottom w:val="single" w:sz="4" w:space="0" w:color="auto"/>
              <w:right w:val="nil"/>
            </w:tcBorders>
            <w:shd w:val="clear" w:color="auto" w:fill="auto"/>
            <w:noWrap/>
            <w:vAlign w:val="bottom"/>
            <w:hideMark/>
          </w:tcPr>
          <w:p w:rsidR="00ED5820" w:rsidRDefault="00DE54EB">
            <w:pPr>
              <w:spacing w:after="0" w:line="240" w:lineRule="auto"/>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Dienstleistungen</w:t>
            </w:r>
          </w:p>
        </w:tc>
        <w:tc>
          <w:tcPr>
            <w:tcW w:w="833" w:type="dxa"/>
            <w:tcBorders>
              <w:top w:val="nil"/>
              <w:left w:val="nil"/>
              <w:bottom w:val="single" w:sz="4" w:space="0" w:color="auto"/>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0,00</w:t>
            </w:r>
          </w:p>
        </w:tc>
        <w:tc>
          <w:tcPr>
            <w:tcW w:w="928" w:type="dxa"/>
            <w:tcBorders>
              <w:top w:val="nil"/>
              <w:left w:val="nil"/>
              <w:bottom w:val="single" w:sz="4" w:space="0" w:color="auto"/>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0,01</w:t>
            </w:r>
          </w:p>
        </w:tc>
        <w:tc>
          <w:tcPr>
            <w:tcW w:w="1066" w:type="dxa"/>
            <w:tcBorders>
              <w:top w:val="nil"/>
              <w:left w:val="nil"/>
              <w:bottom w:val="single" w:sz="4" w:space="0" w:color="auto"/>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0,00</w:t>
            </w:r>
          </w:p>
        </w:tc>
        <w:tc>
          <w:tcPr>
            <w:tcW w:w="928" w:type="dxa"/>
            <w:tcBorders>
              <w:top w:val="nil"/>
              <w:left w:val="nil"/>
              <w:bottom w:val="single" w:sz="4" w:space="0" w:color="auto"/>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0,01</w:t>
            </w:r>
          </w:p>
        </w:tc>
        <w:tc>
          <w:tcPr>
            <w:tcW w:w="1066" w:type="dxa"/>
            <w:tcBorders>
              <w:top w:val="nil"/>
              <w:left w:val="nil"/>
              <w:bottom w:val="single" w:sz="4" w:space="0" w:color="auto"/>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0,00</w:t>
            </w:r>
          </w:p>
        </w:tc>
        <w:tc>
          <w:tcPr>
            <w:tcW w:w="928" w:type="dxa"/>
            <w:tcBorders>
              <w:top w:val="nil"/>
              <w:left w:val="nil"/>
              <w:bottom w:val="single" w:sz="4" w:space="0" w:color="auto"/>
              <w:right w:val="nil"/>
            </w:tcBorders>
            <w:shd w:val="clear" w:color="auto" w:fill="auto"/>
            <w:noWrap/>
            <w:vAlign w:val="bottom"/>
            <w:hideMark/>
          </w:tcPr>
          <w:p w:rsidR="00ED5820" w:rsidRDefault="00DE54EB">
            <w:pPr>
              <w:spacing w:after="0" w:line="240" w:lineRule="auto"/>
              <w:jc w:val="right"/>
              <w:rPr>
                <w:rFonts w:ascii="Times New Roman" w:eastAsia="Times New Roman" w:hAnsi="Times New Roman" w:cs="Times New Roman"/>
                <w:noProof/>
                <w:color w:val="000000"/>
                <w:sz w:val="20"/>
                <w:szCs w:val="20"/>
                <w:lang w:val="de-DE"/>
              </w:rPr>
            </w:pPr>
            <w:r>
              <w:rPr>
                <w:rFonts w:ascii="Times New Roman" w:hAnsi="Times New Roman"/>
                <w:noProof/>
                <w:color w:val="000000"/>
                <w:sz w:val="20"/>
                <w:lang w:val="de-DE"/>
              </w:rPr>
              <w:t>0,01</w:t>
            </w:r>
          </w:p>
        </w:tc>
      </w:tr>
    </w:tbl>
    <w:p w:rsidR="00ED5820" w:rsidRDefault="00DE54EB">
      <w:pPr>
        <w:spacing w:before="120" w:after="120" w:line="240" w:lineRule="auto"/>
        <w:jc w:val="both"/>
        <w:rPr>
          <w:rFonts w:ascii="Times New Roman" w:eastAsia="Times New Roman" w:hAnsi="Times New Roman" w:cs="Times New Roman"/>
          <w:noProof/>
          <w:sz w:val="16"/>
          <w:szCs w:val="16"/>
          <w:lang w:val="de-DE"/>
        </w:rPr>
      </w:pPr>
      <w:r>
        <w:rPr>
          <w:rFonts w:ascii="Times New Roman" w:hAnsi="Times New Roman"/>
          <w:noProof/>
          <w:sz w:val="16"/>
          <w:vertAlign w:val="superscript"/>
          <w:lang w:val="de-DE"/>
        </w:rPr>
        <w:t>*</w:t>
      </w:r>
      <w:r>
        <w:rPr>
          <w:rFonts w:ascii="Times New Roman" w:hAnsi="Times New Roman"/>
          <w:noProof/>
          <w:sz w:val="16"/>
          <w:lang w:val="de-DE"/>
        </w:rPr>
        <w:t xml:space="preserve"> Die Werte geben den prozentualen Unterschied gegenüber der jeweiligen Benchmark für 2030 an.</w:t>
      </w:r>
    </w:p>
    <w:p w:rsidR="00ED5820" w:rsidRDefault="00DE54EB">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lang w:val="de-DE"/>
        </w:rPr>
      </w:pPr>
      <w:bookmarkStart w:id="8" w:name="_Ref497915952"/>
      <w:r>
        <w:rPr>
          <w:rFonts w:ascii="Times New Roman" w:hAnsi="Times New Roman"/>
          <w:i/>
          <w:noProof/>
          <w:sz w:val="24"/>
          <w:lang w:val="de-DE"/>
        </w:rPr>
        <w:t xml:space="preserve">EU-Finanzierungsquellen </w:t>
      </w:r>
      <w:bookmarkEnd w:id="8"/>
      <w:r>
        <w:rPr>
          <w:rFonts w:ascii="Times New Roman" w:hAnsi="Times New Roman"/>
          <w:i/>
          <w:noProof/>
          <w:sz w:val="24"/>
          <w:lang w:val="de-DE"/>
        </w:rPr>
        <w:t>für die Förderung der Luftqualität</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Es sind EU-Mittel in beträchtlicher Höhe verfügbar, unter anderem in Bereichen wie Verkehr, Energie, La</w:t>
      </w:r>
      <w:r>
        <w:rPr>
          <w:rFonts w:ascii="Times New Roman" w:hAnsi="Times New Roman"/>
          <w:noProof/>
          <w:sz w:val="24"/>
          <w:lang w:val="de-DE"/>
        </w:rPr>
        <w:t>ndwirtschaft und Industrie, in denen die Umweltschutzanforderungen berücksichtigt werden sollten. Im Rahmen der Europäischen Struktur- und Investitionsfonds könnte insbesondere die Finanzierung im Zusammenhang mit den thematischen Zielen Nr. 4 (Verringerun</w:t>
      </w:r>
      <w:r>
        <w:rPr>
          <w:rFonts w:ascii="Times New Roman" w:hAnsi="Times New Roman"/>
          <w:noProof/>
          <w:sz w:val="24"/>
          <w:lang w:val="de-DE"/>
        </w:rPr>
        <w:t>g der CO</w:t>
      </w:r>
      <w:r>
        <w:rPr>
          <w:rFonts w:ascii="Times New Roman" w:hAnsi="Times New Roman"/>
          <w:noProof/>
          <w:sz w:val="24"/>
          <w:vertAlign w:val="subscript"/>
          <w:lang w:val="de-DE"/>
        </w:rPr>
        <w:t>2</w:t>
      </w:r>
      <w:r>
        <w:rPr>
          <w:rFonts w:ascii="Times New Roman" w:hAnsi="Times New Roman"/>
          <w:noProof/>
          <w:sz w:val="24"/>
          <w:lang w:val="de-DE"/>
        </w:rPr>
        <w:t>-Emissionen in der Wirtschaft – 45 Mrd. EUR), Nr. 6 (Umweltschutz und Ressourceneffizienz – 63 Mrd. EUR) und Nr. 7 (Netzinfrastruktur in den Bereichen Verkehr und Energie – 58 Mrd. EUR) mobilisiert werden.</w:t>
      </w:r>
      <w:r>
        <w:rPr>
          <w:rFonts w:ascii="Times New Roman" w:hAnsi="Times New Roman"/>
          <w:noProof/>
          <w:sz w:val="24"/>
          <w:vertAlign w:val="superscript"/>
          <w:lang w:val="de-DE"/>
        </w:rPr>
        <w:footnoteReference w:id="33"/>
      </w:r>
      <w:r>
        <w:rPr>
          <w:rFonts w:ascii="Times New Roman" w:hAnsi="Times New Roman"/>
          <w:noProof/>
          <w:sz w:val="24"/>
          <w:lang w:val="de-DE"/>
        </w:rPr>
        <w:t xml:space="preserve"> Eine kürzlich durchgeführte Studie</w:t>
      </w:r>
      <w:r>
        <w:rPr>
          <w:rFonts w:ascii="Times New Roman" w:hAnsi="Times New Roman"/>
          <w:noProof/>
          <w:sz w:val="24"/>
          <w:vertAlign w:val="superscript"/>
          <w:lang w:val="de-DE"/>
        </w:rPr>
        <w:footnoteReference w:id="34"/>
      </w:r>
      <w:r>
        <w:rPr>
          <w:rFonts w:ascii="Times New Roman" w:hAnsi="Times New Roman"/>
          <w:noProof/>
          <w:sz w:val="24"/>
          <w:lang w:val="de-DE"/>
        </w:rPr>
        <w:t xml:space="preserve"> enthält eine vorläufige Schätzung, nach der im Rahmen des Europäischen Fonds für regionale Entwicklung (EFRE), des Kohäsionsfonds und des Europäischen Landwirtschaftsfonds für die Entwicklung des ländlichen Raums (ELER) etwa 76 Mrd. EUR für Maßnahmen zuge</w:t>
      </w:r>
      <w:r>
        <w:rPr>
          <w:rFonts w:ascii="Times New Roman" w:hAnsi="Times New Roman"/>
          <w:noProof/>
          <w:sz w:val="24"/>
          <w:lang w:val="de-DE"/>
        </w:rPr>
        <w:t>wiesen wurden, die ausschließlich oder teilweise zur Verbesserung der Luftqualität beitragen. In kleinerem Maßstab bietet der EFRE auch Finanzierungsmöglichkeiten für Innovationen im Rahmen regionaler oder nationaler Strategien für intelligente Spezialisie</w:t>
      </w:r>
      <w:r>
        <w:rPr>
          <w:rFonts w:ascii="Times New Roman" w:hAnsi="Times New Roman"/>
          <w:noProof/>
          <w:sz w:val="24"/>
          <w:lang w:val="de-DE"/>
        </w:rPr>
        <w:t xml:space="preserve">rung, von denen einige für die Verbesserung der Luftqualität eingesetzt werden können. </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 xml:space="preserve">Im Rahmen der Fazilität „Connecting Europe“ (CEF) stehen 32 Mrd. EUR aus dem EU-Haushalt 2014-2020 für die Kofinanzierung von Verkehrs- und Energieprojekten in den </w:t>
      </w:r>
      <w:r>
        <w:rPr>
          <w:rFonts w:ascii="Times New Roman" w:hAnsi="Times New Roman"/>
          <w:noProof/>
          <w:sz w:val="24"/>
          <w:lang w:val="de-DE"/>
        </w:rPr>
        <w:t>EU-Mitgliedstaaten zur Verfügung. Davon wurden etwa 9 Mrd. EUR – in erster Linie aus der Säule „Verkehr“ – Projekten zugewiesen, die zur Verbesserung der Luftqualität beitragen können. Im Bereich Forschung und Innovation könnten bis zu 12 Mrd. EUR im Rahme</w:t>
      </w:r>
      <w:r>
        <w:rPr>
          <w:rFonts w:ascii="Times New Roman" w:hAnsi="Times New Roman"/>
          <w:noProof/>
          <w:sz w:val="24"/>
          <w:lang w:val="de-DE"/>
        </w:rPr>
        <w:t>n von Horizont 2020 zu Emissionssenkungen und zur Verbesserung der Luftqualität beitragen. Das Programm LIFE unterstützt Pilot- und Demonstrationsprojekte sowie integrierte Projekte für die Durchführung von Plänen zur Verbesserung der Luftqualität. Schätzu</w:t>
      </w:r>
      <w:r>
        <w:rPr>
          <w:rFonts w:ascii="Times New Roman" w:hAnsi="Times New Roman"/>
          <w:noProof/>
          <w:sz w:val="24"/>
          <w:lang w:val="de-DE"/>
        </w:rPr>
        <w:t>ngen zufolge stehen im Zeitraum 2014-2020 etwa 300 Mio. EUR für Projekte mit direkten oder indirekten Auswirkungen auf die Luft zur Verfügung. Es wird geschätzt, dass etwa 30 % (etwa 95 Mrd. EUR) der insgesamt in Anspruch genommenen Mittel (315 Mrd. EUR) f</w:t>
      </w:r>
      <w:r>
        <w:rPr>
          <w:rFonts w:ascii="Times New Roman" w:hAnsi="Times New Roman"/>
          <w:noProof/>
          <w:sz w:val="24"/>
          <w:lang w:val="de-DE"/>
        </w:rPr>
        <w:t>ür Darlehen und Finanzinstrumente im Rahmen des Europäischen Fonds für strategische Investitionen (EFSI) für Projekte genutzt werden, die sich auf die Luftqualität auswirken, zum Beispiel in den Bereichen Energie und Verkehr, und die Europäische Investitio</w:t>
      </w:r>
      <w:r>
        <w:rPr>
          <w:rFonts w:ascii="Times New Roman" w:hAnsi="Times New Roman"/>
          <w:noProof/>
          <w:sz w:val="24"/>
          <w:lang w:val="de-DE"/>
        </w:rPr>
        <w:t>nsbank bietet weitere Finanzierungsmöglichkeiten.</w:t>
      </w:r>
    </w:p>
    <w:p w:rsidR="00ED5820" w:rsidRDefault="00DE54EB">
      <w:pPr>
        <w:spacing w:before="120" w:after="120" w:line="240" w:lineRule="auto"/>
        <w:jc w:val="both"/>
        <w:rPr>
          <w:rFonts w:ascii="Times New Roman" w:hAnsi="Times New Roman"/>
          <w:noProof/>
          <w:sz w:val="24"/>
          <w:lang w:val="de-DE"/>
        </w:rPr>
      </w:pPr>
      <w:r>
        <w:rPr>
          <w:rFonts w:ascii="Times New Roman" w:hAnsi="Times New Roman"/>
          <w:noProof/>
          <w:sz w:val="24"/>
          <w:lang w:val="de-DE"/>
        </w:rPr>
        <w:t>Die finanziellen Bestimmungen der Richtlinie über nationale Emissionshöchstmengen (Artikel 7 und Artikel 11 Absatz 1 Buchstabe c) sollen eine bessere Einbeziehung der Luftqualität in allgemeine Maßnahmen un</w:t>
      </w:r>
      <w:r>
        <w:rPr>
          <w:rFonts w:ascii="Times New Roman" w:hAnsi="Times New Roman"/>
          <w:noProof/>
          <w:sz w:val="24"/>
          <w:lang w:val="de-DE"/>
        </w:rPr>
        <w:t xml:space="preserve">d eine wirksamere Nutzung von Finanzmitteln für die Luftqualität fördern. Die Mitgliedstaaten werden ermutigt, die verfügbaren Finanzmittel weitestgehend auszuschöpfen. </w:t>
      </w:r>
    </w:p>
    <w:p w:rsidR="00ED5820" w:rsidRDefault="00DE54EB">
      <w:pPr>
        <w:spacing w:after="240" w:line="240" w:lineRule="auto"/>
        <w:jc w:val="both"/>
        <w:rPr>
          <w:rFonts w:ascii="Times New Roman" w:eastAsia="Times New Roman" w:hAnsi="Times New Roman" w:cs="Times New Roman"/>
          <w:noProof/>
          <w:sz w:val="24"/>
          <w:szCs w:val="20"/>
          <w:lang w:val="de-DE"/>
        </w:rPr>
      </w:pPr>
      <w:r>
        <w:rPr>
          <w:rFonts w:ascii="Times New Roman" w:eastAsia="Times New Roman" w:hAnsi="Times New Roman" w:cs="Times New Roman"/>
          <w:noProof/>
          <w:sz w:val="24"/>
          <w:szCs w:val="20"/>
          <w:lang w:val="de-DE"/>
        </w:rPr>
        <w:t>Über den von der Europäischen Kommission vorgeschlagenen Mehrjährigen Finanzrahmen für</w:t>
      </w:r>
      <w:r>
        <w:rPr>
          <w:rFonts w:ascii="Times New Roman" w:eastAsia="Times New Roman" w:hAnsi="Times New Roman" w:cs="Times New Roman"/>
          <w:noProof/>
          <w:sz w:val="24"/>
          <w:szCs w:val="20"/>
          <w:lang w:val="de-DE"/>
        </w:rPr>
        <w:t xml:space="preserve"> 2021-2027</w:t>
      </w:r>
      <w:r>
        <w:rPr>
          <w:rFonts w:ascii="Calibri" w:eastAsia="Calibri" w:hAnsi="Calibri" w:cs="Times New Roman"/>
          <w:noProof/>
          <w:sz w:val="24"/>
          <w:szCs w:val="20"/>
          <w:vertAlign w:val="superscript"/>
          <w:lang w:val="de-DE"/>
        </w:rPr>
        <w:footnoteReference w:id="35"/>
      </w:r>
      <w:r>
        <w:rPr>
          <w:rFonts w:ascii="Times New Roman" w:eastAsia="Times New Roman" w:hAnsi="Times New Roman" w:cs="Times New Roman"/>
          <w:noProof/>
          <w:sz w:val="24"/>
          <w:szCs w:val="20"/>
          <w:lang w:val="de-DE"/>
        </w:rPr>
        <w:t xml:space="preserve"> werden weiterhin Maßnahmen zur Verbesserung der Luftqualität unterstützt, u. a. durch die Vorgabe, dass 25 % der EU-Ausgaben zu Klimazielen beitragen sollen, sowie durch eine Verstärkung des LIFE-Programms.</w:t>
      </w:r>
    </w:p>
    <w:p w:rsidR="00ED5820" w:rsidRDefault="00DE54EB">
      <w:pPr>
        <w:keepNext/>
        <w:numPr>
          <w:ilvl w:val="2"/>
          <w:numId w:val="1"/>
        </w:numPr>
        <w:tabs>
          <w:tab w:val="left" w:pos="850"/>
        </w:tabs>
        <w:spacing w:before="360" w:after="120" w:line="240" w:lineRule="auto"/>
        <w:ind w:hanging="1224"/>
        <w:jc w:val="both"/>
        <w:outlineLvl w:val="0"/>
        <w:rPr>
          <w:rFonts w:ascii="Times New Roman" w:eastAsia="Times New Roman" w:hAnsi="Times New Roman" w:cs="Times New Roman"/>
          <w:i/>
          <w:noProof/>
          <w:sz w:val="24"/>
          <w:szCs w:val="20"/>
          <w:lang w:val="de-DE"/>
        </w:rPr>
      </w:pPr>
      <w:r>
        <w:rPr>
          <w:rFonts w:ascii="Times New Roman" w:hAnsi="Times New Roman"/>
          <w:i/>
          <w:noProof/>
          <w:sz w:val="24"/>
          <w:lang w:val="de-DE"/>
        </w:rPr>
        <w:t>Zusammenfassung</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Die aktualisierte Ana</w:t>
      </w:r>
      <w:r>
        <w:rPr>
          <w:rFonts w:ascii="Times New Roman" w:hAnsi="Times New Roman"/>
          <w:noProof/>
          <w:sz w:val="24"/>
          <w:lang w:val="de-DE"/>
        </w:rPr>
        <w:t>lyse hat gezeigt, dass die zusätzlichen Kosten für die Durchführung der Richtlinie über nationale Emissionshöchstmengen deutlich geringer sind als erwartet. Dies ist zum Teil auf Änderungen durch die Legislativorgane zurückzuführen, aber auch auf in der Zw</w:t>
      </w:r>
      <w:r>
        <w:rPr>
          <w:rFonts w:ascii="Times New Roman" w:hAnsi="Times New Roman"/>
          <w:noProof/>
          <w:sz w:val="24"/>
          <w:lang w:val="de-DE"/>
        </w:rPr>
        <w:t>ischenzeit angenommene EU-Rechtsvorschriften, die zur Erreichung der Luftqualitätsziele beitragen, und die erwarteten positiven Auswirkungen des Klima- und Energiepakets der EU für 2030, das voraussichtlich in Kürze angenommen wird.</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Zur Selbstzufriedenheit</w:t>
      </w:r>
      <w:r>
        <w:rPr>
          <w:rFonts w:ascii="Times New Roman" w:hAnsi="Times New Roman"/>
          <w:noProof/>
          <w:sz w:val="24"/>
          <w:lang w:val="de-DE"/>
        </w:rPr>
        <w:t xml:space="preserve"> besteht jedoch kein Anlass. Die Analyse geht davon aus, dass die Vorschriften vollständig durchgeführt und durchgesetzt werden; dies müssen die Mitgliedstaaten sicherstellen. Zudem basiert sie auf Annahmen, insbesondere über das Potenzial der Tätigkeits- </w:t>
      </w:r>
      <w:r>
        <w:rPr>
          <w:rFonts w:ascii="Times New Roman" w:hAnsi="Times New Roman"/>
          <w:noProof/>
          <w:sz w:val="24"/>
          <w:lang w:val="de-DE"/>
        </w:rPr>
        <w:t>und Schadstoffbegrenzung, die trotz unser Anstrengungen von denen der Mitgliedstaaten abweichen können.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Somit bietet die Analyse eine allgemeine Perspektive auf EU-Ebene und sollte bei der Erarbeitung nationaler politischer Strategien in den nationalen Luf</w:t>
      </w:r>
      <w:r>
        <w:rPr>
          <w:rFonts w:ascii="Times New Roman" w:hAnsi="Times New Roman"/>
          <w:noProof/>
          <w:sz w:val="24"/>
          <w:lang w:val="de-DE"/>
        </w:rPr>
        <w:t>treinhalteprogrammen daher mit Vorsicht betrachtet werden.</w:t>
      </w:r>
    </w:p>
    <w:p w:rsidR="00ED5820" w:rsidRDefault="00DE54EB">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lang w:val="de-DE"/>
        </w:rPr>
      </w:pPr>
      <w:r>
        <w:rPr>
          <w:rFonts w:ascii="Times New Roman" w:hAnsi="Times New Roman"/>
          <w:b/>
          <w:smallCaps/>
          <w:noProof/>
          <w:sz w:val="24"/>
          <w:lang w:val="de-DE"/>
        </w:rPr>
        <w:t>Aussichten für die Erreichung der langfristigen Ziele</w:t>
      </w:r>
    </w:p>
    <w:p w:rsidR="00ED5820" w:rsidRDefault="00DE54EB">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de-DE"/>
        </w:rPr>
      </w:pPr>
      <w:r>
        <w:rPr>
          <w:rFonts w:ascii="Times New Roman" w:hAnsi="Times New Roman"/>
          <w:b/>
          <w:noProof/>
          <w:sz w:val="24"/>
          <w:lang w:val="de-DE"/>
        </w:rPr>
        <w:t>WHO-Richtwerte für PM</w:t>
      </w:r>
      <w:r>
        <w:rPr>
          <w:rFonts w:ascii="Times New Roman" w:hAnsi="Times New Roman"/>
          <w:b/>
          <w:noProof/>
          <w:sz w:val="24"/>
          <w:vertAlign w:val="subscript"/>
          <w:lang w:val="de-DE"/>
        </w:rPr>
        <w:t>2,5</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Die EUA schätzt, dass im Jahr 2015 82 % der EU-Bevölkerung PM</w:t>
      </w:r>
      <w:r>
        <w:rPr>
          <w:rFonts w:ascii="Times New Roman" w:hAnsi="Times New Roman"/>
          <w:noProof/>
          <w:sz w:val="24"/>
          <w:vertAlign w:val="subscript"/>
          <w:lang w:val="de-DE"/>
        </w:rPr>
        <w:t>2,5</w:t>
      </w:r>
      <w:r>
        <w:rPr>
          <w:rFonts w:ascii="Times New Roman" w:hAnsi="Times New Roman"/>
          <w:noProof/>
          <w:sz w:val="24"/>
          <w:lang w:val="de-DE"/>
        </w:rPr>
        <w:t xml:space="preserve">-Konzentrationen ausgesetzt waren, die über dem </w:t>
      </w:r>
      <w:r>
        <w:rPr>
          <w:rFonts w:ascii="Times New Roman" w:hAnsi="Times New Roman"/>
          <w:noProof/>
          <w:sz w:val="24"/>
          <w:lang w:val="de-DE"/>
        </w:rPr>
        <w:t>WHO-Richtwert von 10 µg/m</w:t>
      </w:r>
      <w:r>
        <w:rPr>
          <w:rFonts w:ascii="Times New Roman" w:hAnsi="Times New Roman"/>
          <w:noProof/>
          <w:sz w:val="24"/>
          <w:vertAlign w:val="superscript"/>
          <w:lang w:val="de-DE"/>
        </w:rPr>
        <w:t>3</w:t>
      </w:r>
      <w:r>
        <w:rPr>
          <w:rFonts w:ascii="Times New Roman" w:hAnsi="Times New Roman"/>
          <w:noProof/>
          <w:sz w:val="24"/>
          <w:lang w:val="de-DE"/>
        </w:rPr>
        <w:t xml:space="preserve"> lagen. Mit der Durchführung der nach 2014 angenommenen politischen Maßnahmen wird dies deutlich besser werden. Abbildung 4 zeigt die erwartete Entwicklung im Zeitraum von 2005 (dem Basisjahr der Richtlinie über nationale Emission</w:t>
      </w:r>
      <w:r>
        <w:rPr>
          <w:rFonts w:ascii="Times New Roman" w:hAnsi="Times New Roman"/>
          <w:noProof/>
          <w:sz w:val="24"/>
          <w:lang w:val="de-DE"/>
        </w:rPr>
        <w:t>shöchstmengen) bis 2030 (dem Zieljahr der Richtlinie) unter Annahme einer vollständigen Durchführung der Richtlinie. Der Anteil der Bevölkerung, der über dem WHO-Richtwert liegenden Konzentrationen ausgesetzt ist, geht von 88 % im Jahr 2005 auf 13 % im Jah</w:t>
      </w:r>
      <w:r>
        <w:rPr>
          <w:rFonts w:ascii="Times New Roman" w:hAnsi="Times New Roman"/>
          <w:noProof/>
          <w:sz w:val="24"/>
          <w:lang w:val="de-DE"/>
        </w:rPr>
        <w:t>r 2030 zurück, und die Überschreitungen sind auf wenige Gebiete in Europa beschränkt, von denen die meisten den Grenzwert um nicht mehr als 5 µg/m</w:t>
      </w:r>
      <w:r>
        <w:rPr>
          <w:rFonts w:ascii="Times New Roman" w:hAnsi="Times New Roman"/>
          <w:noProof/>
          <w:sz w:val="24"/>
          <w:vertAlign w:val="superscript"/>
          <w:lang w:val="de-DE"/>
        </w:rPr>
        <w:t>3</w:t>
      </w:r>
      <w:r>
        <w:rPr>
          <w:rFonts w:ascii="Times New Roman" w:hAnsi="Times New Roman"/>
          <w:noProof/>
          <w:sz w:val="24"/>
          <w:lang w:val="de-DE"/>
        </w:rPr>
        <w:t xml:space="preserve"> überschreiten. Daher würden die Konzentrationswerte für die meisten städtischen Gebiete bis 2030 dem WHO-Ric</w:t>
      </w:r>
      <w:r>
        <w:rPr>
          <w:rFonts w:ascii="Times New Roman" w:hAnsi="Times New Roman"/>
          <w:noProof/>
          <w:sz w:val="24"/>
          <w:lang w:val="de-DE"/>
        </w:rPr>
        <w:t>htwert entsprechen oder den Richtwert unterschreiten. In bestimmten Regionen würden zwar weiterhin Probleme bestehen, diese könnten jedoch durch lokale Maßnahmen bekämpft werden, die in der diesem Bericht zugrunde liegenden Analyse nicht berücksichtigt wur</w:t>
      </w:r>
      <w:r>
        <w:rPr>
          <w:rFonts w:ascii="Times New Roman" w:hAnsi="Times New Roman"/>
          <w:noProof/>
          <w:sz w:val="24"/>
          <w:lang w:val="de-DE"/>
        </w:rPr>
        <w:t>den.</w:t>
      </w:r>
    </w:p>
    <w:p w:rsidR="00ED5820" w:rsidRDefault="00DE54EB">
      <w:pPr>
        <w:keepNext/>
        <w:spacing w:before="120" w:after="120" w:line="240" w:lineRule="auto"/>
        <w:jc w:val="both"/>
        <w:rPr>
          <w:rFonts w:ascii="Times New Roman" w:eastAsia="Times New Roman" w:hAnsi="Times New Roman" w:cs="Times New Roman"/>
          <w:b/>
          <w:noProof/>
          <w:lang w:val="de-DE"/>
        </w:rPr>
      </w:pPr>
      <w:r>
        <w:rPr>
          <w:rFonts w:ascii="Times New Roman" w:hAnsi="Times New Roman"/>
          <w:b/>
          <w:noProof/>
          <w:lang w:val="de-DE"/>
        </w:rPr>
        <w:t>Abbildung 4: Verteilung der Exposition der EU-Bevölkerung gegenüber PM</w:t>
      </w:r>
      <w:r>
        <w:rPr>
          <w:rFonts w:ascii="Times New Roman" w:hAnsi="Times New Roman"/>
          <w:b/>
          <w:noProof/>
          <w:vertAlign w:val="subscript"/>
          <w:lang w:val="de-DE"/>
        </w:rPr>
        <w:t>2,5</w:t>
      </w:r>
      <w:r>
        <w:rPr>
          <w:rFonts w:ascii="Times New Roman" w:hAnsi="Times New Roman"/>
          <w:b/>
          <w:noProof/>
          <w:lang w:val="de-DE"/>
        </w:rPr>
        <w:t>-Konzentrationen in den Jahren 2005 und 2030 unter Annahme der vollständigen Erfüllung der vorgeschriebenen Emissionsreduktionsanforderungen gemäß der Richtlinie über nationale E</w:t>
      </w:r>
      <w:r>
        <w:rPr>
          <w:rFonts w:ascii="Times New Roman" w:hAnsi="Times New Roman"/>
          <w:b/>
          <w:noProof/>
          <w:lang w:val="de-DE"/>
        </w:rPr>
        <w:t>missionshöchstmengen sowie bei Einhaltung aller Vorschriften über Emissionsquellen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noProof/>
          <w:lang w:val="en-GB" w:eastAsia="en-GB"/>
        </w:rPr>
        <w:drawing>
          <wp:inline distT="0" distB="0" distL="0" distR="0">
            <wp:extent cx="4480010" cy="269788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82858" cy="2699595"/>
                    </a:xfrm>
                    <a:prstGeom prst="rect">
                      <a:avLst/>
                    </a:prstGeom>
                    <a:noFill/>
                    <a:ln>
                      <a:noFill/>
                    </a:ln>
                  </pic:spPr>
                </pic:pic>
              </a:graphicData>
            </a:graphic>
          </wp:inline>
        </w:drawing>
      </w:r>
    </w:p>
    <w:p w:rsidR="00ED5820" w:rsidRDefault="00DE54EB">
      <w:pPr>
        <w:keepNext/>
        <w:numPr>
          <w:ilvl w:val="1"/>
          <w:numId w:val="1"/>
        </w:numPr>
        <w:tabs>
          <w:tab w:val="left" w:pos="850"/>
        </w:tabs>
        <w:spacing w:before="360" w:after="120" w:line="240" w:lineRule="auto"/>
        <w:jc w:val="both"/>
        <w:outlineLvl w:val="0"/>
        <w:rPr>
          <w:rFonts w:ascii="Times New Roman" w:eastAsia="Times New Roman" w:hAnsi="Times New Roman" w:cs="Times New Roman"/>
          <w:b/>
          <w:noProof/>
          <w:sz w:val="24"/>
          <w:szCs w:val="20"/>
          <w:lang w:val="de-DE"/>
        </w:rPr>
      </w:pPr>
      <w:r>
        <w:rPr>
          <w:rFonts w:ascii="Times New Roman" w:hAnsi="Times New Roman"/>
          <w:b/>
          <w:noProof/>
          <w:sz w:val="24"/>
          <w:lang w:val="de-DE"/>
        </w:rPr>
        <w:t>Überschreitung kritischer Belastungen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Die wesentlichste Umweltauswirkung der Luftqualität ist die Eutrophierung von Land- und Wasserökosystemen. Diese wird über die Übersc</w:t>
      </w:r>
      <w:r>
        <w:rPr>
          <w:rFonts w:ascii="Times New Roman" w:hAnsi="Times New Roman"/>
          <w:noProof/>
          <w:sz w:val="24"/>
          <w:lang w:val="de-DE"/>
        </w:rPr>
        <w:t>hreitung „kritischer Belastungen“ für die Schadstoffdeposition definiert – die maximale Schadstoff-Depositionsmenge, der das Ökosystem ohne ökologische Beeinträchtigungen ausgesetzt werden kann. Die nachstehende Abbildung 5 zeigt, dass die von Eutrophierun</w:t>
      </w:r>
      <w:r>
        <w:rPr>
          <w:rFonts w:ascii="Times New Roman" w:hAnsi="Times New Roman"/>
          <w:noProof/>
          <w:sz w:val="24"/>
          <w:lang w:val="de-DE"/>
        </w:rPr>
        <w:t>g betroffenen Ökosystemflächen zwischen 2005 und 2030 aufgrund der Durchführung der Richtlinie über nationale Emissionshöchstmengen um 27 % zurückgehen (siehe Tabelle 1).</w:t>
      </w:r>
    </w:p>
    <w:p w:rsidR="00ED5820" w:rsidRDefault="00DE54EB">
      <w:pPr>
        <w:keepNext/>
        <w:pageBreakBefore/>
        <w:rPr>
          <w:rFonts w:ascii="Times New Roman" w:eastAsia="Times New Roman" w:hAnsi="Times New Roman" w:cs="Times New Roman"/>
          <w:b/>
          <w:noProof/>
          <w:lang w:val="de-DE"/>
        </w:rPr>
      </w:pPr>
      <w:r>
        <w:rPr>
          <w:rFonts w:ascii="Times New Roman" w:hAnsi="Times New Roman"/>
          <w:b/>
          <w:noProof/>
          <w:lang w:val="de-DE"/>
        </w:rPr>
        <w:t>Abbildung 5: Prozentualer Anteil der Ökosystemflächen, der einer Stickstoffdeposition</w:t>
      </w:r>
      <w:r>
        <w:rPr>
          <w:rFonts w:ascii="Times New Roman" w:hAnsi="Times New Roman"/>
          <w:b/>
          <w:noProof/>
          <w:lang w:val="de-DE"/>
        </w:rPr>
        <w:t xml:space="preserve"> oberhalb der kritischen Belastung für die Eutrophierung ausgesetzt ist (links: 2005, rechts: 2030 bei vollständiger Durchführung der Richtlinie über nationale Emissionshöchstmengen; basierend auf einem Datensatz von 2012)</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noProof/>
          <w:lang w:val="en-GB" w:eastAsia="en-GB"/>
        </w:rPr>
        <w:drawing>
          <wp:inline distT="0" distB="0" distL="0" distR="0">
            <wp:extent cx="2618841" cy="2266640"/>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a:extLst>
                        <a:ext uri="{28A0092B-C50C-407E-A947-70E740481C1C}">
                          <a14:useLocalDpi xmlns:a14="http://schemas.microsoft.com/office/drawing/2010/main" val="0"/>
                        </a:ext>
                      </a:extLst>
                    </a:blip>
                    <a:srcRect r="38478"/>
                    <a:stretch/>
                  </pic:blipFill>
                  <pic:spPr bwMode="auto">
                    <a:xfrm>
                      <a:off x="0" y="0"/>
                      <a:ext cx="2624965" cy="227194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extent cx="2596515" cy="2247317"/>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r="37762"/>
                    <a:stretch/>
                  </pic:blipFill>
                  <pic:spPr bwMode="auto">
                    <a:xfrm>
                      <a:off x="0" y="0"/>
                      <a:ext cx="2606097" cy="225561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346"/>
        <w:gridCol w:w="1250"/>
      </w:tblGrid>
      <w:tr w:rsidR="00ED5820">
        <w:trPr>
          <w:trHeight w:val="267"/>
        </w:trPr>
        <w:tc>
          <w:tcPr>
            <w:tcW w:w="346" w:type="dxa"/>
            <w:shd w:val="clear" w:color="auto" w:fill="DBF1F9"/>
          </w:tcPr>
          <w:p w:rsidR="00ED5820" w:rsidRDefault="00ED5820">
            <w:pPr>
              <w:rPr>
                <w:noProof/>
                <w:color w:val="DBE5F1"/>
                <w:sz w:val="16"/>
                <w:szCs w:val="16"/>
                <w:lang w:val="de-DE"/>
              </w:rPr>
            </w:pPr>
          </w:p>
        </w:tc>
        <w:tc>
          <w:tcPr>
            <w:tcW w:w="1250" w:type="dxa"/>
          </w:tcPr>
          <w:p w:rsidR="00ED5820" w:rsidRDefault="00DE54EB">
            <w:pPr>
              <w:rPr>
                <w:noProof/>
                <w:sz w:val="16"/>
                <w:szCs w:val="16"/>
                <w:lang w:val="de-DE"/>
              </w:rPr>
            </w:pPr>
            <w:r>
              <w:rPr>
                <w:noProof/>
                <w:sz w:val="16"/>
                <w:lang w:val="de-DE"/>
              </w:rPr>
              <w:t>0 ... 5 %</w:t>
            </w:r>
          </w:p>
        </w:tc>
      </w:tr>
      <w:tr w:rsidR="00ED5820">
        <w:trPr>
          <w:trHeight w:val="252"/>
        </w:trPr>
        <w:tc>
          <w:tcPr>
            <w:tcW w:w="346" w:type="dxa"/>
            <w:shd w:val="clear" w:color="auto" w:fill="B8CCE4"/>
          </w:tcPr>
          <w:p w:rsidR="00ED5820" w:rsidRDefault="00ED5820">
            <w:pPr>
              <w:rPr>
                <w:noProof/>
                <w:sz w:val="16"/>
                <w:szCs w:val="16"/>
                <w:lang w:val="de-DE"/>
              </w:rPr>
            </w:pPr>
          </w:p>
        </w:tc>
        <w:tc>
          <w:tcPr>
            <w:tcW w:w="1250" w:type="dxa"/>
          </w:tcPr>
          <w:p w:rsidR="00ED5820" w:rsidRDefault="00DE54EB">
            <w:pPr>
              <w:rPr>
                <w:noProof/>
                <w:sz w:val="16"/>
                <w:szCs w:val="16"/>
                <w:lang w:val="de-DE"/>
              </w:rPr>
            </w:pPr>
            <w:r>
              <w:rPr>
                <w:noProof/>
                <w:sz w:val="16"/>
                <w:lang w:val="de-DE"/>
              </w:rPr>
              <w:t>5 ... 10 %</w:t>
            </w:r>
          </w:p>
        </w:tc>
      </w:tr>
      <w:tr w:rsidR="00ED5820">
        <w:trPr>
          <w:trHeight w:val="267"/>
        </w:trPr>
        <w:tc>
          <w:tcPr>
            <w:tcW w:w="346" w:type="dxa"/>
            <w:shd w:val="clear" w:color="auto" w:fill="95B1D7"/>
          </w:tcPr>
          <w:p w:rsidR="00ED5820" w:rsidRDefault="00ED5820">
            <w:pPr>
              <w:rPr>
                <w:noProof/>
                <w:sz w:val="16"/>
                <w:szCs w:val="16"/>
                <w:lang w:val="de-DE"/>
              </w:rPr>
            </w:pPr>
          </w:p>
        </w:tc>
        <w:tc>
          <w:tcPr>
            <w:tcW w:w="1250" w:type="dxa"/>
          </w:tcPr>
          <w:p w:rsidR="00ED5820" w:rsidRDefault="00DE54EB">
            <w:pPr>
              <w:rPr>
                <w:noProof/>
                <w:sz w:val="16"/>
                <w:szCs w:val="16"/>
                <w:lang w:val="de-DE"/>
              </w:rPr>
            </w:pPr>
            <w:r>
              <w:rPr>
                <w:noProof/>
                <w:sz w:val="16"/>
                <w:lang w:val="de-DE"/>
              </w:rPr>
              <w:t xml:space="preserve">10 </w:t>
            </w:r>
            <w:r>
              <w:rPr>
                <w:noProof/>
                <w:sz w:val="16"/>
                <w:lang w:val="de-DE"/>
              </w:rPr>
              <w:t>... 30 %</w:t>
            </w:r>
          </w:p>
        </w:tc>
      </w:tr>
      <w:tr w:rsidR="00ED5820">
        <w:trPr>
          <w:trHeight w:val="252"/>
        </w:trPr>
        <w:tc>
          <w:tcPr>
            <w:tcW w:w="346" w:type="dxa"/>
            <w:shd w:val="clear" w:color="auto" w:fill="366090"/>
          </w:tcPr>
          <w:p w:rsidR="00ED5820" w:rsidRDefault="00ED5820">
            <w:pPr>
              <w:rPr>
                <w:noProof/>
                <w:sz w:val="16"/>
                <w:szCs w:val="16"/>
                <w:lang w:val="de-DE"/>
              </w:rPr>
            </w:pPr>
          </w:p>
        </w:tc>
        <w:tc>
          <w:tcPr>
            <w:tcW w:w="1250" w:type="dxa"/>
          </w:tcPr>
          <w:p w:rsidR="00ED5820" w:rsidRDefault="00DE54EB">
            <w:pPr>
              <w:rPr>
                <w:noProof/>
                <w:sz w:val="16"/>
                <w:szCs w:val="16"/>
                <w:lang w:val="de-DE"/>
              </w:rPr>
            </w:pPr>
            <w:r>
              <w:rPr>
                <w:noProof/>
                <w:sz w:val="16"/>
                <w:lang w:val="de-DE"/>
              </w:rPr>
              <w:t>30 ... 70 %</w:t>
            </w:r>
          </w:p>
        </w:tc>
      </w:tr>
      <w:tr w:rsidR="00ED5820">
        <w:trPr>
          <w:trHeight w:val="267"/>
        </w:trPr>
        <w:tc>
          <w:tcPr>
            <w:tcW w:w="346" w:type="dxa"/>
            <w:shd w:val="clear" w:color="auto" w:fill="254673"/>
          </w:tcPr>
          <w:p w:rsidR="00ED5820" w:rsidRDefault="00ED5820">
            <w:pPr>
              <w:rPr>
                <w:noProof/>
                <w:sz w:val="16"/>
                <w:szCs w:val="16"/>
                <w:lang w:val="de-DE"/>
              </w:rPr>
            </w:pPr>
          </w:p>
        </w:tc>
        <w:tc>
          <w:tcPr>
            <w:tcW w:w="1250" w:type="dxa"/>
          </w:tcPr>
          <w:p w:rsidR="00ED5820" w:rsidRDefault="00DE54EB">
            <w:pPr>
              <w:rPr>
                <w:noProof/>
                <w:sz w:val="16"/>
                <w:szCs w:val="16"/>
                <w:lang w:val="de-DE"/>
              </w:rPr>
            </w:pPr>
            <w:r>
              <w:rPr>
                <w:noProof/>
                <w:sz w:val="16"/>
                <w:lang w:val="de-DE"/>
              </w:rPr>
              <w:t>70 ... 90 %</w:t>
            </w:r>
          </w:p>
        </w:tc>
      </w:tr>
      <w:tr w:rsidR="00ED5820">
        <w:trPr>
          <w:trHeight w:val="252"/>
        </w:trPr>
        <w:tc>
          <w:tcPr>
            <w:tcW w:w="346" w:type="dxa"/>
            <w:shd w:val="clear" w:color="auto" w:fill="17365D"/>
          </w:tcPr>
          <w:p w:rsidR="00ED5820" w:rsidRDefault="00ED5820">
            <w:pPr>
              <w:rPr>
                <w:noProof/>
                <w:sz w:val="16"/>
                <w:szCs w:val="16"/>
                <w:lang w:val="de-DE"/>
              </w:rPr>
            </w:pPr>
          </w:p>
        </w:tc>
        <w:tc>
          <w:tcPr>
            <w:tcW w:w="1250" w:type="dxa"/>
          </w:tcPr>
          <w:p w:rsidR="00ED5820" w:rsidRDefault="00DE54EB">
            <w:pPr>
              <w:rPr>
                <w:noProof/>
                <w:sz w:val="16"/>
                <w:szCs w:val="16"/>
                <w:lang w:val="de-DE"/>
              </w:rPr>
            </w:pPr>
            <w:r>
              <w:rPr>
                <w:noProof/>
                <w:sz w:val="16"/>
                <w:lang w:val="de-DE"/>
              </w:rPr>
              <w:t>90 ... 95 %</w:t>
            </w:r>
          </w:p>
        </w:tc>
      </w:tr>
      <w:tr w:rsidR="00ED5820">
        <w:trPr>
          <w:trHeight w:val="267"/>
        </w:trPr>
        <w:tc>
          <w:tcPr>
            <w:tcW w:w="346" w:type="dxa"/>
            <w:shd w:val="clear" w:color="auto" w:fill="0F243E"/>
          </w:tcPr>
          <w:p w:rsidR="00ED5820" w:rsidRDefault="00ED5820">
            <w:pPr>
              <w:rPr>
                <w:noProof/>
                <w:sz w:val="16"/>
                <w:szCs w:val="16"/>
                <w:lang w:val="de-DE"/>
              </w:rPr>
            </w:pPr>
          </w:p>
        </w:tc>
        <w:tc>
          <w:tcPr>
            <w:tcW w:w="1250" w:type="dxa"/>
          </w:tcPr>
          <w:p w:rsidR="00ED5820" w:rsidRDefault="00DE54EB">
            <w:pPr>
              <w:rPr>
                <w:noProof/>
                <w:sz w:val="16"/>
                <w:szCs w:val="16"/>
                <w:lang w:val="de-DE"/>
              </w:rPr>
            </w:pPr>
            <w:r>
              <w:rPr>
                <w:noProof/>
                <w:sz w:val="16"/>
                <w:lang w:val="de-DE"/>
              </w:rPr>
              <w:t>95 ... %</w:t>
            </w:r>
          </w:p>
        </w:tc>
      </w:tr>
      <w:tr w:rsidR="00ED5820">
        <w:trPr>
          <w:trHeight w:val="267"/>
        </w:trPr>
        <w:tc>
          <w:tcPr>
            <w:tcW w:w="346" w:type="dxa"/>
            <w:shd w:val="clear" w:color="auto" w:fill="B4B4B4"/>
          </w:tcPr>
          <w:p w:rsidR="00ED5820" w:rsidRDefault="00ED5820">
            <w:pPr>
              <w:rPr>
                <w:noProof/>
                <w:sz w:val="16"/>
                <w:szCs w:val="16"/>
                <w:lang w:val="de-DE"/>
              </w:rPr>
            </w:pPr>
          </w:p>
        </w:tc>
        <w:tc>
          <w:tcPr>
            <w:tcW w:w="1250" w:type="dxa"/>
          </w:tcPr>
          <w:p w:rsidR="00ED5820" w:rsidRDefault="00DE54EB">
            <w:pPr>
              <w:rPr>
                <w:noProof/>
                <w:sz w:val="16"/>
                <w:szCs w:val="16"/>
                <w:lang w:val="de-DE"/>
              </w:rPr>
            </w:pPr>
            <w:r>
              <w:rPr>
                <w:noProof/>
                <w:sz w:val="16"/>
                <w:lang w:val="de-DE"/>
              </w:rPr>
              <w:t>N2000-Daten fehlen</w:t>
            </w:r>
          </w:p>
        </w:tc>
      </w:tr>
    </w:tbl>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Eine übermäßige Stickstoffdeposition wird durch die Ablagerung von NO</w:t>
      </w:r>
      <w:r>
        <w:rPr>
          <w:rFonts w:ascii="Times New Roman" w:hAnsi="Times New Roman"/>
          <w:noProof/>
          <w:sz w:val="24"/>
          <w:vertAlign w:val="subscript"/>
          <w:lang w:val="de-DE"/>
        </w:rPr>
        <w:t>x</w:t>
      </w:r>
      <w:r>
        <w:rPr>
          <w:rFonts w:ascii="Times New Roman" w:hAnsi="Times New Roman"/>
          <w:noProof/>
          <w:sz w:val="24"/>
          <w:lang w:val="de-DE"/>
        </w:rPr>
        <w:t xml:space="preserve"> und NH</w:t>
      </w:r>
      <w:r>
        <w:rPr>
          <w:rFonts w:ascii="Times New Roman" w:hAnsi="Times New Roman"/>
          <w:noProof/>
          <w:sz w:val="24"/>
          <w:vertAlign w:val="subscript"/>
          <w:lang w:val="de-DE"/>
        </w:rPr>
        <w:t>3</w:t>
      </w:r>
      <w:r>
        <w:rPr>
          <w:rFonts w:ascii="Times New Roman" w:hAnsi="Times New Roman"/>
          <w:noProof/>
          <w:sz w:val="24"/>
          <w:lang w:val="de-DE"/>
        </w:rPr>
        <w:t xml:space="preserve"> erzeugt. NH</w:t>
      </w:r>
      <w:r>
        <w:rPr>
          <w:rFonts w:ascii="Times New Roman" w:hAnsi="Times New Roman"/>
          <w:noProof/>
          <w:sz w:val="24"/>
          <w:vertAlign w:val="subscript"/>
          <w:lang w:val="de-DE"/>
        </w:rPr>
        <w:t>3</w:t>
      </w:r>
      <w:r>
        <w:rPr>
          <w:rFonts w:ascii="Times New Roman" w:hAnsi="Times New Roman"/>
          <w:noProof/>
          <w:sz w:val="24"/>
          <w:lang w:val="de-DE"/>
        </w:rPr>
        <w:t xml:space="preserve"> überwiegt dabei, und seine relative Bedeutung wird bis 2030 noch weiter zunehmen, da die vorgeschriebene Emissionssenkung in der Richtlinie über nationale Emissionshöchstmengen im Vergleich mit der NO</w:t>
      </w:r>
      <w:r>
        <w:rPr>
          <w:rFonts w:ascii="Times New Roman" w:hAnsi="Times New Roman"/>
          <w:noProof/>
          <w:sz w:val="24"/>
          <w:vertAlign w:val="subscript"/>
          <w:lang w:val="de-DE"/>
        </w:rPr>
        <w:t>x</w:t>
      </w:r>
      <w:r>
        <w:rPr>
          <w:rFonts w:ascii="Times New Roman" w:hAnsi="Times New Roman"/>
          <w:noProof/>
          <w:sz w:val="24"/>
          <w:lang w:val="de-DE"/>
        </w:rPr>
        <w:t>-Emissionssenkung relativ klein ist (19 % bzw. 66 %).</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Es besteht jedoch noch Potenzial für eine weitergehende NH</w:t>
      </w:r>
      <w:r>
        <w:rPr>
          <w:rFonts w:ascii="Times New Roman" w:hAnsi="Times New Roman"/>
          <w:noProof/>
          <w:sz w:val="24"/>
          <w:vertAlign w:val="subscript"/>
          <w:lang w:val="de-DE"/>
        </w:rPr>
        <w:t>3</w:t>
      </w:r>
      <w:r>
        <w:rPr>
          <w:rFonts w:ascii="Times New Roman" w:hAnsi="Times New Roman"/>
          <w:noProof/>
          <w:sz w:val="24"/>
          <w:lang w:val="de-DE"/>
        </w:rPr>
        <w:t>-Emissionssenkung. Durch eine vollständige Durchführung aktuell verfügbarer technischer Maßnahmen würde die übermäßige Deposition um mehr als 75 % verringert. Damit würden die kritischen Belastunge</w:t>
      </w:r>
      <w:r>
        <w:rPr>
          <w:rFonts w:ascii="Times New Roman" w:hAnsi="Times New Roman"/>
          <w:noProof/>
          <w:sz w:val="24"/>
          <w:lang w:val="de-DE"/>
        </w:rPr>
        <w:t xml:space="preserve">n zwar nicht überall unterschritten, aber es wären weitere Verbesserungen möglich, die in der diesem Bericht zugrunde liegenden Modellierung nicht berücksichtigt wurden – insbesondere durch die Begrenzung von Emissionen aus großen Punktquellen, die in der </w:t>
      </w:r>
      <w:r>
        <w:rPr>
          <w:rFonts w:ascii="Times New Roman" w:hAnsi="Times New Roman"/>
          <w:noProof/>
          <w:sz w:val="24"/>
          <w:lang w:val="de-DE"/>
        </w:rPr>
        <w:t>Nähe empfindlicher Ökosysteme liegen, und durch strukturelle Produktionsumstellungen aufgrund allgemeinerer sozialer Bestrebungen für eine gesunde Ernährung.</w:t>
      </w:r>
    </w:p>
    <w:p w:rsidR="00ED5820" w:rsidRDefault="00DE54EB">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lang w:val="de-DE"/>
        </w:rPr>
      </w:pPr>
      <w:r>
        <w:rPr>
          <w:rFonts w:ascii="Times New Roman" w:hAnsi="Times New Roman"/>
          <w:b/>
          <w:smallCaps/>
          <w:noProof/>
          <w:sz w:val="24"/>
          <w:lang w:val="de-DE"/>
        </w:rPr>
        <w:t>Kurzlebige Klimaschadstoffe</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Ruß („black carbon“, BC), Methan und Ozon wirken sich nicht nur negati</w:t>
      </w:r>
      <w:r>
        <w:rPr>
          <w:rFonts w:ascii="Times New Roman" w:hAnsi="Times New Roman"/>
          <w:noProof/>
          <w:sz w:val="24"/>
          <w:lang w:val="de-DE"/>
        </w:rPr>
        <w:t>v auf die Luftqualität aus, sondern auch auf das Klima.</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In der Richtlinie über nationale Emissionshöchstmengen ist festgelegt, dass die Mitgliedstaaten solche Maßnahmen zur Erfüllung ihrer Emissionsreduktionsverpflichtungen für PM</w:t>
      </w:r>
      <w:r>
        <w:rPr>
          <w:rFonts w:ascii="Times New Roman" w:hAnsi="Times New Roman"/>
          <w:noProof/>
          <w:sz w:val="24"/>
          <w:vertAlign w:val="subscript"/>
          <w:lang w:val="de-DE"/>
        </w:rPr>
        <w:t>2,5</w:t>
      </w:r>
      <w:r>
        <w:rPr>
          <w:rFonts w:ascii="Times New Roman" w:hAnsi="Times New Roman"/>
          <w:noProof/>
          <w:sz w:val="24"/>
          <w:lang w:val="de-DE"/>
        </w:rPr>
        <w:t xml:space="preserve"> priorisieren, die auch</w:t>
      </w:r>
      <w:r>
        <w:rPr>
          <w:rFonts w:ascii="Times New Roman" w:hAnsi="Times New Roman"/>
          <w:noProof/>
          <w:sz w:val="24"/>
          <w:lang w:val="de-DE"/>
        </w:rPr>
        <w:t xml:space="preserve"> den Rußausstoß verringern. Die Maßnahmen zur Senkung der PM</w:t>
      </w:r>
      <w:r>
        <w:rPr>
          <w:rFonts w:ascii="Times New Roman" w:hAnsi="Times New Roman"/>
          <w:noProof/>
          <w:sz w:val="24"/>
          <w:vertAlign w:val="subscript"/>
          <w:lang w:val="de-DE"/>
        </w:rPr>
        <w:t>2,5</w:t>
      </w:r>
      <w:r>
        <w:rPr>
          <w:rFonts w:ascii="Times New Roman" w:hAnsi="Times New Roman"/>
          <w:noProof/>
          <w:sz w:val="24"/>
          <w:lang w:val="de-DE"/>
        </w:rPr>
        <w:t>-Emissionen (z. B. bei der Festbrennstoffverbrennung in Privathaushalten, dem Feinstaubausstoß von Dieselfahrzeugen, der offenen Verbrennung in der Landwirtschaft und der Energieerzeugung) werd</w:t>
      </w:r>
      <w:r>
        <w:rPr>
          <w:rFonts w:ascii="Times New Roman" w:hAnsi="Times New Roman"/>
          <w:noProof/>
          <w:sz w:val="24"/>
          <w:lang w:val="de-DE"/>
        </w:rPr>
        <w:t>en für die gesamte EU bis 2030 auch eine Senkung der Rußemissionen um 72 % bewirken.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Methan und Ozon sind eng miteinander verknüpft, da Methan einen wichtigen Beitrag zu den Ozon-Hintergrundkonzentrationen leistet. Da Methan eine lange Lebensdauer hat, wir</w:t>
      </w:r>
      <w:r>
        <w:rPr>
          <w:rFonts w:ascii="Times New Roman" w:hAnsi="Times New Roman"/>
          <w:noProof/>
          <w:sz w:val="24"/>
          <w:lang w:val="de-DE"/>
        </w:rPr>
        <w:t>d es über weite Entfernungen über die Nordhalbkugel getragen, und Emissionen aus den USA, aus China und Indien beeinflussen die Konzentrationen in der EU und umgekehrt. Die Gemeinsame Forschungsstelle der Kommission legt später im Jahr einen Fachbericht üb</w:t>
      </w:r>
      <w:r>
        <w:rPr>
          <w:rFonts w:ascii="Times New Roman" w:hAnsi="Times New Roman"/>
          <w:noProof/>
          <w:sz w:val="24"/>
          <w:lang w:val="de-DE"/>
        </w:rPr>
        <w:t xml:space="preserve">er Methanemissionen und ihren Beitrag zum Ozon vor. Auf Grundlage dieser Arbeit bewertet die Kommission im Jahr 2019 – gegebenenfalls in Zusammenarbeit mit dem UNECE-Übereinkommen über weiträumige grenzüberschreitende Luftverunreinigung, der Koalition für </w:t>
      </w:r>
      <w:r>
        <w:rPr>
          <w:rFonts w:ascii="Times New Roman" w:hAnsi="Times New Roman"/>
          <w:noProof/>
          <w:sz w:val="24"/>
          <w:lang w:val="de-DE"/>
        </w:rPr>
        <w:t>Klima und saubere Luft (CCAC) und der Globalen Methaninitiative – das Potenzial für Emissionssenkungen in der Nordhalbkugel und die Auswirkungen dieser Senkungen auf die Konzentrationswerte, um angemessene Ziele für die Methanemissionssenkung im Rahmen ein</w:t>
      </w:r>
      <w:r>
        <w:rPr>
          <w:rFonts w:ascii="Times New Roman" w:hAnsi="Times New Roman"/>
          <w:noProof/>
          <w:sz w:val="24"/>
          <w:lang w:val="de-DE"/>
        </w:rPr>
        <w:t>es zukünftigen Konzepts für die Nordhalbkugel zu ermitteln.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Temperaturanstiege aufgrund des Klimawandels würden sich negativ auf die Ozonkonzentrationen auswirken; dies sollte bei der längerfristigen Bewertung und Bekämpfung der Luftverschmutzung berücksic</w:t>
      </w:r>
      <w:r>
        <w:rPr>
          <w:rFonts w:ascii="Times New Roman" w:hAnsi="Times New Roman"/>
          <w:noProof/>
          <w:sz w:val="24"/>
          <w:lang w:val="de-DE"/>
        </w:rPr>
        <w:t>htigt werden.</w:t>
      </w:r>
    </w:p>
    <w:p w:rsidR="00ED5820" w:rsidRDefault="00DE54EB">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lang w:val="de-DE"/>
        </w:rPr>
      </w:pPr>
      <w:bookmarkStart w:id="9" w:name="_Toc359596090"/>
      <w:r>
        <w:rPr>
          <w:rFonts w:ascii="Times New Roman" w:hAnsi="Times New Roman"/>
          <w:b/>
          <w:smallCaps/>
          <w:noProof/>
          <w:sz w:val="24"/>
          <w:lang w:val="de-DE"/>
        </w:rPr>
        <w:t>Die internationale Dimension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Nach der Annahme der Richtlinie über nationale Emissionshöchstmengen konnte die EU im August 2017 die im Jahr 2012 vereinbarte Überarbeitung des Göteborg-Protokolls ratifizieren. Das überarbeitete Protokoll kann n</w:t>
      </w:r>
      <w:r>
        <w:rPr>
          <w:rFonts w:ascii="Times New Roman" w:hAnsi="Times New Roman"/>
          <w:noProof/>
          <w:sz w:val="24"/>
          <w:lang w:val="de-DE"/>
        </w:rPr>
        <w:t>ach der Ratifizierung durch die Mitgliedstaaten in Kraft gesetzt werden. Acht Mitgliedstaaten haben diese Ratifizierung bereits durchgeführt,</w:t>
      </w:r>
      <w:r>
        <w:rPr>
          <w:rFonts w:ascii="Times New Roman" w:hAnsi="Times New Roman"/>
          <w:noProof/>
          <w:sz w:val="24"/>
          <w:vertAlign w:val="superscript"/>
          <w:lang w:val="de-DE"/>
        </w:rPr>
        <w:footnoteReference w:id="36"/>
      </w:r>
      <w:r>
        <w:rPr>
          <w:rFonts w:ascii="Times New Roman" w:hAnsi="Times New Roman"/>
          <w:noProof/>
          <w:sz w:val="24"/>
          <w:lang w:val="de-DE"/>
        </w:rPr>
        <w:t xml:space="preserve"> und die Kommission regt alle anderen Mitgliedstaaten an, dies ebenfalls möglichst bald zu tun.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 xml:space="preserve">Das Hauptziel der </w:t>
      </w:r>
      <w:r>
        <w:rPr>
          <w:rFonts w:ascii="Times New Roman" w:hAnsi="Times New Roman"/>
          <w:noProof/>
          <w:sz w:val="24"/>
          <w:lang w:val="de-DE"/>
        </w:rPr>
        <w:t>EU besteht nach wie vor darin, eine umfassendere Ratifizierung des Protokolls durch Nicht-EU-Länder, insbesondere die Länder Osteuropas, des Kaukasus und Zentralasiens (EECCA), zu fördern. Im überarbeiteten Protokoll wurden flexible Bestimmungen für EECCA-</w:t>
      </w:r>
      <w:r>
        <w:rPr>
          <w:rFonts w:ascii="Times New Roman" w:hAnsi="Times New Roman"/>
          <w:noProof/>
          <w:sz w:val="24"/>
          <w:lang w:val="de-DE"/>
        </w:rPr>
        <w:t>Länder aufgenommen, um die Ratifizierung anzuregen. Diese können aber nur angewandt werden, wenn das Protokoll vor 2020 in Kraft tritt. Dies ist ein weiterer wichtiger Grund für eine zügige Ratifizierung des Protokolls durch die Mitgliedstaaten.</w:t>
      </w: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Die Kommis</w:t>
      </w:r>
      <w:r>
        <w:rPr>
          <w:rFonts w:ascii="Times New Roman" w:hAnsi="Times New Roman"/>
          <w:noProof/>
          <w:sz w:val="24"/>
          <w:lang w:val="de-DE"/>
        </w:rPr>
        <w:t>sion baut ihre Arbeit zur Unterstützung der Nachbarstaaten bei der Luftqualitätspolitik weiter aus, insbesondere über das Instrument für Heranführungshilfe (IPA) und das Europäische Nachbarschaftsinstrument (ENI). Der Erfahrungsaustausch über die EU und di</w:t>
      </w:r>
      <w:r>
        <w:rPr>
          <w:rFonts w:ascii="Times New Roman" w:hAnsi="Times New Roman"/>
          <w:noProof/>
          <w:sz w:val="24"/>
          <w:lang w:val="de-DE"/>
        </w:rPr>
        <w:t>e Wirtschaftskommission für Europa der Vereinten Nationen (UN-ECE) hinaus ist ebenfalls eine Priorität, und die EU hat über die dritte Tagung der Umweltversammlung der Vereinten Nationen (Dezember 2017) erfolgreich auf eine breitere regionale und interregi</w:t>
      </w:r>
      <w:r>
        <w:rPr>
          <w:rFonts w:ascii="Times New Roman" w:hAnsi="Times New Roman"/>
          <w:noProof/>
          <w:sz w:val="24"/>
          <w:lang w:val="de-DE"/>
        </w:rPr>
        <w:t>onale Zusammenarbeit gedrängt und wird dies auf bilateraler Ebene auch weiter tun. Außerdem finanziert die Kommission die im Rahmen des „Arctic Monitoring and Assessment Programme“ (AMAP) durchgeführte Bewertung des Potenzials für die Senkung der Rußemissi</w:t>
      </w:r>
      <w:r>
        <w:rPr>
          <w:rFonts w:ascii="Times New Roman" w:hAnsi="Times New Roman"/>
          <w:noProof/>
          <w:sz w:val="24"/>
          <w:lang w:val="de-DE"/>
        </w:rPr>
        <w:t>onen, die diese Region betreffen.</w:t>
      </w:r>
    </w:p>
    <w:p w:rsidR="00ED5820" w:rsidRDefault="00DE54EB">
      <w:pPr>
        <w:keepNext/>
        <w:numPr>
          <w:ilvl w:val="0"/>
          <w:numId w:val="1"/>
        </w:numPr>
        <w:tabs>
          <w:tab w:val="left" w:pos="850"/>
        </w:tabs>
        <w:spacing w:before="360" w:after="120" w:line="240" w:lineRule="auto"/>
        <w:jc w:val="both"/>
        <w:outlineLvl w:val="0"/>
        <w:rPr>
          <w:rFonts w:ascii="Times New Roman" w:eastAsia="Times New Roman" w:hAnsi="Times New Roman" w:cs="Times New Roman"/>
          <w:b/>
          <w:smallCaps/>
          <w:noProof/>
          <w:sz w:val="24"/>
          <w:szCs w:val="20"/>
          <w:lang w:val="de-DE"/>
        </w:rPr>
      </w:pPr>
      <w:r>
        <w:rPr>
          <w:rFonts w:ascii="Times New Roman" w:hAnsi="Times New Roman"/>
          <w:b/>
          <w:smallCaps/>
          <w:noProof/>
          <w:sz w:val="24"/>
          <w:lang w:val="de-DE"/>
        </w:rPr>
        <w:t>Schlussfolgerungen</w:t>
      </w:r>
      <w:bookmarkEnd w:id="9"/>
      <w:r>
        <w:rPr>
          <w:rFonts w:ascii="Times New Roman" w:hAnsi="Times New Roman"/>
          <w:b/>
          <w:smallCaps/>
          <w:noProof/>
          <w:sz w:val="24"/>
          <w:lang w:val="de-DE"/>
        </w:rPr>
        <w:t xml:space="preserve"> </w:t>
      </w:r>
    </w:p>
    <w:p w:rsidR="00ED5820" w:rsidRDefault="00DE54EB">
      <w:pPr>
        <w:pStyle w:val="ListParagraph"/>
        <w:numPr>
          <w:ilvl w:val="0"/>
          <w:numId w:val="4"/>
        </w:num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 xml:space="preserve">Es ist positiv anzumerken, dass </w:t>
      </w:r>
      <w:r>
        <w:rPr>
          <w:rFonts w:ascii="Times New Roman" w:hAnsi="Times New Roman"/>
          <w:b/>
          <w:noProof/>
          <w:sz w:val="24"/>
          <w:lang w:val="de-DE"/>
        </w:rPr>
        <w:t>das Maßnahmenpaket, das die Legislativorgane seit Beginn des Programms für saubere Luft aus dem Jahr 2013 angenommen haben</w:t>
      </w:r>
      <w:r>
        <w:rPr>
          <w:rFonts w:ascii="Times New Roman" w:hAnsi="Times New Roman"/>
          <w:noProof/>
          <w:sz w:val="24"/>
          <w:lang w:val="de-DE"/>
        </w:rPr>
        <w:t>, – d. h. nicht nur die Richtlinie über national</w:t>
      </w:r>
      <w:r>
        <w:rPr>
          <w:rFonts w:ascii="Times New Roman" w:hAnsi="Times New Roman"/>
          <w:noProof/>
          <w:sz w:val="24"/>
          <w:lang w:val="de-DE"/>
        </w:rPr>
        <w:t>e Emissionshöchstmengen, sondern auch die Richtlinie über mittelgroße Feuerungsanlagen, die überarbeitete Verordnung über nicht für den Straßenverkehr bestimmte mobile Maschinen und Geräte sowie Maßnahmen zur Durchführung der Richtlinie über Industrieemiss</w:t>
      </w:r>
      <w:r>
        <w:rPr>
          <w:rFonts w:ascii="Times New Roman" w:hAnsi="Times New Roman"/>
          <w:noProof/>
          <w:sz w:val="24"/>
          <w:lang w:val="de-DE"/>
        </w:rPr>
        <w:t xml:space="preserve">ionen und der Richtlinie über umweltgerechte Gestaltung – </w:t>
      </w:r>
      <w:r>
        <w:rPr>
          <w:rFonts w:ascii="Times New Roman" w:hAnsi="Times New Roman"/>
          <w:b/>
          <w:noProof/>
          <w:sz w:val="24"/>
          <w:lang w:val="de-DE"/>
        </w:rPr>
        <w:t>die im Programm festgesetzte Minderung der Gesundheitsauswirkungen von 52 % bis 2030 voraussichtlich sogar übertreffen und in den meisten Regionen der EU zu PM</w:t>
      </w:r>
      <w:r>
        <w:rPr>
          <w:rFonts w:ascii="Times New Roman" w:hAnsi="Times New Roman"/>
          <w:b/>
          <w:noProof/>
          <w:sz w:val="24"/>
          <w:vertAlign w:val="subscript"/>
          <w:lang w:val="de-DE"/>
        </w:rPr>
        <w:t>2,5</w:t>
      </w:r>
      <w:r>
        <w:rPr>
          <w:rFonts w:ascii="Times New Roman" w:hAnsi="Times New Roman"/>
          <w:b/>
          <w:noProof/>
          <w:sz w:val="24"/>
          <w:lang w:val="de-DE"/>
        </w:rPr>
        <w:t>-Konzentrationen sogar noch unter de</w:t>
      </w:r>
      <w:r>
        <w:rPr>
          <w:rFonts w:ascii="Times New Roman" w:hAnsi="Times New Roman"/>
          <w:b/>
          <w:noProof/>
          <w:sz w:val="24"/>
          <w:lang w:val="de-DE"/>
        </w:rPr>
        <w:t>m WHO-Richtwert führen wird</w:t>
      </w:r>
      <w:r>
        <w:rPr>
          <w:rFonts w:ascii="Times New Roman" w:hAnsi="Times New Roman"/>
          <w:noProof/>
          <w:sz w:val="24"/>
          <w:lang w:val="de-DE"/>
        </w:rPr>
        <w:t>.</w:t>
      </w:r>
    </w:p>
    <w:p w:rsidR="00ED5820" w:rsidRDefault="00ED5820">
      <w:pPr>
        <w:pStyle w:val="ListParagraph"/>
        <w:spacing w:before="120" w:after="120" w:line="240" w:lineRule="auto"/>
        <w:jc w:val="both"/>
        <w:rPr>
          <w:rFonts w:ascii="Times New Roman" w:eastAsia="Times New Roman" w:hAnsi="Times New Roman" w:cs="Times New Roman"/>
          <w:noProof/>
          <w:sz w:val="24"/>
          <w:szCs w:val="20"/>
          <w:lang w:val="de-DE"/>
        </w:rPr>
      </w:pPr>
    </w:p>
    <w:p w:rsidR="00ED5820" w:rsidRDefault="00DE54EB">
      <w:pPr>
        <w:pStyle w:val="ListParagraph"/>
        <w:numPr>
          <w:ilvl w:val="0"/>
          <w:numId w:val="2"/>
        </w:num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 xml:space="preserve">Dennoch sind </w:t>
      </w:r>
      <w:r>
        <w:rPr>
          <w:rFonts w:ascii="Times New Roman" w:hAnsi="Times New Roman"/>
          <w:b/>
          <w:noProof/>
          <w:sz w:val="24"/>
          <w:lang w:val="de-DE"/>
        </w:rPr>
        <w:t>dringend entschiedene kurzfristige Maßnahmen</w:t>
      </w:r>
      <w:r>
        <w:rPr>
          <w:rFonts w:ascii="Times New Roman" w:hAnsi="Times New Roman"/>
          <w:noProof/>
          <w:sz w:val="24"/>
          <w:lang w:val="de-DE"/>
        </w:rPr>
        <w:t xml:space="preserve"> auf allen Regierungsebenen (national, regional und lokal) und unter vollständiger Einbeziehung der Marktakteure </w:t>
      </w:r>
      <w:r>
        <w:rPr>
          <w:rFonts w:ascii="Times New Roman" w:hAnsi="Times New Roman"/>
          <w:b/>
          <w:noProof/>
          <w:sz w:val="24"/>
          <w:lang w:val="de-DE"/>
        </w:rPr>
        <w:t xml:space="preserve">erforderlich, um die Ziele der Luftqualitätsrichtlinien </w:t>
      </w:r>
      <w:r>
        <w:rPr>
          <w:rFonts w:ascii="Times New Roman" w:hAnsi="Times New Roman"/>
          <w:b/>
          <w:noProof/>
          <w:sz w:val="24"/>
          <w:lang w:val="de-DE"/>
        </w:rPr>
        <w:t>zu erreichen</w:t>
      </w:r>
      <w:r>
        <w:rPr>
          <w:rFonts w:ascii="Times New Roman" w:hAnsi="Times New Roman"/>
          <w:noProof/>
          <w:sz w:val="24"/>
          <w:lang w:val="de-DE"/>
        </w:rPr>
        <w:t>, wie in der unlängst angenommenen Mitteilung mit dem Titel „Ein Europa, das schützt: Saubere Luft für alle“</w:t>
      </w:r>
      <w:r>
        <w:rPr>
          <w:rFonts w:ascii="Times New Roman" w:eastAsia="Times New Roman" w:hAnsi="Times New Roman" w:cs="Times New Roman"/>
          <w:noProof/>
          <w:sz w:val="24"/>
          <w:szCs w:val="20"/>
          <w:vertAlign w:val="superscript"/>
          <w:lang w:val="de-DE" w:eastAsia="en-GB"/>
        </w:rPr>
        <w:footnoteReference w:id="37"/>
      </w:r>
      <w:r>
        <w:rPr>
          <w:rFonts w:ascii="Times New Roman" w:hAnsi="Times New Roman"/>
          <w:noProof/>
          <w:sz w:val="24"/>
          <w:lang w:val="de-DE"/>
        </w:rPr>
        <w:t xml:space="preserve"> hervorgehoben wurde. Selbst längerfristig </w:t>
      </w:r>
      <w:r>
        <w:rPr>
          <w:rFonts w:ascii="Times New Roman" w:hAnsi="Times New Roman"/>
          <w:b/>
          <w:noProof/>
          <w:sz w:val="24"/>
          <w:lang w:val="de-DE"/>
        </w:rPr>
        <w:t>werden ergänzende Maßnahmen auf allen diesen Ebenen benötigt, um sicherzustellen, dass die l</w:t>
      </w:r>
      <w:r>
        <w:rPr>
          <w:rFonts w:ascii="Times New Roman" w:hAnsi="Times New Roman"/>
          <w:b/>
          <w:noProof/>
          <w:sz w:val="24"/>
          <w:lang w:val="de-DE"/>
        </w:rPr>
        <w:t>angfristigen Ziele der EU in ganz Europa erreicht werden</w:t>
      </w:r>
      <w:r>
        <w:rPr>
          <w:rFonts w:ascii="Times New Roman" w:hAnsi="Times New Roman"/>
          <w:noProof/>
          <w:sz w:val="24"/>
          <w:lang w:val="de-DE"/>
        </w:rPr>
        <w:t>.</w:t>
      </w:r>
    </w:p>
    <w:p w:rsidR="00ED5820" w:rsidRDefault="00ED5820">
      <w:pPr>
        <w:pStyle w:val="ListParagraph"/>
        <w:rPr>
          <w:rFonts w:ascii="Times New Roman" w:eastAsia="Times New Roman" w:hAnsi="Times New Roman" w:cs="Times New Roman"/>
          <w:noProof/>
          <w:sz w:val="24"/>
          <w:szCs w:val="20"/>
          <w:lang w:val="de-DE"/>
        </w:rPr>
      </w:pPr>
    </w:p>
    <w:p w:rsidR="00ED5820" w:rsidRDefault="00DE54EB">
      <w:pPr>
        <w:pStyle w:val="ListParagraph"/>
        <w:numPr>
          <w:ilvl w:val="0"/>
          <w:numId w:val="2"/>
        </w:num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 xml:space="preserve">Die Auswirkungen im Jahr 2030 können nur erreicht werden, wenn </w:t>
      </w:r>
      <w:r>
        <w:rPr>
          <w:rFonts w:ascii="Times New Roman" w:hAnsi="Times New Roman"/>
          <w:b/>
          <w:noProof/>
          <w:sz w:val="24"/>
          <w:lang w:val="de-DE"/>
        </w:rPr>
        <w:t>die Mitgliedstaaten alle Maßnahmen und insbesondere solide nationale Luftreinhalteprogramme vollständig durchführen, um die Emissionsr</w:t>
      </w:r>
      <w:r>
        <w:rPr>
          <w:rFonts w:ascii="Times New Roman" w:hAnsi="Times New Roman"/>
          <w:b/>
          <w:noProof/>
          <w:sz w:val="24"/>
          <w:lang w:val="de-DE"/>
        </w:rPr>
        <w:t>eduktionsverpflichtungen gemäß der Richtlinie für nationale Emissionshöchstmengen zu erfüllen</w:t>
      </w:r>
      <w:r>
        <w:rPr>
          <w:rFonts w:ascii="Times New Roman" w:hAnsi="Times New Roman"/>
          <w:noProof/>
          <w:sz w:val="24"/>
          <w:lang w:val="de-DE"/>
        </w:rPr>
        <w:t>. Diese Programme müssen wirksam mit der Durchführung anderer politischer Maßnahmen – darunter Klimaschutz- und Energiemaßnahmen im Rahmen der Energieunion, die St</w:t>
      </w:r>
      <w:r>
        <w:rPr>
          <w:rFonts w:ascii="Times New Roman" w:hAnsi="Times New Roman"/>
          <w:noProof/>
          <w:sz w:val="24"/>
          <w:lang w:val="de-DE"/>
        </w:rPr>
        <w:t xml:space="preserve">raßenverkehrspolitik und die bevorstehende Reform der Gemeinsamen Agrarpolitik – koordiniert werden. </w:t>
      </w:r>
      <w:r>
        <w:rPr>
          <w:rFonts w:ascii="Times New Roman" w:hAnsi="Times New Roman"/>
          <w:b/>
          <w:noProof/>
          <w:sz w:val="24"/>
          <w:lang w:val="de-DE"/>
        </w:rPr>
        <w:t>Die Durchführung dieser Programme wird zudem stark erleichtert, wenn die beträchtlichen verfügbaren EU-Fördermittel in Anspruch genommen werden</w:t>
      </w:r>
      <w:r>
        <w:rPr>
          <w:rFonts w:ascii="Times New Roman" w:hAnsi="Times New Roman"/>
          <w:noProof/>
          <w:sz w:val="24"/>
          <w:lang w:val="de-DE"/>
        </w:rPr>
        <w:t>.</w:t>
      </w:r>
    </w:p>
    <w:p w:rsidR="00ED5820" w:rsidRDefault="00ED5820">
      <w:pPr>
        <w:pStyle w:val="ListParagraph"/>
        <w:rPr>
          <w:rFonts w:ascii="Times New Roman" w:eastAsia="Times New Roman" w:hAnsi="Times New Roman" w:cs="Times New Roman"/>
          <w:noProof/>
          <w:sz w:val="24"/>
          <w:szCs w:val="20"/>
          <w:lang w:val="de-DE"/>
        </w:rPr>
      </w:pPr>
    </w:p>
    <w:p w:rsidR="00ED5820" w:rsidRDefault="00DE54EB">
      <w:pPr>
        <w:pStyle w:val="ListParagraph"/>
        <w:numPr>
          <w:ilvl w:val="0"/>
          <w:numId w:val="2"/>
        </w:num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Die Vorsc</w:t>
      </w:r>
      <w:r>
        <w:rPr>
          <w:rFonts w:ascii="Times New Roman" w:hAnsi="Times New Roman"/>
          <w:noProof/>
          <w:sz w:val="24"/>
          <w:lang w:val="de-DE"/>
        </w:rPr>
        <w:t xml:space="preserve">hriften über Emissionsquellen unterstützen die Durchführung der Richtlinie über nationale Emissionshöchstmengen für die meisten Branchen und Schadstoffe erheblich; </w:t>
      </w:r>
      <w:r>
        <w:rPr>
          <w:rFonts w:ascii="Times New Roman" w:hAnsi="Times New Roman"/>
          <w:b/>
          <w:noProof/>
          <w:sz w:val="24"/>
          <w:lang w:val="de-DE"/>
        </w:rPr>
        <w:t>die NH</w:t>
      </w:r>
      <w:r>
        <w:rPr>
          <w:rFonts w:ascii="Times New Roman" w:hAnsi="Times New Roman"/>
          <w:b/>
          <w:noProof/>
          <w:sz w:val="24"/>
          <w:vertAlign w:val="subscript"/>
          <w:lang w:val="de-DE"/>
        </w:rPr>
        <w:t>3</w:t>
      </w:r>
      <w:r>
        <w:rPr>
          <w:rFonts w:ascii="Times New Roman" w:hAnsi="Times New Roman"/>
          <w:b/>
          <w:noProof/>
          <w:sz w:val="24"/>
          <w:lang w:val="de-DE"/>
        </w:rPr>
        <w:t>-Emissionen aus der Landwirtschaft bilden jedoch eine Ausnahme</w:t>
      </w:r>
      <w:r>
        <w:rPr>
          <w:rFonts w:ascii="Times New Roman" w:hAnsi="Times New Roman"/>
          <w:noProof/>
          <w:sz w:val="24"/>
          <w:lang w:val="de-DE"/>
        </w:rPr>
        <w:t xml:space="preserve">. </w:t>
      </w:r>
      <w:r>
        <w:rPr>
          <w:rFonts w:ascii="Times New Roman" w:hAnsi="Times New Roman"/>
          <w:b/>
          <w:noProof/>
          <w:sz w:val="24"/>
          <w:lang w:val="de-DE"/>
        </w:rPr>
        <w:t>Um die vorgeschrieben</w:t>
      </w:r>
      <w:r>
        <w:rPr>
          <w:rFonts w:ascii="Times New Roman" w:hAnsi="Times New Roman"/>
          <w:b/>
          <w:noProof/>
          <w:sz w:val="24"/>
          <w:lang w:val="de-DE"/>
        </w:rPr>
        <w:t>en Emissionssenkungen zur erreichen, ist eine wirksame Einbeziehung dieses Sektors erforderlich</w:t>
      </w:r>
      <w:r>
        <w:rPr>
          <w:rFonts w:ascii="Times New Roman" w:hAnsi="Times New Roman"/>
          <w:noProof/>
          <w:sz w:val="24"/>
          <w:lang w:val="de-DE"/>
        </w:rPr>
        <w:t>. Selbst wenn diese gegeben ist, zeigt die Analyse, dass die EU von ihrem langfristigen Ziel, die kritischen Belastungen für die Eutrophierung nicht zu überschre</w:t>
      </w:r>
      <w:r>
        <w:rPr>
          <w:rFonts w:ascii="Times New Roman" w:hAnsi="Times New Roman"/>
          <w:noProof/>
          <w:sz w:val="24"/>
          <w:lang w:val="de-DE"/>
        </w:rPr>
        <w:t xml:space="preserve">iten, noch weit entfernt sein wird. Es besteht jedoch ein erhebliches Potenzial für weitere Emissionssenkungen, mit denen die EU diesem Ziel deutlich näher kommen könnte. </w:t>
      </w:r>
      <w:r>
        <w:rPr>
          <w:rFonts w:ascii="Times New Roman" w:hAnsi="Times New Roman"/>
          <w:b/>
          <w:noProof/>
          <w:sz w:val="24"/>
          <w:lang w:val="de-DE"/>
        </w:rPr>
        <w:t>Die Kommission wird die nationalen Anstrengungen in diesem Bereich weiterhin unterstü</w:t>
      </w:r>
      <w:r>
        <w:rPr>
          <w:rFonts w:ascii="Times New Roman" w:hAnsi="Times New Roman"/>
          <w:b/>
          <w:noProof/>
          <w:sz w:val="24"/>
          <w:lang w:val="de-DE"/>
        </w:rPr>
        <w:t xml:space="preserve">tzen, unter anderem durch Maximierung der Nutzung der Finanzmittel im Rahmen der Gemeinsamen Agrarpolitik und durch Förderung der Synergieeffekte mit der Durchführung einschlägiger EU-Vorschriften wie der Nitratrichtlinie 91/676/EWG. </w:t>
      </w:r>
    </w:p>
    <w:p w:rsidR="00ED5820" w:rsidRDefault="00ED5820">
      <w:pPr>
        <w:pStyle w:val="ListParagraph"/>
        <w:spacing w:before="120" w:after="120" w:line="240" w:lineRule="auto"/>
        <w:jc w:val="both"/>
        <w:rPr>
          <w:rFonts w:ascii="Times New Roman" w:eastAsia="Times New Roman" w:hAnsi="Times New Roman" w:cs="Times New Roman"/>
          <w:noProof/>
          <w:sz w:val="24"/>
          <w:szCs w:val="20"/>
          <w:lang w:val="de-DE"/>
        </w:rPr>
      </w:pPr>
    </w:p>
    <w:p w:rsidR="00ED5820" w:rsidRDefault="00DE54EB">
      <w:pPr>
        <w:pStyle w:val="ListParagraph"/>
        <w:numPr>
          <w:ilvl w:val="0"/>
          <w:numId w:val="2"/>
        </w:num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Wie die Kommission z</w:t>
      </w:r>
      <w:r>
        <w:rPr>
          <w:rFonts w:ascii="Times New Roman" w:hAnsi="Times New Roman"/>
          <w:noProof/>
          <w:sz w:val="24"/>
          <w:lang w:val="de-DE"/>
        </w:rPr>
        <w:t xml:space="preserve">um Zeitpunkt der Annahme der neuen Richtlinie über nationale Emissionshöchstmengen äußerte, </w:t>
      </w:r>
      <w:r>
        <w:rPr>
          <w:rFonts w:ascii="Times New Roman" w:hAnsi="Times New Roman"/>
          <w:b/>
          <w:noProof/>
          <w:sz w:val="24"/>
          <w:lang w:val="de-DE"/>
        </w:rPr>
        <w:t>sollten Methanemissionen hinsichtlich ihrer Auswirkungen auf die Ozonkonzentrationen in der EU ebenfalls weiter untersucht werden, und die Senkung der Methanemissio</w:t>
      </w:r>
      <w:r>
        <w:rPr>
          <w:rFonts w:ascii="Times New Roman" w:hAnsi="Times New Roman"/>
          <w:b/>
          <w:noProof/>
          <w:sz w:val="24"/>
          <w:lang w:val="de-DE"/>
        </w:rPr>
        <w:t>nen sollte international propagiert werden</w:t>
      </w:r>
      <w:r>
        <w:rPr>
          <w:rFonts w:ascii="Times New Roman" w:hAnsi="Times New Roman"/>
          <w:noProof/>
          <w:sz w:val="24"/>
          <w:lang w:val="de-DE"/>
        </w:rPr>
        <w:t xml:space="preserve">. Auf Grundlage der gemeldeten nationalen Methanemissionen </w:t>
      </w:r>
      <w:r>
        <w:rPr>
          <w:rFonts w:ascii="Times New Roman" w:hAnsi="Times New Roman"/>
          <w:b/>
          <w:noProof/>
          <w:sz w:val="24"/>
          <w:lang w:val="de-DE"/>
        </w:rPr>
        <w:t>wird die Kommission weiter prüfen, wie sich diese Emissionen auf die Erreichung der Ziele der Luftqualitätspolitik auswirken, Maßnahmen für die Senkung die</w:t>
      </w:r>
      <w:r>
        <w:rPr>
          <w:rFonts w:ascii="Times New Roman" w:hAnsi="Times New Roman"/>
          <w:b/>
          <w:noProof/>
          <w:sz w:val="24"/>
          <w:lang w:val="de-DE"/>
        </w:rPr>
        <w:t>ser Emissionen prüfen und gegebenenfalls ausgehend von der Datenlage auf europäischer und globaler Ebene einen Legislativvorschlag vorlegen</w:t>
      </w:r>
      <w:r>
        <w:rPr>
          <w:rFonts w:ascii="Times New Roman" w:hAnsi="Times New Roman"/>
          <w:noProof/>
          <w:sz w:val="24"/>
          <w:lang w:val="de-DE"/>
        </w:rPr>
        <w:t>.</w:t>
      </w:r>
    </w:p>
    <w:p w:rsidR="00ED5820" w:rsidRDefault="00ED5820">
      <w:pPr>
        <w:pStyle w:val="ListParagraph"/>
        <w:spacing w:before="120" w:after="120" w:line="240" w:lineRule="auto"/>
        <w:jc w:val="both"/>
        <w:rPr>
          <w:rFonts w:ascii="Times New Roman" w:eastAsia="Times New Roman" w:hAnsi="Times New Roman" w:cs="Times New Roman"/>
          <w:noProof/>
          <w:sz w:val="24"/>
          <w:szCs w:val="20"/>
          <w:lang w:val="de-DE"/>
        </w:rPr>
      </w:pPr>
    </w:p>
    <w:p w:rsidR="00ED5820" w:rsidRDefault="00DE54EB">
      <w:pPr>
        <w:spacing w:before="120" w:after="120" w:line="240" w:lineRule="auto"/>
        <w:jc w:val="both"/>
        <w:rPr>
          <w:rFonts w:ascii="Times New Roman" w:eastAsia="Times New Roman" w:hAnsi="Times New Roman" w:cs="Times New Roman"/>
          <w:noProof/>
          <w:sz w:val="24"/>
          <w:szCs w:val="20"/>
          <w:lang w:val="de-DE"/>
        </w:rPr>
      </w:pPr>
      <w:r>
        <w:rPr>
          <w:rFonts w:ascii="Times New Roman" w:hAnsi="Times New Roman"/>
          <w:noProof/>
          <w:sz w:val="24"/>
          <w:lang w:val="de-DE"/>
        </w:rPr>
        <w:t>Der nächste Ausblick zur Entwicklung der Luftreinheit wird im Jahr 2020 veröffentlicht. In diesem Ausblick wird di</w:t>
      </w:r>
      <w:r>
        <w:rPr>
          <w:rFonts w:ascii="Times New Roman" w:hAnsi="Times New Roman"/>
          <w:noProof/>
          <w:sz w:val="24"/>
          <w:lang w:val="de-DE"/>
        </w:rPr>
        <w:t>e Kommission u. a. die nationalen Luftreinhalteprogramme 2019 analysieren.</w:t>
      </w:r>
    </w:p>
    <w:p w:rsidR="00ED5820" w:rsidRDefault="00ED5820">
      <w:pPr>
        <w:keepNext/>
        <w:tabs>
          <w:tab w:val="left" w:pos="850"/>
        </w:tabs>
        <w:spacing w:before="360" w:after="120" w:line="240" w:lineRule="auto"/>
        <w:jc w:val="center"/>
        <w:outlineLvl w:val="0"/>
        <w:rPr>
          <w:rFonts w:ascii="Times New Roman" w:eastAsia="Times New Roman" w:hAnsi="Times New Roman" w:cs="Times New Roman"/>
          <w:noProof/>
          <w:sz w:val="24"/>
          <w:szCs w:val="20"/>
          <w:lang w:val="de-DE" w:eastAsia="en-GB"/>
        </w:rPr>
      </w:pPr>
    </w:p>
    <w:p w:rsidR="00ED5820" w:rsidRDefault="00ED5820">
      <w:pPr>
        <w:keepNext/>
        <w:tabs>
          <w:tab w:val="left" w:pos="850"/>
        </w:tabs>
        <w:spacing w:before="360" w:after="120" w:line="240" w:lineRule="auto"/>
        <w:jc w:val="center"/>
        <w:outlineLvl w:val="0"/>
        <w:rPr>
          <w:rFonts w:ascii="Times New Roman" w:eastAsia="Times New Roman" w:hAnsi="Times New Roman" w:cs="Times New Roman"/>
          <w:noProof/>
          <w:sz w:val="24"/>
          <w:szCs w:val="20"/>
          <w:lang w:val="de-DE" w:eastAsia="en-GB"/>
        </w:rPr>
      </w:pPr>
    </w:p>
    <w:sectPr w:rsidR="00ED5820">
      <w:headerReference w:type="even" r:id="rId25"/>
      <w:headerReference w:type="default" r:id="rId26"/>
      <w:footerReference w:type="even" r:id="rId27"/>
      <w:footerReference w:type="default" r:id="rId28"/>
      <w:headerReference w:type="first" r:id="rId29"/>
      <w:footerReference w:type="first" r:id="rId30"/>
      <w:pgSz w:w="11907" w:h="16839"/>
      <w:pgMar w:top="1134" w:right="1417" w:bottom="1134"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20" w:rsidRDefault="00DE54EB">
      <w:pPr>
        <w:spacing w:after="0" w:line="240" w:lineRule="auto"/>
      </w:pPr>
      <w:r>
        <w:separator/>
      </w:r>
    </w:p>
  </w:endnote>
  <w:endnote w:type="continuationSeparator" w:id="0">
    <w:p w:rsidR="00ED5820" w:rsidRDefault="00DE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UAlbertina-Regu-Identity-H">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EB" w:rsidRPr="00DE54EB" w:rsidRDefault="00DE54EB" w:rsidP="00DE5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EB" w:rsidRPr="00DE54EB" w:rsidRDefault="00DE54EB" w:rsidP="00DE54EB">
    <w:pPr>
      <w:pStyle w:val="FooterCoverPage"/>
      <w:rPr>
        <w:rFonts w:ascii="Arial" w:hAnsi="Arial" w:cs="Arial"/>
        <w:b/>
        <w:sz w:val="48"/>
      </w:rPr>
    </w:pPr>
    <w:r w:rsidRPr="00DE54EB">
      <w:rPr>
        <w:rFonts w:ascii="Arial" w:hAnsi="Arial" w:cs="Arial"/>
        <w:b/>
        <w:sz w:val="48"/>
      </w:rPr>
      <w:t>DE</w:t>
    </w:r>
    <w:r w:rsidRPr="00DE54EB">
      <w:rPr>
        <w:rFonts w:ascii="Arial" w:hAnsi="Arial" w:cs="Arial"/>
        <w:b/>
        <w:sz w:val="48"/>
      </w:rPr>
      <w:tab/>
    </w:r>
    <w:r w:rsidRPr="00DE54EB">
      <w:rPr>
        <w:rFonts w:ascii="Arial" w:hAnsi="Arial" w:cs="Arial"/>
        <w:b/>
        <w:sz w:val="48"/>
      </w:rPr>
      <w:tab/>
    </w:r>
    <w:r w:rsidRPr="00DE54EB">
      <w:tab/>
    </w:r>
    <w:r w:rsidRPr="00DE54EB">
      <w:rPr>
        <w:rFonts w:ascii="Arial" w:hAnsi="Arial" w:cs="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EB" w:rsidRPr="00DE54EB" w:rsidRDefault="00DE54EB" w:rsidP="00DE54EB">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20" w:rsidRDefault="00ED58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59800"/>
      <w:docPartObj>
        <w:docPartGallery w:val="Page Numbers (Bottom of Page)"/>
        <w:docPartUnique/>
      </w:docPartObj>
    </w:sdtPr>
    <w:sdtEndPr>
      <w:rPr>
        <w:noProof/>
      </w:rPr>
    </w:sdtEndPr>
    <w:sdtContent>
      <w:p w:rsidR="00ED5820" w:rsidRDefault="00DE54E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D5820" w:rsidRDefault="00ED58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20" w:rsidRDefault="00ED5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20" w:rsidRDefault="00DE54EB">
      <w:pPr>
        <w:spacing w:after="0" w:line="240" w:lineRule="auto"/>
      </w:pPr>
      <w:r>
        <w:separator/>
      </w:r>
    </w:p>
  </w:footnote>
  <w:footnote w:type="continuationSeparator" w:id="0">
    <w:p w:rsidR="00ED5820" w:rsidRDefault="00DE54EB">
      <w:pPr>
        <w:spacing w:after="0" w:line="240" w:lineRule="auto"/>
      </w:pPr>
      <w:r>
        <w:continuationSeparator/>
      </w:r>
    </w:p>
  </w:footnote>
  <w:footnote w:id="1">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ABl. L 152 vom 11.6.2008, S. 1.</w:t>
      </w:r>
    </w:p>
  </w:footnote>
  <w:footnote w:id="2">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Europäische Umweltagentur (EUA), Oktober 2017, „Air quality in Europe – 2017 report“.</w:t>
      </w:r>
    </w:p>
  </w:footnote>
  <w:footnote w:id="3">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Siehe </w:t>
      </w:r>
      <w:hyperlink r:id="rId1" w:history="1">
        <w:r>
          <w:rPr>
            <w:rStyle w:val="Hyperlink"/>
            <w:rFonts w:ascii="Times New Roman" w:hAnsi="Times New Roman" w:cs="Times New Roman"/>
            <w:lang w:val="de-DE"/>
          </w:rPr>
          <w:t>http://ec.europa.eu/environment/air/clean_air/review.htm</w:t>
        </w:r>
      </w:hyperlink>
      <w:r>
        <w:rPr>
          <w:rFonts w:ascii="Times New Roman" w:hAnsi="Times New Roman" w:cs="Times New Roman"/>
          <w:lang w:val="de-DE"/>
        </w:rPr>
        <w:t xml:space="preserve"> </w:t>
      </w:r>
    </w:p>
  </w:footnote>
  <w:footnote w:id="4">
    <w:p w:rsidR="00ED5820" w:rsidRDefault="00DE54EB">
      <w:pPr>
        <w:pStyle w:val="FootnoteText"/>
        <w:rPr>
          <w:rFonts w:ascii="Times New Roman" w:hAnsi="Times New Roman" w:cs="Times New Roman"/>
          <w:lang w:val="pt-PT"/>
        </w:rPr>
      </w:pPr>
      <w:r>
        <w:rPr>
          <w:rFonts w:ascii="Times New Roman" w:hAnsi="Times New Roman"/>
          <w:vertAlign w:val="superscript"/>
        </w:rPr>
        <w:footnoteRef/>
      </w:r>
      <w:r>
        <w:rPr>
          <w:rFonts w:ascii="Times New Roman" w:hAnsi="Times New Roman"/>
          <w:lang w:val="pt-PT"/>
        </w:rPr>
        <w:t xml:space="preserve"> COM(2013) 918 final.</w:t>
      </w:r>
    </w:p>
  </w:footnote>
  <w:footnote w:id="5">
    <w:p w:rsidR="00ED5820" w:rsidRDefault="00DE54EB">
      <w:pPr>
        <w:pStyle w:val="FootnoteText"/>
        <w:rPr>
          <w:rFonts w:ascii="Times New Roman" w:hAnsi="Times New Roman" w:cs="Times New Roman"/>
          <w:lang w:val="pt-PT"/>
        </w:rPr>
      </w:pPr>
      <w:r>
        <w:rPr>
          <w:rFonts w:ascii="Times New Roman" w:hAnsi="Times New Roman"/>
          <w:vertAlign w:val="superscript"/>
        </w:rPr>
        <w:footnoteRef/>
      </w:r>
      <w:r>
        <w:rPr>
          <w:rFonts w:ascii="Times New Roman" w:hAnsi="Times New Roman"/>
          <w:lang w:val="pt-PT"/>
        </w:rPr>
        <w:t xml:space="preserve"> ABl. L 313 vom 28.11.2015, S. 1.</w:t>
      </w:r>
    </w:p>
  </w:footnote>
  <w:footnote w:id="6">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ABl. L 248 vom 27.9.2017, S. 3.</w:t>
      </w:r>
    </w:p>
  </w:footnote>
  <w:footnote w:id="7">
    <w:p w:rsidR="00ED5820" w:rsidRDefault="00DE54EB">
      <w:pPr>
        <w:pStyle w:val="FootnoteText"/>
        <w:rPr>
          <w:lang w:val="de-DE"/>
        </w:rPr>
      </w:pPr>
      <w:r>
        <w:rPr>
          <w:rFonts w:ascii="Times New Roman" w:hAnsi="Times New Roman"/>
          <w:vertAlign w:val="superscript"/>
        </w:rPr>
        <w:footnoteRef/>
      </w:r>
      <w:r>
        <w:rPr>
          <w:rFonts w:ascii="Times New Roman" w:hAnsi="Times New Roman"/>
          <w:lang w:val="de-DE"/>
        </w:rPr>
        <w:t xml:space="preserve"> ABl. L 344 vom 17.12.2016, S. 1.</w:t>
      </w:r>
    </w:p>
  </w:footnote>
  <w:footnote w:id="8">
    <w:p w:rsidR="00ED5820" w:rsidRDefault="00DE54EB">
      <w:pPr>
        <w:pStyle w:val="FootnoteText"/>
        <w:rPr>
          <w:lang w:val="de-AT"/>
        </w:rPr>
      </w:pPr>
      <w:r>
        <w:rPr>
          <w:vertAlign w:val="superscript"/>
          <w:lang w:val="de-AT"/>
        </w:rPr>
        <w:footnoteRef/>
      </w:r>
      <w:r>
        <w:rPr>
          <w:lang w:val="de-AT"/>
        </w:rPr>
        <w:t xml:space="preserve"> </w:t>
      </w:r>
      <w:r>
        <w:rPr>
          <w:rFonts w:ascii="Times New Roman" w:hAnsi="Times New Roman" w:cs="Times New Roman"/>
          <w:iCs/>
          <w:lang w:val="de-AT"/>
        </w:rPr>
        <w:t>Europäische Umweltagentur (EUA), Oktober 2017, „Luftqualität in Europa - Bericht 2017“</w:t>
      </w:r>
    </w:p>
  </w:footnote>
  <w:footnote w:id="9">
    <w:p w:rsidR="00ED5820" w:rsidRDefault="00DE54EB">
      <w:pPr>
        <w:pStyle w:val="FootnoteText"/>
        <w:ind w:left="120" w:hanging="120"/>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Verordnung (EU) 2017/1151 der Kommission in der geänderten Fassung, ABl. L 175 vom 7.7.2017, S. 1.</w:t>
      </w:r>
    </w:p>
  </w:footnote>
  <w:footnote w:id="10">
    <w:p w:rsidR="00ED5820" w:rsidRDefault="00DE54EB">
      <w:pPr>
        <w:pStyle w:val="FootnoteText"/>
        <w:ind w:left="120" w:hanging="120"/>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COM(2016) 31 final.</w:t>
      </w:r>
    </w:p>
  </w:footnote>
  <w:footnote w:id="11">
    <w:p w:rsidR="00ED5820" w:rsidRDefault="00DE54EB">
      <w:pPr>
        <w:pStyle w:val="FootnoteText"/>
        <w:ind w:left="240" w:hanging="240"/>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Verordnung (EG) Nr. 715/2007. ABl. L 171 v</w:t>
      </w:r>
      <w:r>
        <w:rPr>
          <w:rFonts w:ascii="Times New Roman" w:hAnsi="Times New Roman"/>
          <w:lang w:val="de-DE"/>
        </w:rPr>
        <w:t>om 29.6.2007, S. 1.</w:t>
      </w:r>
    </w:p>
  </w:footnote>
  <w:footnote w:id="12">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Richtlinie 2010/75/EU, ABl. L 334 vom 17.12.2010, S. 17.</w:t>
      </w:r>
    </w:p>
  </w:footnote>
  <w:footnote w:id="13">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Verordnung (EU) 2015/1185 der Kommission, ABl. L 193 vom 21.7.2015.</w:t>
      </w:r>
    </w:p>
  </w:footnote>
  <w:footnote w:id="14">
    <w:p w:rsidR="00ED5820" w:rsidRDefault="00DE54EB">
      <w:pPr>
        <w:pStyle w:val="FootnoteText"/>
        <w:rPr>
          <w:lang w:val="de-DE"/>
        </w:rPr>
      </w:pPr>
      <w:r>
        <w:rPr>
          <w:rFonts w:ascii="Times New Roman" w:hAnsi="Times New Roman"/>
          <w:vertAlign w:val="superscript"/>
        </w:rPr>
        <w:footnoteRef/>
      </w:r>
      <w:r>
        <w:rPr>
          <w:rFonts w:ascii="Times New Roman" w:hAnsi="Times New Roman"/>
          <w:lang w:val="de-DE"/>
        </w:rPr>
        <w:t xml:space="preserve"> Verordnung (EU) 2015/1189 der Kommission, ABl. L 193 vom 21.7.2015.</w:t>
      </w:r>
    </w:p>
  </w:footnote>
  <w:footnote w:id="15">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Richtlinie 2010/31/EU, ABl. L 153 v</w:t>
      </w:r>
      <w:r>
        <w:rPr>
          <w:rFonts w:ascii="Times New Roman" w:hAnsi="Times New Roman"/>
          <w:lang w:val="de-DE"/>
        </w:rPr>
        <w:t>om 18.6.2010, S. 13.</w:t>
      </w:r>
    </w:p>
  </w:footnote>
  <w:footnote w:id="16">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Richtlinie 2012/27/EU, ABl. L 315 vom 14.11.2012, S. 1.</w:t>
      </w:r>
    </w:p>
  </w:footnote>
  <w:footnote w:id="17">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Verordnung (EU) 2017/1369, ABl. L 198 vom 28.7.2017, S. 1.</w:t>
      </w:r>
    </w:p>
  </w:footnote>
  <w:footnote w:id="18">
    <w:p w:rsidR="00ED5820" w:rsidRDefault="00DE54EB">
      <w:pPr>
        <w:pStyle w:val="FootnoteText"/>
        <w:ind w:left="120" w:hanging="120"/>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Durchführungsbeschluss (EU) 2017/1442 der Kommission, ABl. L 212 vom 17.8.2017, S. 1.</w:t>
      </w:r>
    </w:p>
  </w:footnote>
  <w:footnote w:id="19">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COM(2017) 57 final – Fortschrittsbericht „Erneuerbare Energiequellen“, S. 5.</w:t>
      </w:r>
    </w:p>
  </w:footnote>
  <w:footnote w:id="20">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COM(2016) 860 final – Mitteilung „Saubere Energie für alle Europäer“, S. 9.</w:t>
      </w:r>
    </w:p>
  </w:footnote>
  <w:footnote w:id="21">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Siehe </w:t>
      </w:r>
      <w:hyperlink r:id="rId2">
        <w:r>
          <w:rPr>
            <w:rStyle w:val="Hyperlink"/>
            <w:rFonts w:ascii="Times New Roman" w:hAnsi="Times New Roman"/>
            <w:lang w:val="de-DE"/>
          </w:rPr>
          <w:t>http://ec.europa.eu/envi</w:t>
        </w:r>
        <w:r>
          <w:rPr>
            <w:rStyle w:val="Hyperlink"/>
            <w:rFonts w:ascii="Times New Roman" w:hAnsi="Times New Roman"/>
            <w:lang w:val="de-DE"/>
          </w:rPr>
          <w:t>ronment/eir/index_en.htm</w:t>
        </w:r>
      </w:hyperlink>
      <w:r>
        <w:rPr>
          <w:rFonts w:ascii="Times New Roman" w:hAnsi="Times New Roman"/>
          <w:lang w:val="de-DE"/>
        </w:rPr>
        <w:t xml:space="preserve"> </w:t>
      </w:r>
    </w:p>
  </w:footnote>
  <w:footnote w:id="22">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Siehe </w:t>
      </w:r>
      <w:hyperlink r:id="rId3">
        <w:r>
          <w:rPr>
            <w:rStyle w:val="Hyperlink"/>
            <w:rFonts w:ascii="Times New Roman" w:hAnsi="Times New Roman"/>
            <w:lang w:val="de-DE"/>
          </w:rPr>
          <w:t>http://ec.europa.eu/environment/air/clean_air/dialogue.htm</w:t>
        </w:r>
      </w:hyperlink>
      <w:r>
        <w:rPr>
          <w:rFonts w:ascii="Times New Roman" w:hAnsi="Times New Roman"/>
          <w:lang w:val="de-DE"/>
        </w:rPr>
        <w:t xml:space="preserve"> </w:t>
      </w:r>
    </w:p>
    <w:p w:rsidR="00ED5820" w:rsidRDefault="00ED5820">
      <w:pPr>
        <w:pStyle w:val="FootnoteText"/>
        <w:rPr>
          <w:lang w:val="de-DE"/>
        </w:rPr>
      </w:pPr>
    </w:p>
  </w:footnote>
  <w:footnote w:id="23">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COM(2013) 920 final.</w:t>
      </w:r>
    </w:p>
  </w:footnote>
  <w:footnote w:id="24">
    <w:p w:rsidR="00ED5820" w:rsidRDefault="00DE54EB">
      <w:pPr>
        <w:pStyle w:val="FootnoteText"/>
        <w:rPr>
          <w:lang w:val="de-DE"/>
        </w:rPr>
      </w:pPr>
      <w:r>
        <w:rPr>
          <w:rFonts w:ascii="Times New Roman" w:hAnsi="Times New Roman"/>
          <w:vertAlign w:val="superscript"/>
        </w:rPr>
        <w:footnoteRef/>
      </w:r>
      <w:r>
        <w:rPr>
          <w:rFonts w:ascii="Times New Roman" w:hAnsi="Times New Roman"/>
          <w:lang w:val="de-DE"/>
        </w:rPr>
        <w:t xml:space="preserve"> Verordnung (EU) 2016/1628, ABl. L 252 vom 16.9.2016.</w:t>
      </w:r>
    </w:p>
  </w:footnote>
  <w:footnote w:id="25">
    <w:p w:rsidR="00ED5820" w:rsidRDefault="00DE54EB">
      <w:pPr>
        <w:pStyle w:val="NormalWeb"/>
        <w:spacing w:before="0" w:beforeAutospacing="0" w:after="0" w:afterAutospacing="0"/>
        <w:jc w:val="both"/>
        <w:rPr>
          <w:lang w:val="de-DE"/>
        </w:rPr>
      </w:pPr>
      <w:r>
        <w:rPr>
          <w:sz w:val="20"/>
          <w:szCs w:val="20"/>
          <w:vertAlign w:val="superscript"/>
        </w:rPr>
        <w:footnoteRef/>
      </w:r>
      <w:r>
        <w:rPr>
          <w:sz w:val="20"/>
          <w:szCs w:val="20"/>
          <w:lang w:val="de-DE"/>
        </w:rPr>
        <w:t xml:space="preserve"> </w:t>
      </w:r>
      <w:r>
        <w:rPr>
          <w:rFonts w:eastAsiaTheme="minorHAnsi"/>
          <w:sz w:val="20"/>
          <w:lang w:val="de-DE"/>
        </w:rPr>
        <w:t>Anhang II über Cross-Compliance der Verordnung (EU) 1306/2013 über die Finanzierung, die Verwaltung und das Kontrollsystem der Gemeinsamen Agrarpolitik, ABl. L 347 vom 20.12.2013, S. 549</w:t>
      </w:r>
      <w:r>
        <w:rPr>
          <w:rFonts w:ascii="EUAlbertina-Regu-Identity-H" w:hAnsi="EUAlbertina-Regu-Identity-H"/>
          <w:sz w:val="18"/>
          <w:lang w:val="de-DE"/>
        </w:rPr>
        <w:t>.</w:t>
      </w:r>
    </w:p>
  </w:footnote>
  <w:footnote w:id="26">
    <w:p w:rsidR="00ED5820" w:rsidRDefault="00DE54EB">
      <w:pPr>
        <w:pStyle w:val="FootnoteText"/>
        <w:ind w:hanging="120"/>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Die Schätzung für die Durchführungskosten des ursprünglichen Vorsc</w:t>
      </w:r>
      <w:r>
        <w:rPr>
          <w:rFonts w:ascii="Times New Roman" w:hAnsi="Times New Roman"/>
          <w:lang w:val="de-DE"/>
        </w:rPr>
        <w:t>hlags der Kommission ist im „TSAP Report 16“ (IIASA) erläutert (siehe</w:t>
      </w:r>
      <w:r>
        <w:rPr>
          <w:rFonts w:ascii="Times New Roman" w:hAnsi="Times New Roman"/>
          <w:lang w:val="de-DE"/>
        </w:rPr>
        <w:tab/>
        <w:t xml:space="preserve"> </w:t>
      </w:r>
      <w:hyperlink r:id="rId4">
        <w:r>
          <w:rPr>
            <w:rStyle w:val="Hyperlink"/>
            <w:rFonts w:ascii="Times New Roman" w:hAnsi="Times New Roman"/>
            <w:lang w:val="de-DE"/>
          </w:rPr>
          <w:t>http://www.iiasa.ac.at/web/home/research/researchPrograms/air/policy/TSAP-repor</w:t>
        </w:r>
        <w:r>
          <w:rPr>
            <w:rStyle w:val="Hyperlink"/>
            <w:rFonts w:ascii="Times New Roman" w:hAnsi="Times New Roman"/>
            <w:lang w:val="de-DE"/>
          </w:rPr>
          <w:t>ts.html</w:t>
        </w:r>
      </w:hyperlink>
      <w:r>
        <w:rPr>
          <w:lang w:val="de-DE"/>
        </w:rPr>
        <w:t>).</w:t>
      </w:r>
    </w:p>
  </w:footnote>
  <w:footnote w:id="27">
    <w:p w:rsidR="00ED5820" w:rsidRDefault="00DE54EB">
      <w:pPr>
        <w:pStyle w:val="FootnoteText"/>
        <w:tabs>
          <w:tab w:val="left" w:pos="0"/>
        </w:tabs>
        <w:ind w:hanging="240"/>
        <w:jc w:val="both"/>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Es ist zu beachten, dass der Pro-Kopf-Wert ein Durchschnittswert ist, bei dem die Kostenunterschiede zwischen Wirtschaftsteilnehmern und Regionen nicht berücksichtigt sind.</w:t>
      </w:r>
    </w:p>
  </w:footnote>
  <w:footnote w:id="28">
    <w:p w:rsidR="00ED5820" w:rsidRDefault="00DE54EB">
      <w:pPr>
        <w:pStyle w:val="FootnoteText"/>
        <w:tabs>
          <w:tab w:val="left" w:pos="0"/>
        </w:tabs>
        <w:ind w:hanging="240"/>
        <w:jc w:val="both"/>
        <w:rPr>
          <w:rFonts w:ascii="Times New Roman" w:hAnsi="Times New Roman" w:cs="Times New Roman"/>
          <w:lang w:val="de-DE"/>
        </w:rPr>
      </w:pPr>
      <w:r>
        <w:rPr>
          <w:vertAlign w:val="superscript"/>
        </w:rPr>
        <w:footnoteRef/>
      </w:r>
      <w:r>
        <w:rPr>
          <w:lang w:val="de-DE"/>
        </w:rPr>
        <w:t xml:space="preserve"> </w:t>
      </w:r>
      <w:r>
        <w:rPr>
          <w:rFonts w:ascii="Times New Roman" w:hAnsi="Times New Roman"/>
          <w:lang w:val="de-DE"/>
        </w:rPr>
        <w:t>Die Vorschläge der Kommission sind unter der Adresse</w:t>
      </w:r>
      <w:r>
        <w:rPr>
          <w:rFonts w:ascii="Times New Roman" w:hAnsi="Times New Roman"/>
          <w:lang w:val="de-DE"/>
        </w:rPr>
        <w:tab/>
        <w:t xml:space="preserve"> </w:t>
      </w:r>
      <w:hyperlink r:id="rId5" w:anchor="tab-0-0">
        <w:r>
          <w:rPr>
            <w:rFonts w:ascii="Times New Roman" w:hAnsi="Times New Roman"/>
            <w:color w:val="0000FF"/>
            <w:u w:val="single"/>
            <w:lang w:val="de-DE"/>
          </w:rPr>
          <w:t>https://ec.europa.eu/clima/policies/strategies/2030_de#tab-0-0</w:t>
        </w:r>
      </w:hyperlink>
      <w:r>
        <w:rPr>
          <w:rFonts w:ascii="Times New Roman" w:hAnsi="Times New Roman"/>
          <w:lang w:val="de-DE"/>
        </w:rPr>
        <w:t xml:space="preserve"> abrufbar; die formelle Annahme der Einigungen im Mitentscheidungsverfahren aus dem Jahr 2017 steht noch aus.</w:t>
      </w:r>
    </w:p>
  </w:footnote>
  <w:footnote w:id="29">
    <w:p w:rsidR="00ED5820" w:rsidRDefault="00DE54EB">
      <w:pPr>
        <w:pStyle w:val="FootnoteText"/>
        <w:tabs>
          <w:tab w:val="left" w:pos="0"/>
        </w:tabs>
        <w:ind w:hanging="240"/>
        <w:rPr>
          <w:lang w:val="de-DE"/>
        </w:rPr>
      </w:pPr>
      <w:r>
        <w:rPr>
          <w:rFonts w:ascii="Times New Roman" w:hAnsi="Times New Roman"/>
          <w:vertAlign w:val="superscript"/>
        </w:rPr>
        <w:footnoteRef/>
      </w:r>
      <w:r>
        <w:rPr>
          <w:rFonts w:ascii="Times New Roman" w:hAnsi="Times New Roman"/>
          <w:lang w:val="de-DE"/>
        </w:rPr>
        <w:t xml:space="preserve"> Ausführlic</w:t>
      </w:r>
      <w:r>
        <w:rPr>
          <w:rFonts w:ascii="Times New Roman" w:hAnsi="Times New Roman"/>
          <w:lang w:val="de-DE"/>
        </w:rPr>
        <w:t>he Informationen sind dem beiliegenden Bericht des International Institute for Applied Systems Analysis – „Progress towards the achievement of the EU's air quality and emissions objectives“ – zu entnehmen.</w:t>
      </w:r>
    </w:p>
  </w:footnote>
  <w:footnote w:id="30">
    <w:p w:rsidR="00ED5820" w:rsidRDefault="00DE54EB">
      <w:pPr>
        <w:pStyle w:val="FootnoteText"/>
        <w:rPr>
          <w:lang w:val="de-DE"/>
        </w:rPr>
      </w:pPr>
      <w:r>
        <w:rPr>
          <w:vertAlign w:val="superscript"/>
        </w:rPr>
        <w:footnoteRef/>
      </w:r>
      <w:r>
        <w:rPr>
          <w:lang w:val="de-DE"/>
        </w:rPr>
        <w:t xml:space="preserve"> </w:t>
      </w:r>
      <w:r>
        <w:rPr>
          <w:rFonts w:ascii="Times New Roman" w:hAnsi="Times New Roman"/>
          <w:lang w:val="de-DE"/>
        </w:rPr>
        <w:t>Durchführungsbeschluss (EU) 2017/302 der Kommiss</w:t>
      </w:r>
      <w:r>
        <w:rPr>
          <w:rFonts w:ascii="Times New Roman" w:hAnsi="Times New Roman"/>
          <w:lang w:val="de-DE"/>
        </w:rPr>
        <w:t>ion, ABl. L 43 vom 21.2.2017, S. 231.</w:t>
      </w:r>
    </w:p>
  </w:footnote>
  <w:footnote w:id="31">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Richtlinie 91/676/EWG des Rates, ABl. L 375 vom 31.12.1991, S. 1.</w:t>
      </w:r>
    </w:p>
  </w:footnote>
  <w:footnote w:id="32">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Vorschläge der Kommission für das EHS und für nicht unter das EHS fallende Bereiche (Lastenteilungsverordnung) für 2030, </w:t>
      </w:r>
      <w:hyperlink r:id="rId6">
        <w:r>
          <w:rPr>
            <w:rStyle w:val="Hyperlink"/>
            <w:rFonts w:ascii="Times New Roman" w:hAnsi="Times New Roman"/>
            <w:lang w:val="de-DE"/>
          </w:rPr>
          <w:t>https://ec.europa.eu/clima/policies/strategies/2030_de</w:t>
        </w:r>
      </w:hyperlink>
      <w:r>
        <w:rPr>
          <w:rFonts w:ascii="Times New Roman" w:hAnsi="Times New Roman"/>
          <w:lang w:val="de-DE"/>
        </w:rPr>
        <w:t xml:space="preserve"> </w:t>
      </w:r>
    </w:p>
  </w:footnote>
  <w:footnote w:id="33">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Siehe </w:t>
      </w:r>
      <w:hyperlink r:id="rId7">
        <w:r>
          <w:rPr>
            <w:rStyle w:val="Hyperlink"/>
            <w:rFonts w:ascii="Times New Roman" w:hAnsi="Times New Roman"/>
            <w:lang w:val="de-DE"/>
          </w:rPr>
          <w:t>https://cohesiondata.ec.europa.eu/</w:t>
        </w:r>
      </w:hyperlink>
      <w:r>
        <w:rPr>
          <w:rFonts w:ascii="Times New Roman" w:hAnsi="Times New Roman"/>
          <w:lang w:val="de-DE"/>
        </w:rPr>
        <w:t xml:space="preserve"> </w:t>
      </w:r>
    </w:p>
  </w:footnote>
  <w:footnote w:id="34">
    <w:p w:rsidR="00ED5820" w:rsidRDefault="00DE54EB">
      <w:pPr>
        <w:pStyle w:val="FootnoteText"/>
        <w:rPr>
          <w:lang w:val="de-DE"/>
        </w:rPr>
      </w:pPr>
      <w:r>
        <w:rPr>
          <w:vertAlign w:val="superscript"/>
        </w:rPr>
        <w:footnoteRef/>
      </w:r>
      <w:r>
        <w:rPr>
          <w:lang w:val="de-DE"/>
        </w:rPr>
        <w:t xml:space="preserve"> </w:t>
      </w:r>
      <w:r>
        <w:rPr>
          <w:rFonts w:ascii="Times New Roman" w:hAnsi="Times New Roman"/>
          <w:lang w:val="de-DE"/>
        </w:rPr>
        <w:t xml:space="preserve">Ein Bericht von </w:t>
      </w:r>
      <w:r>
        <w:rPr>
          <w:rFonts w:ascii="Times New Roman" w:hAnsi="Times New Roman"/>
          <w:i/>
          <w:lang w:val="de-DE"/>
        </w:rPr>
        <w:t>Ricardo Energy and Environment</w:t>
      </w:r>
      <w:r>
        <w:rPr>
          <w:rFonts w:ascii="Times New Roman" w:hAnsi="Times New Roman"/>
          <w:lang w:val="de-DE"/>
        </w:rPr>
        <w:t xml:space="preserve"> über e</w:t>
      </w:r>
      <w:r>
        <w:rPr>
          <w:rFonts w:ascii="Times New Roman" w:hAnsi="Times New Roman"/>
          <w:lang w:val="de-DE"/>
        </w:rPr>
        <w:t>ine Methodik zur Verfolgung der Luftqualität wird bald veröffentlicht.</w:t>
      </w:r>
    </w:p>
  </w:footnote>
  <w:footnote w:id="35">
    <w:p w:rsidR="00ED5820" w:rsidRDefault="00DE54EB">
      <w:pPr>
        <w:pStyle w:val="FootnoteText"/>
        <w:spacing w:after="120"/>
        <w:rPr>
          <w:lang w:val="de-DE"/>
        </w:rPr>
      </w:pPr>
      <w:r>
        <w:rPr>
          <w:vertAlign w:val="superscript"/>
        </w:rPr>
        <w:footnoteRef/>
      </w:r>
      <w:r>
        <w:rPr>
          <w:lang w:val="de-DE"/>
        </w:rPr>
        <w:tab/>
        <w:t>COM(2018) 321.</w:t>
      </w:r>
    </w:p>
  </w:footnote>
  <w:footnote w:id="36">
    <w:p w:rsidR="00ED5820" w:rsidRDefault="00DE54EB">
      <w:pPr>
        <w:pStyle w:val="FootnoteText"/>
        <w:rPr>
          <w:rFonts w:ascii="Times New Roman" w:hAnsi="Times New Roman" w:cs="Times New Roman"/>
          <w:lang w:val="de-DE"/>
        </w:rPr>
      </w:pPr>
      <w:r>
        <w:rPr>
          <w:rFonts w:ascii="Times New Roman" w:hAnsi="Times New Roman"/>
          <w:vertAlign w:val="superscript"/>
        </w:rPr>
        <w:footnoteRef/>
      </w:r>
      <w:r>
        <w:rPr>
          <w:rFonts w:ascii="Times New Roman" w:hAnsi="Times New Roman"/>
          <w:lang w:val="de-DE"/>
        </w:rPr>
        <w:t xml:space="preserve"> CZ, FI, DE, NL, RO, SK, ES, SE. Siehe auch </w:t>
      </w:r>
      <w:hyperlink r:id="rId8">
        <w:r>
          <w:rPr>
            <w:rStyle w:val="Hyperlink"/>
            <w:rFonts w:ascii="Times New Roman" w:hAnsi="Times New Roman"/>
            <w:lang w:val="de-DE"/>
          </w:rPr>
          <w:t>http://www.unece.org/env/lrtap/status/lrtap_s.html</w:t>
        </w:r>
      </w:hyperlink>
      <w:r>
        <w:rPr>
          <w:rFonts w:ascii="Times New Roman" w:hAnsi="Times New Roman"/>
          <w:lang w:val="de-DE"/>
        </w:rPr>
        <w:t xml:space="preserve"> </w:t>
      </w:r>
    </w:p>
    <w:p w:rsidR="00ED5820" w:rsidRDefault="00ED5820">
      <w:pPr>
        <w:pStyle w:val="FootnoteText"/>
        <w:rPr>
          <w:lang w:val="de-DE"/>
        </w:rPr>
      </w:pPr>
    </w:p>
  </w:footnote>
  <w:footnote w:id="37">
    <w:p w:rsidR="00ED5820" w:rsidRDefault="00DE54EB">
      <w:pPr>
        <w:pStyle w:val="FootnoteText"/>
        <w:rPr>
          <w:lang w:val="pt-PT"/>
        </w:rPr>
      </w:pPr>
      <w:r>
        <w:rPr>
          <w:vertAlign w:val="superscript"/>
        </w:rPr>
        <w:footnoteRef/>
      </w:r>
      <w:r>
        <w:rPr>
          <w:lang w:val="pt-PT"/>
        </w:rPr>
        <w:t xml:space="preserve"> COM(2018) 330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EB" w:rsidRPr="00DE54EB" w:rsidRDefault="00DE54EB" w:rsidP="00DE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EB" w:rsidRPr="00DE54EB" w:rsidRDefault="00DE54EB" w:rsidP="00DE54EB">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EB" w:rsidRPr="00DE54EB" w:rsidRDefault="00DE54EB" w:rsidP="00DE54EB">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20" w:rsidRDefault="00ED58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20" w:rsidRDefault="00ED58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20" w:rsidRDefault="00ED5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6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FB04E9"/>
    <w:multiLevelType w:val="hybridMultilevel"/>
    <w:tmpl w:val="00A0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759B3"/>
    <w:multiLevelType w:val="hybridMultilevel"/>
    <w:tmpl w:val="CC6A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0D2CB0"/>
    <w:multiLevelType w:val="hybridMultilevel"/>
    <w:tmpl w:val="A2FE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This document corrects document COM (2018) 446 final of 7.6.2018._x000b__x000b_Concerns all language versions._x000b__x000b_Replacement of figure 2a on page 7 and of figure 5 on page 12_x000b_The text shall read as follows:_x000b_"/>
    <w:docVar w:name="LW_COVERPAGE_EXISTS" w:val="True"/>
    <w:docVar w:name="LW_COVERPAGE_GUID" w:val="CD3E36AD-748A-4EAC-B89F-D1FA2354CB8B"/>
    <w:docVar w:name="LW_COVERPAGE_TYPE" w:val="1"/>
    <w:docVar w:name="LW_CROSSREFERENCE" w:val="&lt;UNUSED&gt;"/>
    <w:docVar w:name="LW_DocType" w:val="NORMAL"/>
    <w:docVar w:name="LW_EMISSION" w:val="30.1.2019"/>
    <w:docVar w:name="LW_EMISSION_ISODATE" w:val="2019-01-30"/>
    <w:docVar w:name="LW_EMISSION_LOCATION" w:val="BRX"/>
    <w:docVar w:name="LW_EMISSION_PREFIX" w:val="Brüssel, den "/>
    <w:docVar w:name="LW_EMISSION_SUFFIX" w:val=" "/>
    <w:docVar w:name="LW_ID_DOCTYPE_NONLW" w:val="CP-008"/>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2"/>
    <w:docVar w:name="LW_REF.INST.NEW_TEXT" w:val="(2018) 44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lt;FMT:Bold&gt;ERSTER AUSBLICK ZUR ENTWICKLUNG DER LUFTQUALITÄT&lt;/FMT&gt;"/>
    <w:docVar w:name="LW_TYPE.DOC.CP" w:val="BERICHT DER KOMMISSION AN DAS EUROPÄISCHE PARLAMENT, DEN RAT, DEN EUROPÄISCHEN WIRTSCHAFTS- UND SOZIALAUSSCHUSS UND DEN AUSSCHUSS DER REGIONEN"/>
  </w:docVars>
  <w:rsids>
    <w:rsidRoot w:val="00ED5820"/>
    <w:rsid w:val="00DE54EB"/>
    <w:rsid w:val="00ED5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A019C769-F27A-4B04-809D-41C11803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5"/>
        <w:tab w:val="right" w:pos="9071"/>
      </w:tabs>
      <w:spacing w:after="120" w:line="240" w:lineRule="auto"/>
      <w:jc w:val="both"/>
    </w:pPr>
    <w:rPr>
      <w:rFonts w:ascii="Times New Roman" w:hAnsi="Times New Roman" w:cs="Times New Roman"/>
      <w:sz w:val="24"/>
    </w:r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fr-FR"/>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lang w:val="fr-FR"/>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lang w:val="fr-FR"/>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fr-FR"/>
    </w:rPr>
  </w:style>
  <w:style w:type="table" w:styleId="TableGrid">
    <w:name w:val="Table Grid"/>
    <w:basedOn w:val="TableNormal"/>
    <w:uiPriority w:val="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lang w:val="fr-FR"/>
    </w:rPr>
  </w:style>
  <w:style w:type="character" w:styleId="FootnoteReference">
    <w:name w:val="foot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82541">
      <w:bodyDiv w:val="1"/>
      <w:marLeft w:val="0"/>
      <w:marRight w:val="0"/>
      <w:marTop w:val="0"/>
      <w:marBottom w:val="0"/>
      <w:divBdr>
        <w:top w:val="none" w:sz="0" w:space="0" w:color="auto"/>
        <w:left w:val="none" w:sz="0" w:space="0" w:color="auto"/>
        <w:bottom w:val="none" w:sz="0" w:space="0" w:color="auto"/>
        <w:right w:val="none" w:sz="0" w:space="0" w:color="auto"/>
      </w:divBdr>
      <w:divsChild>
        <w:div w:id="1317109568">
          <w:marLeft w:val="0"/>
          <w:marRight w:val="0"/>
          <w:marTop w:val="0"/>
          <w:marBottom w:val="0"/>
          <w:divBdr>
            <w:top w:val="none" w:sz="0" w:space="0" w:color="auto"/>
            <w:left w:val="none" w:sz="0" w:space="0" w:color="auto"/>
            <w:bottom w:val="none" w:sz="0" w:space="0" w:color="auto"/>
            <w:right w:val="none" w:sz="0" w:space="0" w:color="auto"/>
          </w:divBdr>
          <w:divsChild>
            <w:div w:id="340552720">
              <w:marLeft w:val="0"/>
              <w:marRight w:val="0"/>
              <w:marTop w:val="0"/>
              <w:marBottom w:val="0"/>
              <w:divBdr>
                <w:top w:val="none" w:sz="0" w:space="0" w:color="auto"/>
                <w:left w:val="none" w:sz="0" w:space="0" w:color="auto"/>
                <w:bottom w:val="none" w:sz="0" w:space="0" w:color="auto"/>
                <w:right w:val="none" w:sz="0" w:space="0" w:color="auto"/>
              </w:divBdr>
              <w:divsChild>
                <w:div w:id="10802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lrtap/status/lrtap_s.html" TargetMode="External"/><Relationship Id="rId3" Type="http://schemas.openxmlformats.org/officeDocument/2006/relationships/hyperlink" Target="http://ec.europa.eu/environment/air/clean_air/dialogue.htm" TargetMode="External"/><Relationship Id="rId7" Type="http://schemas.openxmlformats.org/officeDocument/2006/relationships/hyperlink" Target="https://cohesiondata.ec.europa.eu/" TargetMode="External"/><Relationship Id="rId2" Type="http://schemas.openxmlformats.org/officeDocument/2006/relationships/hyperlink" Target="http://ec.europa.eu/environment/eir/index_en.htm" TargetMode="External"/><Relationship Id="rId1" Type="http://schemas.openxmlformats.org/officeDocument/2006/relationships/hyperlink" Target="http://ec.europa.eu/environment/air/clean_air/review.htm" TargetMode="External"/><Relationship Id="rId6" Type="http://schemas.openxmlformats.org/officeDocument/2006/relationships/hyperlink" Target="https://ec.europa.eu/clima/policies/strategies/2030_de" TargetMode="External"/><Relationship Id="rId5" Type="http://schemas.openxmlformats.org/officeDocument/2006/relationships/hyperlink" Target="https://ec.europa.eu/clima/policies/strategies/2030_de" TargetMode="External"/><Relationship Id="rId4" Type="http://schemas.openxmlformats.org/officeDocument/2006/relationships/hyperlink" Target="http://www.iiasa.ac.at/web/home/research/researchPrograms/air/policy/TSA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BD6B-6704-432E-950F-9A871183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5095</Words>
  <Characters>35061</Characters>
  <Application>Microsoft Office Word</Application>
  <DocSecurity>0</DocSecurity>
  <Lines>674</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BALSA GARCIA Maria Del Carmen (SG)</cp:lastModifiedBy>
  <cp:revision>20</cp:revision>
  <cp:lastPrinted>2018-05-25T05:58:00Z</cp:lastPrinted>
  <dcterms:created xsi:type="dcterms:W3CDTF">2019-01-10T12:42:00Z</dcterms:created>
  <dcterms:modified xsi:type="dcterms:W3CDTF">2019-01-29T14:16:00Z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y fmtid="{D5CDD505-2E9C-101B-9397-08002B2CF9AE}" pid="6" name="Last edited using">
    <vt:lpwstr>LW 6.0.1, Build 20180503</vt:lpwstr>
  </property>
  <property fmtid="{D5CDD505-2E9C-101B-9397-08002B2CF9AE}" pid="7" name="Created using">
    <vt:lpwstr>LW 6.0.1, Build 20180503</vt:lpwstr>
  </property>
</Properties>
</file>