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DD0A899-E3F2-45E8-AFD7-1B4457354E43" style="width:450.75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26"/>
        </w:sectPr>
      </w:pPr>
    </w:p>
    <w:p>
      <w:pPr>
        <w:pStyle w:val="Heading1"/>
        <w:rPr>
          <w:noProof/>
        </w:rPr>
      </w:pPr>
      <w:bookmarkStart w:id="1" w:name="_GoBack"/>
      <w:bookmarkEnd w:id="1"/>
      <w:r>
        <w:rPr>
          <w:noProof/>
        </w:rPr>
        <w:lastRenderedPageBreak/>
        <w:t>Introduzzjoni</w:t>
      </w:r>
    </w:p>
    <w:p>
      <w:pPr>
        <w:rPr>
          <w:noProof/>
          <w:szCs w:val="24"/>
        </w:rPr>
      </w:pPr>
      <w:r>
        <w:rPr>
          <w:noProof/>
        </w:rPr>
        <w:t>Ir-Regolament (UE) 2015/2365 dwar it-trasparenza ta’ tranżazzjonijiet ta’ finanzjament tat-titoli u ta’ użu mill-ġdid (SFTR) ġie adottat fil-25 ta’ Novembru 2015 u daħal fis-seħħ fit-12 ta’ Jannar 2016. L-SFTR għandu l-għan li jżid it-trasparenza ta’ tranżazzjonijiet ta’ finanzjament tat-titoli (SFTs) billi jirrikjedi li:</w:t>
      </w:r>
    </w:p>
    <w:p>
      <w:pPr>
        <w:numPr>
          <w:ilvl w:val="0"/>
          <w:numId w:val="31"/>
        </w:numPr>
        <w:rPr>
          <w:noProof/>
          <w:szCs w:val="24"/>
        </w:rPr>
      </w:pPr>
      <w:r>
        <w:rPr>
          <w:noProof/>
        </w:rPr>
        <w:t xml:space="preserve">l-SFTs kollha għandhom jiġu rrapportati f’bażijiet ta’ </w:t>
      </w:r>
      <w:r>
        <w:rPr>
          <w:i/>
          <w:noProof/>
        </w:rPr>
        <w:t>data</w:t>
      </w:r>
      <w:r>
        <w:rPr>
          <w:noProof/>
        </w:rPr>
        <w:t xml:space="preserve"> ċentrali magħrufa bħala repożitorji tat-tranżazzjonijiet (obbligu ta’ rapportar),</w:t>
      </w:r>
    </w:p>
    <w:p>
      <w:pPr>
        <w:numPr>
          <w:ilvl w:val="0"/>
          <w:numId w:val="31"/>
        </w:numPr>
        <w:rPr>
          <w:noProof/>
          <w:szCs w:val="24"/>
        </w:rPr>
      </w:pPr>
      <w:r>
        <w:rPr>
          <w:noProof/>
        </w:rPr>
        <w:t>l-informazzjoni dwar l-użu ta’ SFTs minn fondi ta’ investiment li għandha tiġi divulgata lill-investituri fir-rapporti regolari u dokumenti ta’ qabel l-investiment maħruġa mill-fondi,</w:t>
      </w:r>
    </w:p>
    <w:p>
      <w:pPr>
        <w:numPr>
          <w:ilvl w:val="0"/>
          <w:numId w:val="31"/>
        </w:numPr>
        <w:rPr>
          <w:bCs/>
          <w:noProof/>
          <w:szCs w:val="24"/>
        </w:rPr>
      </w:pPr>
      <w:r>
        <w:rPr>
          <w:noProof/>
        </w:rPr>
        <w:t>għandhom jiġu ssodisfati l-kundizzjonijiet minimi ta’ trasparenza meta jiġi użat mill-ġdid il-kollateral, bħad-divulgazzjoni tar-riskji u l-obbligu li jinkiseb kunsens minn qabel (rekwiżiti ta’ trasparenza fl-użu mill-ġdid).</w:t>
      </w:r>
    </w:p>
    <w:p>
      <w:pPr>
        <w:rPr>
          <w:noProof/>
          <w:szCs w:val="24"/>
        </w:rPr>
      </w:pPr>
      <w:r>
        <w:rPr>
          <w:noProof/>
        </w:rPr>
        <w:t>Skont l-Artikolu 2(2)(a) tal-SFTR, il-banek ċentrali tal-Unjoni u l-korpi pubbliċi tal-Unjoni inkarigati mill-amministrazzjoni tad-dejn pubbliku jew li jintervjenu fiha, huma eżentati mill-obbligu ta’ rapportar u mir-rekwiżit ta’ trasparenza fl-użu mill-ġdid skont l-SFTR.</w:t>
      </w:r>
    </w:p>
    <w:p>
      <w:pPr>
        <w:rPr>
          <w:noProof/>
          <w:szCs w:val="24"/>
        </w:rPr>
      </w:pPr>
      <w:r>
        <w:rPr>
          <w:noProof/>
        </w:rPr>
        <w:t>Fil-ħin tal-adozzjoni tal-SFTR, kien hemm inċertezzi dwar it-trattament ta’ banek ċentrali barranin fl-applikazzjoni tar-riformi li jirrigwardaw l-SFTR f’ġuriżdizzjonijiet oħra. Il-Parlament Ewropew u l-Kunsill għalhekk ipposponew deċiżjoni dwar l-applikazzjoni tal-SFTR għal banek ċentrali ta’ pajjiżi terzi sakemm ikun hemm aktar ċarezza dwar din il-kwistjoni.</w:t>
      </w:r>
    </w:p>
    <w:p>
      <w:pPr>
        <w:rPr>
          <w:noProof/>
          <w:szCs w:val="24"/>
        </w:rPr>
      </w:pPr>
      <w:r>
        <w:rPr>
          <w:noProof/>
        </w:rPr>
        <w:t>L-Artikolu 2(4) tal-SFTR jagħti s-setgħa lill-Kummissjoni biex tadotta att delegat biex testendi l-lista ta’ entitajiet eżentati taħt l-SFTR. Bħala prerekwiżit għal tali eżenzjoni, il-Kummissjoni Ewropea hija meħtieġa skont l-istess Artikolu tal-SFTR biex tanalizza t-trattament internazzjonali tal-banek ċentrali u tal-korpi pubbliċi li jamministraw id-dejn pubbliku fil-qafas legali ta’ ġuriżdizzjonijiet oħra u biex tinforma lill-Parlament Ewropew u lill-Kunsill dwar l-analiżi tagħha. Jekk ir-rapport jikkonkludi li hija meħtieġa l-eżenzjoni tar-responsabbiltajiet monetarji tal-banek ċentrali ta’ pajjiżi terzi mir-rekwiżiti ta’ trasparenza fl-użu mill-ġdid, il-Kummissjoni Ewropea għandha tadotta att delegat skont dan.</w:t>
      </w:r>
    </w:p>
    <w:p>
      <w:pPr>
        <w:pStyle w:val="Heading1"/>
        <w:rPr>
          <w:noProof/>
        </w:rPr>
      </w:pPr>
      <w:r>
        <w:rPr>
          <w:noProof/>
        </w:rPr>
        <w:t>Il-Bażi Ġuridika tar-Rapport: Ir-rekwiżiti tal-Artikolu 2 tal-SFTR</w:t>
      </w:r>
    </w:p>
    <w:p>
      <w:pPr>
        <w:rPr>
          <w:noProof/>
          <w:szCs w:val="24"/>
        </w:rPr>
      </w:pPr>
      <w:r>
        <w:rPr>
          <w:noProof/>
        </w:rPr>
        <w:t>L-Artikolu 2(2) tal-SFTR jipprovdi li “</w:t>
      </w:r>
      <w:r>
        <w:rPr>
          <w:i/>
          <w:noProof/>
        </w:rPr>
        <w:t>l-Artikoli 4 u 15 ma japplikawx: (a) għall-membri tas-Sistema Ewropea ta’ Banek Ċentrali (SEBĊ), korpi oħra tal-Istati Membri li jwettqu funzjonijiet simili, u korpi pubbliċi oħra tal-Unjoni inkarigati mill-amministrazzjoni tad-dejn pubbliku jew li jintervjenu fiha; (b) għall-Bank ta’ Ħlasijiet Internazzjonali”</w:t>
      </w:r>
      <w:r>
        <w:rPr>
          <w:noProof/>
        </w:rPr>
        <w:t>.</w:t>
      </w:r>
    </w:p>
    <w:p>
      <w:pPr>
        <w:rPr>
          <w:iCs/>
          <w:noProof/>
          <w:szCs w:val="24"/>
        </w:rPr>
      </w:pPr>
      <w:r>
        <w:rPr>
          <w:noProof/>
        </w:rPr>
        <w:t>Fir-rigward tal-banek ċentrali barranin u tal-entitajiet pubbliċi barranin li jamministraw id-dejn pubbliku, l-Artikolu 2(4) jagħti s-setgħa lill-Kummissjoni li tadotta atti delegati biex temenda l-lista tal-entitajiet eżentati fl-Artikolu 2(2) u, għal dak il-għan, jobbliga lill-Kummissjoni biex “</w:t>
      </w:r>
      <w:r>
        <w:rPr>
          <w:i/>
          <w:noProof/>
        </w:rPr>
        <w:t>tippreżenta lill-Parlament Ewropew u lill-Kunsill rapport li jevalwa t-trattament internazzjonali ta’ banek ċentrali u ta’ korpi pubbliċi inkarigati mill-amministrazzjoni tad-dejn pubbliku jew li jintervjenu fiha.”</w:t>
      </w:r>
    </w:p>
    <w:p>
      <w:pPr>
        <w:rPr>
          <w:noProof/>
          <w:szCs w:val="24"/>
        </w:rPr>
      </w:pPr>
      <w:r>
        <w:rPr>
          <w:noProof/>
        </w:rPr>
        <w:t>L-Artikolu 2(4) jispeċifika wkoll li “</w:t>
      </w:r>
      <w:r>
        <w:rPr>
          <w:i/>
          <w:noProof/>
        </w:rPr>
        <w:t>Ir-Rapport għandu jinkludi analiżi komparattiva tat-trattament ta’ banek ċentrali u ta’ dawk il-korpi fil-qafas legali ta’ għadd ta’ pajjiżi terzi. Dment li r-rapport jikkonkludi, b’mod partikolari fir-rigward tal-analiżi komparattiva u l-effetti potenzjali, li tkun meħtieġa l-eżenzjoni mir-responsabbiltajiet monetarji ta’ dawk il-banek ċentrali u l-korpi ta’ pajjiżi terzi mill-Artikolu 15, il-Kummissjoni għandha tadotta att delegat li jżidhom fil-lista li tinsab fil-paragrafu 2 ta’ dan l-Artikolu</w:t>
      </w:r>
      <w:r>
        <w:rPr>
          <w:noProof/>
        </w:rPr>
        <w:t>.”"</w:t>
      </w:r>
    </w:p>
    <w:p>
      <w:pPr>
        <w:pStyle w:val="Heading1"/>
        <w:rPr>
          <w:noProof/>
        </w:rPr>
      </w:pPr>
      <w:r>
        <w:rPr>
          <w:noProof/>
        </w:rPr>
        <w:t>Ġuriżdizzjoni Kkunsidrata: Ir-Renju Unit</w:t>
      </w:r>
    </w:p>
    <w:p>
      <w:pPr>
        <w:rPr>
          <w:iCs/>
          <w:noProof/>
          <w:szCs w:val="24"/>
        </w:rPr>
      </w:pPr>
      <w:r>
        <w:rPr>
          <w:noProof/>
        </w:rPr>
        <w:t>L-SFTR jirrikjedi li l-Kummissjoni twettaq analiżi komparattiva tat-trattament tal-banek ċentrali u l-korpi pubbliċi li jamministraw id-dejn pubbliku f’“</w:t>
      </w:r>
      <w:r>
        <w:rPr>
          <w:i/>
          <w:noProof/>
        </w:rPr>
        <w:t>għadd ta’ pajjiżi terzi</w:t>
      </w:r>
      <w:r>
        <w:rPr>
          <w:noProof/>
        </w:rPr>
        <w:t>”. Minħabba l-intenzjoni tar-Renju Unit li joħroġ mill-Unjoni skont l-Artikolu 50 tat-Trattat dwar l-Unjoni Ewropea, meta d-dritt tal-Unjoni ma jibqax japplika fir-Renju Unit, l-eżenzjoni għall-membri tas-Sistema Ewropea ta’ Banek Ċentrali (SEBĊ) u għall-korpi pubbliċi inkarigati mill-amministrazzjoni tad-dejn pubbliku jew li jintervjenu fiha fih fl-Artikolu 2(2)(a) tar-Regolament (UE) Nru 2015/2365</w:t>
      </w:r>
      <w:r>
        <w:rPr>
          <w:rStyle w:val="FootnoteReference"/>
          <w:noProof/>
        </w:rPr>
        <w:footnoteReference w:id="2"/>
      </w:r>
      <w:r>
        <w:rPr>
          <w:noProof/>
        </w:rPr>
        <w:t xml:space="preserve"> (“ SFTR”) mhux se tibqa’ tapplika għall-banek ċentrali tar-Renju Unit jew għall-korpi tal-ġestjoni tad-dejn pubbliku. F’dan l-isfond, dan ir-rapport jirrestrinġi l-analiżi tat-trattament tal-banek ċentrali u tal-korpi pubbliċi li jamministraw id-dejn pubbliku għar-Renju Unit. Aktar pajjiżi se jiġu analizzati f’rapport futur.</w:t>
      </w:r>
    </w:p>
    <w:p>
      <w:pPr>
        <w:rPr>
          <w:noProof/>
        </w:rPr>
      </w:pPr>
      <w:r>
        <w:rPr>
          <w:noProof/>
        </w:rPr>
        <w:t>L-approċċ li fl-ewwel pass il-fokus ikun fuq ir-Renju Unit huwa sostnut mill-fatt li l-European Union (Withdrawal) Act 2018 adottat mir-Renju Unit jikkonverti fil-liġi domestika tar-Renju Unit il-korp eżistenti ta’ liġi tal-UE applikabbli direttament, inkluż l-SFTR. Barra minn hekk, il-gvern tar-Renju Unit ippubblika abbozz ta’ strument statutorju</w:t>
      </w:r>
      <w:r>
        <w:rPr>
          <w:rStyle w:val="FootnoteReference"/>
          <w:noProof/>
        </w:rPr>
        <w:footnoteReference w:id="3"/>
      </w:r>
      <w:r>
        <w:rPr>
          <w:noProof/>
        </w:rPr>
        <w:t>, li ladarba inkorporat fil-European Union (Withdrawal) Act 2018 se jagħmel emendi fid-dritt tal-UE li se jinżamm, u fid-dritt eżistenti tar-Renju Unit, relatati mat-tranżazzjonijiet ta’ finanzjament tat-titoli. L-abbozz tal-istrument statutorju jirrifletti d-dispożizzjoni tal-SFTR fis-sens li l-Bank tal-Ingilterra u l-korpi ta’ ġestjoni tad-dejn pubbliku tar-Renju Unit huma eżentati mill-obbligu ta’ rapportar u mir-rekwiżiti tat-trasparenza fl-użu mill-ġdid. Bl-istess mod, l-abbozz tal-istrument statutorju fih dispożizzjoni biex din il-lista tiġi estiża b’mod li jipparaguna mad-dispożizzjoni tal-SFTR.</w:t>
      </w:r>
    </w:p>
    <w:p>
      <w:pPr>
        <w:pStyle w:val="Heading1"/>
        <w:rPr>
          <w:noProof/>
        </w:rPr>
      </w:pPr>
      <w:r>
        <w:rPr>
          <w:noProof/>
        </w:rPr>
        <w:t>Konklużjonijiet</w:t>
      </w:r>
    </w:p>
    <w:p>
      <w:pPr>
        <w:pStyle w:val="Text1"/>
        <w:ind w:left="0"/>
        <w:rPr>
          <w:noProof/>
        </w:rPr>
      </w:pPr>
      <w:r>
        <w:rPr>
          <w:noProof/>
        </w:rPr>
        <w:t>Fid-dawl ta’ dan ta’ hawn fuq, l-abbozz ta’ qafas leġiżlattiv domestiku tar-Renju Unit li jinkorpora l-SFTR jeżenta lill-bank ċentrali u lill-korpi pubbliċi tar-Renju Unit inkarigati mill-amministrazzjoni tad-dejn pubbliku jew li jintervjenu fiha mill-obbligu ta’ rappurtar għal SFTs u r-rekwiżiti ta’ trasparenza fl-użu mill-ġdid . L-abbozz ta’ qafas leġiżlattiv tar-Renju Unit jinkludi wkoll dispożizzjonijiet li jippermettu l-estensjoni tal-eżenzjoni lill-banek ċentrali u lill-korpi pubbliċi ta’ ġestjoni tad-dejn ta’ pajjiżi barranin.</w:t>
      </w:r>
    </w:p>
    <w:p>
      <w:pPr>
        <w:pStyle w:val="Text1"/>
        <w:ind w:left="0"/>
        <w:rPr>
          <w:noProof/>
        </w:rPr>
      </w:pPr>
      <w:r>
        <w:rPr>
          <w:noProof/>
        </w:rPr>
        <w:t>Iż-żieda tal-bank ċentrali tar-Renju Unit u tal-korpi ta’ ġestjoni tad-dejn pubbliku mal-lista ta’ entitajiet eżentati mill-obbligu ta’ rapportar u mir-rekwiżiti ta’ trasparenza fl-użu mill-ġdid skont l-SFTR, mhux se tippermetti li jkun hemm interferenza fit-twettiq tar-responsabbiltajiet monetarji tagħhom u se tippromwovi kundizzjonijiet ekwi fl-applikazzjoni tar-riformi tal-SFT fir-rigward ta’ tranżazzjonijiet ma’ banek ċentrali bejn il-ġuriżdizzjonijiet. Dan se jikkontribwixxi wkoll għal aktar koerenza u konsistenza internazzjonali.</w:t>
      </w:r>
    </w:p>
    <w:p>
      <w:pPr>
        <w:rPr>
          <w:rFonts w:eastAsia="MS Gothic"/>
          <w:noProof/>
        </w:rPr>
      </w:pPr>
      <w:r>
        <w:rPr>
          <w:noProof/>
        </w:rPr>
        <w:t xml:space="preserve">Il-Kummissjoni għalhekk tikkonkludi li l-Artikolu 2(2) tal-STFR jenħtieġ li jiġi emendat biex jeżenta minn ċerti rekwiżiti tal-SFTR lill-bank ċentrali tar-Renju Unit u lil korpi pubbliċi oħrajn inkarigati mill-amministrazzjoni tad-dejn pubbliku jew li jintervjenu fiha. </w:t>
      </w:r>
    </w:p>
    <w:p>
      <w:pPr>
        <w:pStyle w:val="Text1"/>
        <w:ind w:left="0"/>
        <w:rPr>
          <w:noProof/>
        </w:rPr>
      </w:pPr>
      <w:r>
        <w:rPr>
          <w:noProof/>
        </w:rPr>
        <w:t xml:space="preserve">L-analiżi komparattiva f’dan ir-rapport mhijiex eżawrjenti. Hija bbażata fuq il-liġi domestika tar-Renju Unit li tinkorpora l-SFTR, li partijiet minnu għadhom ma ġewx adottati kompletament. </w:t>
      </w:r>
    </w:p>
    <w:p>
      <w:pPr>
        <w:pStyle w:val="Text1"/>
        <w:ind w:left="0"/>
        <w:rPr>
          <w:noProof/>
        </w:rPr>
      </w:pPr>
      <w:r>
        <w:rPr>
          <w:noProof/>
        </w:rPr>
        <w:t xml:space="preserve">Il-Kummissjoni se tkompli tanalizza fuq bażi regolari t-trattament internazzjonali tal-banek ċentrali u tal-korpi pubbliċi fir-rigward tal-obbligu ta’ rapportar u tar-rekwiżiti ta’ trasparenza fl-użu mill-ġdid għall-SFT f’pajjiżi terzi, inkluż f’pajjiżi terzi elenkati fl-Artikolu 2(2) tal-SFTR. Il-lista ta’ entitajiet eżentati tista’ tiġi aġġornata fid-dawl tal-iżvilupp ta’ arranġamenti regolatorji f’pajjiżi terzi u tqis kull sors ġdid rilevanti ta’ informazzjoni. Tali rivalutazzjoni tista’ twassal ukoll għat-tneħħija ta’ ċerti pajjiżi terzi mil-lista ta’ entitajiet eżentati. </w:t>
      </w:r>
    </w:p>
    <w:p>
      <w:pPr>
        <w:pStyle w:val="Text1"/>
        <w:ind w:left="0"/>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2" w:right="1701" w:bottom="142" w:left="1587" w:header="601"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74750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rPr>
          <w:lang w:val="en-GB"/>
        </w:rPr>
      </w:pPr>
      <w:r>
        <w:rPr>
          <w:rStyle w:val="FootnoteReference"/>
        </w:rPr>
        <w:footnoteRef/>
      </w:r>
      <w:r>
        <w:t xml:space="preserve"> </w:t>
      </w:r>
      <w:r>
        <w:tab/>
        <w:t>Ir-Regolament (UE) 2015/2365 tal-Parlament Ewropew u tal-Kunsill dwar it-trasparenza ta’ tranżazzjonijiet ta’ finanzjament tat-titoli u ta’ użu mill-ġdid, ĠU L 337, 23.12.2015, p. 1–34</w:t>
      </w:r>
    </w:p>
  </w:footnote>
  <w:footnote w:id="3">
    <w:p>
      <w:pPr>
        <w:pStyle w:val="FootnoteText"/>
        <w:rPr>
          <w:lang w:val="en-GB"/>
        </w:rPr>
      </w:pPr>
      <w:r>
        <w:rPr>
          <w:rStyle w:val="FootnoteReference"/>
        </w:rPr>
        <w:footnoteRef/>
      </w:r>
      <w:r>
        <w:t xml:space="preserve"> </w:t>
      </w:r>
      <w:r>
        <w:tab/>
        <w:t>https://www.gov.uk/government/publications/draft-transparency-of-securities-financing-transactions-and-of-reuse-amendment-eu-exit-regulations-2019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A505103"/>
    <w:multiLevelType w:val="hybridMultilevel"/>
    <w:tmpl w:val="2B6C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823DA5"/>
    <w:multiLevelType w:val="hybridMultilevel"/>
    <w:tmpl w:val="DF9E2FAE"/>
    <w:lvl w:ilvl="0" w:tplc="A78E6C66">
      <w:start w:val="1"/>
      <w:numFmt w:val="decimal"/>
      <w:pStyle w:val="SFCLevel2BasicParagraph"/>
      <w:lvlText w:val="%1."/>
      <w:lvlJc w:val="left"/>
      <w:pPr>
        <w:ind w:left="720" w:hanging="360"/>
      </w:pPr>
    </w:lvl>
    <w:lvl w:ilvl="1" w:tplc="6340E5E6">
      <w:start w:val="1"/>
      <w:numFmt w:val="decimal"/>
      <w:lvlText w:val="(%2)"/>
      <w:lvlJc w:val="left"/>
      <w:pPr>
        <w:ind w:left="1440" w:hanging="360"/>
      </w:pPr>
    </w:lvl>
    <w:lvl w:ilvl="2" w:tplc="05305726">
      <w:start w:val="1"/>
      <w:numFmt w:val="lowerLetter"/>
      <w:lvlText w:val="(%3)"/>
      <w:lvlJc w:val="left"/>
      <w:pPr>
        <w:ind w:left="2160" w:hanging="180"/>
      </w:pPr>
    </w:lvl>
    <w:lvl w:ilvl="3" w:tplc="E13E8A28">
      <w:start w:val="1"/>
      <w:numFmt w:val="lowerRoman"/>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72860AA"/>
    <w:multiLevelType w:val="hybridMultilevel"/>
    <w:tmpl w:val="F0C8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FA7F8E"/>
    <w:multiLevelType w:val="hybridMultilevel"/>
    <w:tmpl w:val="956E2110"/>
    <w:lvl w:ilvl="0" w:tplc="FEA21B66">
      <w:start w:val="167"/>
      <w:numFmt w:val="decimal"/>
      <w:lvlText w:val="%1."/>
      <w:lvlJc w:val="left"/>
      <w:pPr>
        <w:ind w:left="780" w:hanging="4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nsid w:val="37475590"/>
    <w:multiLevelType w:val="hybridMultilevel"/>
    <w:tmpl w:val="90AE0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A3714B"/>
    <w:multiLevelType w:val="hybridMultilevel"/>
    <w:tmpl w:val="7706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37C3475"/>
    <w:multiLevelType w:val="hybridMultilevel"/>
    <w:tmpl w:val="AA004122"/>
    <w:lvl w:ilvl="0" w:tplc="1DB405F8">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432656"/>
    <w:multiLevelType w:val="multilevel"/>
    <w:tmpl w:val="C240C5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06C14E8"/>
    <w:multiLevelType w:val="hybridMultilevel"/>
    <w:tmpl w:val="E7E020E8"/>
    <w:lvl w:ilvl="0" w:tplc="A15E1054">
      <w:start w:val="127"/>
      <w:numFmt w:val="decimal"/>
      <w:lvlText w:val="%1."/>
      <w:lvlJc w:val="left"/>
      <w:pPr>
        <w:ind w:left="780" w:hanging="4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nsid w:val="5768759D"/>
    <w:multiLevelType w:val="hybridMultilevel"/>
    <w:tmpl w:val="9D4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7">
    <w:nsid w:val="76C244F6"/>
    <w:multiLevelType w:val="hybridMultilevel"/>
    <w:tmpl w:val="E1FC355E"/>
    <w:lvl w:ilvl="0" w:tplc="59347F66">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79B035E5"/>
    <w:multiLevelType w:val="multilevel"/>
    <w:tmpl w:val="C9C2A1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bullet"/>
      <w:lvlText w:val=""/>
      <w:lvlJc w:val="left"/>
      <w:pPr>
        <w:tabs>
          <w:tab w:val="num" w:pos="4032"/>
        </w:tabs>
        <w:ind w:left="4032" w:hanging="432"/>
      </w:pPr>
      <w:rPr>
        <w:rFonts w:ascii="Wingdings" w:hAnsi="Wingdings" w:hint="default"/>
      </w:rPr>
    </w:lvl>
    <w:lvl w:ilvl="6">
      <w:start w:val="1"/>
      <w:numFmt w:val="bullet"/>
      <w:lvlText w:val=""/>
      <w:lvlJc w:val="left"/>
      <w:pPr>
        <w:tabs>
          <w:tab w:val="num" w:pos="4464"/>
        </w:tabs>
        <w:ind w:left="4464" w:hanging="432"/>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19"/>
  </w:num>
  <w:num w:numId="4">
    <w:abstractNumId w:val="21"/>
  </w:num>
  <w:num w:numId="5">
    <w:abstractNumId w:val="13"/>
  </w:num>
  <w:num w:numId="6">
    <w:abstractNumId w:val="10"/>
  </w:num>
  <w:num w:numId="7">
    <w:abstractNumId w:val="6"/>
  </w:num>
  <w:num w:numId="8">
    <w:abstractNumId w:val="5"/>
  </w:num>
  <w:num w:numId="9">
    <w:abstractNumId w:val="23"/>
  </w:num>
  <w:num w:numId="10">
    <w:abstractNumId w:val="25"/>
  </w:num>
  <w:num w:numId="11">
    <w:abstractNumId w:val="24"/>
  </w:num>
  <w:num w:numId="12">
    <w:abstractNumId w:val="26"/>
  </w:num>
  <w:num w:numId="13">
    <w:abstractNumId w:val="7"/>
  </w:num>
  <w:num w:numId="14">
    <w:abstractNumId w:val="14"/>
  </w:num>
  <w:num w:numId="15">
    <w:abstractNumId w:val="17"/>
  </w:num>
  <w:num w:numId="16">
    <w:abstractNumId w:val="16"/>
  </w:num>
  <w:num w:numId="17">
    <w:abstractNumId w:val="2"/>
  </w:num>
  <w:num w:numId="18">
    <w:abstractNumId w:val="18"/>
  </w:num>
  <w:num w:numId="19">
    <w:abstractNumId w:val="12"/>
  </w:num>
  <w:num w:numId="20">
    <w:abstractNumId w:val="22"/>
  </w:num>
  <w:num w:numId="21">
    <w:abstractNumId w:val="11"/>
  </w:num>
  <w:num w:numId="22">
    <w:abstractNumId w:val="3"/>
  </w:num>
  <w:num w:numId="23">
    <w:abstractNumId w:val="1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27">
    <w:abstractNumId w:val="9"/>
    <w:lvlOverride w:ilvl="0">
      <w:startOverride w:val="1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9"/>
  </w:num>
  <w:num w:numId="3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57"/>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DD0A899-E3F2-45E8-AFD7-1B4457354E43"/>
    <w:docVar w:name="LW_COVERPAGE_TYPE" w:val="1"/>
    <w:docVar w:name="LW_CROSSREFERENCE" w:val="&lt;UNUSED&gt;"/>
    <w:docVar w:name="LW_DocType" w:val="NOT"/>
    <w:docVar w:name="LW_EMISSION" w:val="30.1.2019"/>
    <w:docVar w:name="LW_EMISSION_ISODATE" w:val="2019-01-30"/>
    <w:docVar w:name="LW_EMISSION_LOCATION" w:val="BRX"/>
    <w:docVar w:name="LW_EMISSION_PREFIX" w:val="Brussell, "/>
    <w:docVar w:name="LW_EMISSION_SUFFIX" w:val=" "/>
    <w:docVar w:name="LW_ID_DOCTYPE_NONLW" w:val="CP-006"/>
    <w:docVar w:name="LW_LANGUE" w:val="MT"/>
    <w:docVar w:name="LW_LEVEL_OF_SENSITIVITY" w:val="Standard treatment"/>
    <w:docVar w:name="LW_NOM.INST" w:val="IL-KUMMISSJONI EWROPEA"/>
    <w:docVar w:name="LW_NOM.INST_JOINTDOC" w:val="&lt;EMPTY&gt;"/>
    <w:docVar w:name="LW_PART_NBR" w:val="1"/>
    <w:docVar w:name="LW_PART_NBR_TOTAL" w:val="1"/>
    <w:docVar w:name="LW_REF.INST.NEW" w:val="COM"/>
    <w:docVar w:name="LW_REF.INST.NEW_ADOPTED" w:val="final"/>
    <w:docVar w:name="LW_REF.INST.NEW_TEXT" w:val="(2019) 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war it-Trattament Internazzjonali tal-Banek \u266?entrali u tal-Korpi Pubbli\u267?i li Jamministraw id-Dejn Pubbliku fir-rigward tat-Tran\u380?azzjonijiet ta\u8217? Finanzjament tat-Titoli"/>
    <w:docVar w:name="LW_TYPE.DOC.CP" w:val="RAPPORT TAL-KUMMISSJONI LILL-PARLAMENT EWROPEW U LILL-KUNSILL"/>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t-MT" w:eastAsia="mt-MT" w:bidi="mt-M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header"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ignature" w:uiPriority="99"/>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Calibri"/>
      <w:szCs w:val="22"/>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Calibr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eastAsia="Calibri"/>
      <w:sz w:val="24"/>
      <w:szCs w:val="22"/>
      <w:lang w:eastAsia="mt-MT"/>
    </w:rPr>
  </w:style>
  <w:style w:type="character" w:customStyle="1" w:styleId="DateChar">
    <w:name w:val="Date Char"/>
    <w:link w:val="Date"/>
    <w:uiPriority w:val="99"/>
    <w:rPr>
      <w:sz w:val="24"/>
      <w:lang w:eastAsia="mt-MT"/>
    </w:rPr>
  </w:style>
  <w:style w:type="character" w:customStyle="1" w:styleId="SignatureChar">
    <w:name w:val="Signature Char"/>
    <w:link w:val="Signature"/>
    <w:uiPriority w:val="99"/>
    <w:rPr>
      <w:sz w:val="24"/>
      <w:lang w:eastAsia="mt-MT"/>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uiPriority w:val="99"/>
    <w:rPr>
      <w:rFonts w:eastAsia="Calibri"/>
      <w:sz w:val="24"/>
      <w:szCs w:val="22"/>
      <w:lang w:eastAsia="mt-MT"/>
    </w:r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mt-MT"/>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Pr>
      <w:lang w:eastAsia="mt-MT"/>
    </w:rPr>
  </w:style>
  <w:style w:type="character" w:styleId="FootnoteReference">
    <w:name w:val="footnote reference"/>
    <w:uiPriority w:val="99"/>
    <w:semiHidden/>
    <w:unhideWhenUsed/>
    <w:rPr>
      <w:vertAlign w:val="superscript"/>
    </w:rPr>
  </w:style>
  <w:style w:type="paragraph" w:styleId="ListParagraph">
    <w:name w:val="List Paragraph"/>
    <w:basedOn w:val="Normal"/>
    <w:uiPriority w:val="99"/>
    <w:qFormat/>
    <w:pPr>
      <w:spacing w:after="0"/>
      <w:ind w:left="720"/>
      <w:contextualSpacing/>
      <w:jc w:val="left"/>
    </w:pPr>
    <w:rPr>
      <w:rFonts w:eastAsia="Calibri"/>
      <w:szCs w:val="24"/>
    </w:rPr>
  </w:style>
  <w:style w:type="paragraph" w:customStyle="1" w:styleId="SFCLevel2BasicParagraph">
    <w:name w:val="SFC Level 2 Basic Paragraph"/>
    <w:basedOn w:val="Normal"/>
    <w:pPr>
      <w:numPr>
        <w:numId w:val="24"/>
      </w:numPr>
      <w:tabs>
        <w:tab w:val="num" w:pos="1492"/>
      </w:tabs>
      <w:ind w:left="1492"/>
      <w:jc w:val="left"/>
    </w:pPr>
    <w:rPr>
      <w:rFonts w:ascii="Arial" w:eastAsia="Calibri" w:hAnsi="Arial" w:cs="Arial"/>
      <w:sz w:val="22"/>
      <w:szCs w:val="22"/>
    </w:rPr>
  </w:style>
  <w:style w:type="paragraph" w:customStyle="1" w:styleId="Default">
    <w:name w:val="Default"/>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mt-MT"/>
    </w:rPr>
  </w:style>
  <w:style w:type="character" w:customStyle="1" w:styleId="CommentSubjectChar">
    <w:name w:val="Comment Subject Char"/>
    <w:link w:val="CommentSubject"/>
    <w:uiPriority w:val="99"/>
    <w:semiHidden/>
    <w:rPr>
      <w:b/>
      <w:bCs/>
      <w:lang w:eastAsia="mt-MT"/>
    </w:rPr>
  </w:style>
  <w:style w:type="character" w:customStyle="1" w:styleId="Marker">
    <w:name w:val="Marker"/>
    <w:rPr>
      <w:color w:val="0000FF"/>
      <w:shd w:val="clear" w:color="auto" w:fill="auto"/>
    </w:rPr>
  </w:style>
  <w:style w:type="paragraph" w:customStyle="1" w:styleId="Considrant">
    <w:name w:val="Considérant"/>
    <w:basedOn w:val="Normal"/>
    <w:pPr>
      <w:numPr>
        <w:numId w:val="30"/>
      </w:numPr>
      <w:spacing w:before="120" w:after="120"/>
    </w:pPr>
    <w:rPr>
      <w:szCs w:val="24"/>
    </w:rPr>
  </w:style>
  <w:style w:type="paragraph" w:customStyle="1" w:styleId="Pagedecouverture">
    <w:name w:val="Page de couverture"/>
    <w:basedOn w:val="Normal"/>
    <w:next w:val="Normal"/>
    <w:pPr>
      <w:spacing w:after="0"/>
    </w:pPr>
    <w:rPr>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Heading1Char">
    <w:name w:val="Heading 1 Char"/>
    <w:link w:val="Heading1"/>
    <w:rPr>
      <w:b/>
      <w:smallCaps/>
      <w:sz w:val="24"/>
      <w:lang w:eastAsia="mt-MT"/>
    </w:r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paragraph" w:customStyle="1" w:styleId="Titreobjet">
    <w:name w:val="Titre objet"/>
    <w:basedOn w:val="Normal"/>
    <w:next w:val="Normal"/>
    <w:pPr>
      <w:spacing w:before="360" w:after="360"/>
      <w:jc w:val="center"/>
    </w:pPr>
    <w:rPr>
      <w:rFonts w:eastAsia="Calibr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Calibri"/>
      <w:szCs w:val="22"/>
    </w:rPr>
  </w:style>
  <w:style w:type="paragraph" w:customStyle="1" w:styleId="HeaderLandscape">
    <w:name w:val="HeaderLandscape"/>
    <w:basedOn w:val="Normal"/>
    <w:pPr>
      <w:tabs>
        <w:tab w:val="center" w:pos="7285"/>
        <w:tab w:val="right" w:pos="14003"/>
      </w:tabs>
      <w:spacing w:after="120"/>
    </w:pPr>
    <w:rPr>
      <w:rFonts w:eastAsia="Calibr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Calibr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t-MT" w:eastAsia="mt-MT" w:bidi="mt-M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header"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ignature" w:uiPriority="99"/>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Calibri"/>
      <w:szCs w:val="22"/>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Calibr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eastAsia="Calibri"/>
      <w:sz w:val="24"/>
      <w:szCs w:val="22"/>
      <w:lang w:eastAsia="mt-MT"/>
    </w:rPr>
  </w:style>
  <w:style w:type="character" w:customStyle="1" w:styleId="DateChar">
    <w:name w:val="Date Char"/>
    <w:link w:val="Date"/>
    <w:uiPriority w:val="99"/>
    <w:rPr>
      <w:sz w:val="24"/>
      <w:lang w:eastAsia="mt-MT"/>
    </w:rPr>
  </w:style>
  <w:style w:type="character" w:customStyle="1" w:styleId="SignatureChar">
    <w:name w:val="Signature Char"/>
    <w:link w:val="Signature"/>
    <w:uiPriority w:val="99"/>
    <w:rPr>
      <w:sz w:val="24"/>
      <w:lang w:eastAsia="mt-MT"/>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uiPriority w:val="99"/>
    <w:rPr>
      <w:rFonts w:eastAsia="Calibri"/>
      <w:sz w:val="24"/>
      <w:szCs w:val="22"/>
      <w:lang w:eastAsia="mt-MT"/>
    </w:r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mt-MT"/>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Pr>
      <w:lang w:eastAsia="mt-MT"/>
    </w:rPr>
  </w:style>
  <w:style w:type="character" w:styleId="FootnoteReference">
    <w:name w:val="footnote reference"/>
    <w:uiPriority w:val="99"/>
    <w:semiHidden/>
    <w:unhideWhenUsed/>
    <w:rPr>
      <w:vertAlign w:val="superscript"/>
    </w:rPr>
  </w:style>
  <w:style w:type="paragraph" w:styleId="ListParagraph">
    <w:name w:val="List Paragraph"/>
    <w:basedOn w:val="Normal"/>
    <w:uiPriority w:val="99"/>
    <w:qFormat/>
    <w:pPr>
      <w:spacing w:after="0"/>
      <w:ind w:left="720"/>
      <w:contextualSpacing/>
      <w:jc w:val="left"/>
    </w:pPr>
    <w:rPr>
      <w:rFonts w:eastAsia="Calibri"/>
      <w:szCs w:val="24"/>
    </w:rPr>
  </w:style>
  <w:style w:type="paragraph" w:customStyle="1" w:styleId="SFCLevel2BasicParagraph">
    <w:name w:val="SFC Level 2 Basic Paragraph"/>
    <w:basedOn w:val="Normal"/>
    <w:pPr>
      <w:numPr>
        <w:numId w:val="24"/>
      </w:numPr>
      <w:tabs>
        <w:tab w:val="num" w:pos="1492"/>
      </w:tabs>
      <w:ind w:left="1492"/>
      <w:jc w:val="left"/>
    </w:pPr>
    <w:rPr>
      <w:rFonts w:ascii="Arial" w:eastAsia="Calibri" w:hAnsi="Arial" w:cs="Arial"/>
      <w:sz w:val="22"/>
      <w:szCs w:val="22"/>
    </w:rPr>
  </w:style>
  <w:style w:type="paragraph" w:customStyle="1" w:styleId="Default">
    <w:name w:val="Default"/>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mt-MT"/>
    </w:rPr>
  </w:style>
  <w:style w:type="character" w:customStyle="1" w:styleId="CommentSubjectChar">
    <w:name w:val="Comment Subject Char"/>
    <w:link w:val="CommentSubject"/>
    <w:uiPriority w:val="99"/>
    <w:semiHidden/>
    <w:rPr>
      <w:b/>
      <w:bCs/>
      <w:lang w:eastAsia="mt-MT"/>
    </w:rPr>
  </w:style>
  <w:style w:type="character" w:customStyle="1" w:styleId="Marker">
    <w:name w:val="Marker"/>
    <w:rPr>
      <w:color w:val="0000FF"/>
      <w:shd w:val="clear" w:color="auto" w:fill="auto"/>
    </w:rPr>
  </w:style>
  <w:style w:type="paragraph" w:customStyle="1" w:styleId="Considrant">
    <w:name w:val="Considérant"/>
    <w:basedOn w:val="Normal"/>
    <w:pPr>
      <w:numPr>
        <w:numId w:val="30"/>
      </w:numPr>
      <w:spacing w:before="120" w:after="120"/>
    </w:pPr>
    <w:rPr>
      <w:szCs w:val="24"/>
    </w:rPr>
  </w:style>
  <w:style w:type="paragraph" w:customStyle="1" w:styleId="Pagedecouverture">
    <w:name w:val="Page de couverture"/>
    <w:basedOn w:val="Normal"/>
    <w:next w:val="Normal"/>
    <w:pPr>
      <w:spacing w:after="0"/>
    </w:pPr>
    <w:rPr>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Heading1Char">
    <w:name w:val="Heading 1 Char"/>
    <w:link w:val="Heading1"/>
    <w:rPr>
      <w:b/>
      <w:smallCaps/>
      <w:sz w:val="24"/>
      <w:lang w:eastAsia="mt-MT"/>
    </w:r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paragraph" w:customStyle="1" w:styleId="Titreobjet">
    <w:name w:val="Titre objet"/>
    <w:basedOn w:val="Normal"/>
    <w:next w:val="Normal"/>
    <w:pPr>
      <w:spacing w:before="360" w:after="360"/>
      <w:jc w:val="center"/>
    </w:pPr>
    <w:rPr>
      <w:rFonts w:eastAsia="Calibr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Calibri"/>
      <w:szCs w:val="22"/>
    </w:rPr>
  </w:style>
  <w:style w:type="paragraph" w:customStyle="1" w:styleId="HeaderLandscape">
    <w:name w:val="HeaderLandscape"/>
    <w:basedOn w:val="Normal"/>
    <w:pPr>
      <w:tabs>
        <w:tab w:val="center" w:pos="7285"/>
        <w:tab w:val="right" w:pos="14003"/>
      </w:tabs>
      <w:spacing w:after="120"/>
    </w:pPr>
    <w:rPr>
      <w:rFonts w:eastAsia="Calibr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Calibr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267">
      <w:bodyDiv w:val="1"/>
      <w:marLeft w:val="0"/>
      <w:marRight w:val="0"/>
      <w:marTop w:val="0"/>
      <w:marBottom w:val="0"/>
      <w:divBdr>
        <w:top w:val="none" w:sz="0" w:space="0" w:color="auto"/>
        <w:left w:val="none" w:sz="0" w:space="0" w:color="auto"/>
        <w:bottom w:val="none" w:sz="0" w:space="0" w:color="auto"/>
        <w:right w:val="none" w:sz="0" w:space="0" w:color="auto"/>
      </w:divBdr>
    </w:div>
    <w:div w:id="242302576">
      <w:bodyDiv w:val="1"/>
      <w:marLeft w:val="0"/>
      <w:marRight w:val="0"/>
      <w:marTop w:val="0"/>
      <w:marBottom w:val="0"/>
      <w:divBdr>
        <w:top w:val="none" w:sz="0" w:space="0" w:color="auto"/>
        <w:left w:val="none" w:sz="0" w:space="0" w:color="auto"/>
        <w:bottom w:val="none" w:sz="0" w:space="0" w:color="auto"/>
        <w:right w:val="none" w:sz="0" w:space="0" w:color="auto"/>
      </w:divBdr>
    </w:div>
    <w:div w:id="416438331">
      <w:bodyDiv w:val="1"/>
      <w:marLeft w:val="0"/>
      <w:marRight w:val="0"/>
      <w:marTop w:val="0"/>
      <w:marBottom w:val="0"/>
      <w:divBdr>
        <w:top w:val="none" w:sz="0" w:space="0" w:color="auto"/>
        <w:left w:val="none" w:sz="0" w:space="0" w:color="auto"/>
        <w:bottom w:val="none" w:sz="0" w:space="0" w:color="auto"/>
        <w:right w:val="none" w:sz="0" w:space="0" w:color="auto"/>
      </w:divBdr>
    </w:div>
    <w:div w:id="436757708">
      <w:bodyDiv w:val="1"/>
      <w:marLeft w:val="0"/>
      <w:marRight w:val="0"/>
      <w:marTop w:val="0"/>
      <w:marBottom w:val="0"/>
      <w:divBdr>
        <w:top w:val="none" w:sz="0" w:space="0" w:color="auto"/>
        <w:left w:val="none" w:sz="0" w:space="0" w:color="auto"/>
        <w:bottom w:val="none" w:sz="0" w:space="0" w:color="auto"/>
        <w:right w:val="none" w:sz="0" w:space="0" w:color="auto"/>
      </w:divBdr>
    </w:div>
    <w:div w:id="473522184">
      <w:bodyDiv w:val="1"/>
      <w:marLeft w:val="0"/>
      <w:marRight w:val="0"/>
      <w:marTop w:val="0"/>
      <w:marBottom w:val="0"/>
      <w:divBdr>
        <w:top w:val="none" w:sz="0" w:space="0" w:color="auto"/>
        <w:left w:val="none" w:sz="0" w:space="0" w:color="auto"/>
        <w:bottom w:val="none" w:sz="0" w:space="0" w:color="auto"/>
        <w:right w:val="none" w:sz="0" w:space="0" w:color="auto"/>
      </w:divBdr>
    </w:div>
    <w:div w:id="618997096">
      <w:bodyDiv w:val="1"/>
      <w:marLeft w:val="0"/>
      <w:marRight w:val="0"/>
      <w:marTop w:val="0"/>
      <w:marBottom w:val="0"/>
      <w:divBdr>
        <w:top w:val="none" w:sz="0" w:space="0" w:color="auto"/>
        <w:left w:val="none" w:sz="0" w:space="0" w:color="auto"/>
        <w:bottom w:val="none" w:sz="0" w:space="0" w:color="auto"/>
        <w:right w:val="none" w:sz="0" w:space="0" w:color="auto"/>
      </w:divBdr>
    </w:div>
    <w:div w:id="754591778">
      <w:bodyDiv w:val="1"/>
      <w:marLeft w:val="0"/>
      <w:marRight w:val="0"/>
      <w:marTop w:val="0"/>
      <w:marBottom w:val="0"/>
      <w:divBdr>
        <w:top w:val="none" w:sz="0" w:space="0" w:color="auto"/>
        <w:left w:val="none" w:sz="0" w:space="0" w:color="auto"/>
        <w:bottom w:val="none" w:sz="0" w:space="0" w:color="auto"/>
        <w:right w:val="none" w:sz="0" w:space="0" w:color="auto"/>
      </w:divBdr>
    </w:div>
    <w:div w:id="898520892">
      <w:bodyDiv w:val="1"/>
      <w:marLeft w:val="0"/>
      <w:marRight w:val="0"/>
      <w:marTop w:val="0"/>
      <w:marBottom w:val="0"/>
      <w:divBdr>
        <w:top w:val="none" w:sz="0" w:space="0" w:color="auto"/>
        <w:left w:val="none" w:sz="0" w:space="0" w:color="auto"/>
        <w:bottom w:val="none" w:sz="0" w:space="0" w:color="auto"/>
        <w:right w:val="none" w:sz="0" w:space="0" w:color="auto"/>
      </w:divBdr>
    </w:div>
    <w:div w:id="1066805028">
      <w:bodyDiv w:val="1"/>
      <w:marLeft w:val="0"/>
      <w:marRight w:val="0"/>
      <w:marTop w:val="0"/>
      <w:marBottom w:val="0"/>
      <w:divBdr>
        <w:top w:val="none" w:sz="0" w:space="0" w:color="auto"/>
        <w:left w:val="none" w:sz="0" w:space="0" w:color="auto"/>
        <w:bottom w:val="none" w:sz="0" w:space="0" w:color="auto"/>
        <w:right w:val="none" w:sz="0" w:space="0" w:color="auto"/>
      </w:divBdr>
    </w:div>
    <w:div w:id="1173303081">
      <w:bodyDiv w:val="1"/>
      <w:marLeft w:val="0"/>
      <w:marRight w:val="0"/>
      <w:marTop w:val="0"/>
      <w:marBottom w:val="0"/>
      <w:divBdr>
        <w:top w:val="none" w:sz="0" w:space="0" w:color="auto"/>
        <w:left w:val="none" w:sz="0" w:space="0" w:color="auto"/>
        <w:bottom w:val="none" w:sz="0" w:space="0" w:color="auto"/>
        <w:right w:val="none" w:sz="0" w:space="0" w:color="auto"/>
      </w:divBdr>
    </w:div>
    <w:div w:id="1465348169">
      <w:bodyDiv w:val="1"/>
      <w:marLeft w:val="0"/>
      <w:marRight w:val="0"/>
      <w:marTop w:val="0"/>
      <w:marBottom w:val="0"/>
      <w:divBdr>
        <w:top w:val="none" w:sz="0" w:space="0" w:color="auto"/>
        <w:left w:val="none" w:sz="0" w:space="0" w:color="auto"/>
        <w:bottom w:val="none" w:sz="0" w:space="0" w:color="auto"/>
        <w:right w:val="none" w:sz="0" w:space="0" w:color="auto"/>
      </w:divBdr>
    </w:div>
    <w:div w:id="1821531779">
      <w:bodyDiv w:val="1"/>
      <w:marLeft w:val="0"/>
      <w:marRight w:val="0"/>
      <w:marTop w:val="0"/>
      <w:marBottom w:val="0"/>
      <w:divBdr>
        <w:top w:val="none" w:sz="0" w:space="0" w:color="auto"/>
        <w:left w:val="none" w:sz="0" w:space="0" w:color="auto"/>
        <w:bottom w:val="none" w:sz="0" w:space="0" w:color="auto"/>
        <w:right w:val="none" w:sz="0" w:space="0" w:color="auto"/>
      </w:divBdr>
    </w:div>
    <w:div w:id="1848708310">
      <w:bodyDiv w:val="1"/>
      <w:marLeft w:val="0"/>
      <w:marRight w:val="0"/>
      <w:marTop w:val="0"/>
      <w:marBottom w:val="0"/>
      <w:divBdr>
        <w:top w:val="none" w:sz="0" w:space="0" w:color="auto"/>
        <w:left w:val="none" w:sz="0" w:space="0" w:color="auto"/>
        <w:bottom w:val="none" w:sz="0" w:space="0" w:color="auto"/>
        <w:right w:val="none" w:sz="0" w:space="0" w:color="auto"/>
      </w:divBdr>
    </w:div>
    <w:div w:id="1857110517">
      <w:bodyDiv w:val="1"/>
      <w:marLeft w:val="0"/>
      <w:marRight w:val="0"/>
      <w:marTop w:val="0"/>
      <w:marBottom w:val="0"/>
      <w:divBdr>
        <w:top w:val="none" w:sz="0" w:space="0" w:color="auto"/>
        <w:left w:val="none" w:sz="0" w:space="0" w:color="auto"/>
        <w:bottom w:val="none" w:sz="0" w:space="0" w:color="auto"/>
        <w:right w:val="none" w:sz="0" w:space="0" w:color="auto"/>
      </w:divBdr>
    </w:div>
    <w:div w:id="1882013040">
      <w:bodyDiv w:val="1"/>
      <w:marLeft w:val="0"/>
      <w:marRight w:val="0"/>
      <w:marTop w:val="0"/>
      <w:marBottom w:val="0"/>
      <w:divBdr>
        <w:top w:val="none" w:sz="0" w:space="0" w:color="auto"/>
        <w:left w:val="none" w:sz="0" w:space="0" w:color="auto"/>
        <w:bottom w:val="none" w:sz="0" w:space="0" w:color="auto"/>
        <w:right w:val="none" w:sz="0" w:space="0" w:color="auto"/>
      </w:divBdr>
    </w:div>
    <w:div w:id="20912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EurolookProperties>
  <ProductCustomizationId/>
  <Created>
    <Version>4.5</Version>
    <Date>2019-01-18T16:12:37</Date>
    <Language>EN</Language>
  </Created>
  <Edited>
    <Version>10.0.38495.0</Version>
    <Date>2019-01-29T12:06:32</Date>
  </Edited>
  <DocumentModel>
    <Id>0b054141-88b1-4efb-8c91-2905cb0bed6c</Id>
    <Name>Note</Name>
  </DocumentModel>
  <DocumentDate/>
  <DocumentVersion/>
  <CompatibilityMode>Eurolook4x</CompatibilityMode>
  <Address/>
</EurolookProperties>
</file>

<file path=customXml/item3.xml><?xml version="1.0" encoding="utf-8"?>
<Author Role="Creator">
  <Id>69e3303e-be34-48f9-a458-3337d4ba15a8</Id>
  <Names>
    <Latin>
      <FirstName>Gerd</FirstName>
      <LastName>Heinen</LastName>
    </Latin>
    <Greek>
      <FirstName/>
      <LastName/>
    </Greek>
    <Cyrillic>
      <FirstName/>
      <LastName/>
    </Cyrillic>
    <DocumentScript>
      <FirstName>Gerd</FirstName>
      <LastName>Heinen</LastName>
      <FullName>Gerd Heinen</FullName>
    </DocumentScript>
  </Names>
  <Initials>GH</Initials>
  <Gender>m</Gender>
  <Email>Gerd.HEINEN@ec.europa.eu</Email>
  <Service>FISMA.C.2</Service>
  <Function ShowInSignature="true"/>
  <WebAddress/>
  <InheritedWebAddress>WebAddress</InheritedWebAddress>
  <OrgaEntity1>
    <Id>e24f19e5-8937-4b02-9100-41ac639c581c</Id>
    <LogicalLevel>1</LogicalLevel>
    <Name>FISMA</Name>
    <HeadLine1>DIRECTORATE-GENERAL FOR FINANCIAL STABILITY, FINANCIAL SERVICES AND CAPITAL MARKETS UNION</HeadLine1>
    <HeadLine2/>
    <PrimaryAddressId>f03b5801-04c9-4931-aa17-c6d6c70bc579</PrimaryAddressId>
    <SecondaryAddressId/>
    <WebAddress>WebAddress</WebAddress>
    <InheritedWebAddress>WebAddress</InheritedWebAddress>
    <ShowInHeader>true</ShowInHeader>
  </OrgaEntity1>
  <OrgaEntity2>
    <Id>bee81f75-72c8-4129-87c7-657bd7e074d9</Id>
    <LogicalLevel>2</LogicalLevel>
    <Name>FISMA.C</Name>
    <HeadLine1>Financial Markets</HeadLine1>
    <HeadLine2/>
    <PrimaryAddressId>f03b5801-04c9-4931-aa17-c6d6c70bc579</PrimaryAddressId>
    <SecondaryAddressId/>
    <WebAddress/>
    <InheritedWebAddress>WebAddress</InheritedWebAddress>
    <ShowInHeader>true</ShowInHeader>
  </OrgaEntity2>
  <OrgaEntity3>
    <Id>9f8f5b96-bb41-40b9-9f31-a7b56fe3aec1</Id>
    <LogicalLevel>3</LogicalLevel>
    <Name>FISMA.C.2</Name>
    <HeadLine1>Financial markets infrastructure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+32 229 80342</Phone>
    <Office>SPA2 03/051</Office>
  </MainWorkplace>
  <Workplaces>
    <Workplace IsMain="false">
      <AddressId>1264fb81-f6bb-475e-9f9d-a937d3be6ee2</AddressId>
      <Fax/>
      <Phone/>
      <Office/>
    </Workplace>
    <Workplace IsMain="true">
      <AddressId>f03b5801-04c9-4931-aa17-c6d6c70bc579</AddressId>
      <Fax/>
      <Phone>+32 229 80342</Phone>
      <Office>SPA2 03/051</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1247D1C-A88D-40A3-8935-74F19CDDEE2F}">
  <ds:schemaRefs/>
</ds:datastoreItem>
</file>

<file path=customXml/itemProps2.xml><?xml version="1.0" encoding="utf-8"?>
<ds:datastoreItem xmlns:ds="http://schemas.openxmlformats.org/officeDocument/2006/customXml" ds:itemID="{8A84C37F-D4F4-4A2B-9BB9-99FE8115BF10}">
  <ds:schemaRefs/>
</ds:datastoreItem>
</file>

<file path=customXml/itemProps3.xml><?xml version="1.0" encoding="utf-8"?>
<ds:datastoreItem xmlns:ds="http://schemas.openxmlformats.org/officeDocument/2006/customXml" ds:itemID="{4A4B33C6-E6CE-4B3A-BFD5-AEAD3FB6408B}">
  <ds:schemaRefs/>
</ds:datastoreItem>
</file>

<file path=customXml/itemProps4.xml><?xml version="1.0" encoding="utf-8"?>
<ds:datastoreItem xmlns:ds="http://schemas.openxmlformats.org/officeDocument/2006/customXml" ds:itemID="{1E37F87D-B385-481A-BA01-A02BFE65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945</Words>
  <Characters>6839</Characters>
  <Application>Microsoft Office Word</Application>
  <DocSecurity>0</DocSecurity>
  <PresentationFormat>Microsoft Word 14.0</PresentationFormat>
  <Lines>102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WES PDFC Administrator</cp:lastModifiedBy>
  <cp:revision>16</cp:revision>
  <cp:lastPrinted>2013-03-05T16:17:00Z</cp:lastPrinted>
  <dcterms:created xsi:type="dcterms:W3CDTF">2019-01-29T12:57:00Z</dcterms:created>
  <dcterms:modified xsi:type="dcterms:W3CDTF">2019-01-30T09:05:00Z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Muriel Jakubowicz</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DocStatus">
    <vt:lpwstr>Green</vt:lpwstr>
  </property>
  <property fmtid="{D5CDD505-2E9C-101B-9397-08002B2CF9AE}" pid="14" name="Level of sensitivity">
    <vt:lpwstr>Standard treatment</vt:lpwstr>
  </property>
  <property fmtid="{D5CDD505-2E9C-101B-9397-08002B2CF9AE}" pid="15" name="Part">
    <vt:lpwstr>1</vt:lpwstr>
  </property>
  <property fmtid="{D5CDD505-2E9C-101B-9397-08002B2CF9AE}" pid="16" name="Total parts">
    <vt:lpwstr>1</vt:lpwstr>
  </property>
</Properties>
</file>