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D20C1E8-9786-4EB9-A070-ACFC4C42D3EE" style="width:450.75pt;height:3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417" w:bottom="1134" w:left="1417" w:header="709" w:footer="709" w:gutter="0"/>
          <w:pgNumType w:start="1"/>
          <w:cols w:space="720"/>
          <w:docGrid w:linePitch="326"/>
        </w:sectPr>
      </w:pPr>
    </w:p>
    <w:p>
      <w:pPr>
        <w:pStyle w:val="Style1"/>
        <w:numPr>
          <w:ilvl w:val="0"/>
          <w:numId w:val="22"/>
        </w:numPr>
        <w:rPr>
          <w:noProof/>
        </w:rPr>
      </w:pPr>
      <w:bookmarkStart w:id="1" w:name="_GoBack"/>
      <w:bookmarkEnd w:id="1"/>
      <w:r>
        <w:rPr>
          <w:noProof/>
        </w:rPr>
        <w:lastRenderedPageBreak/>
        <w:t>Въведение</w:t>
      </w:r>
    </w:p>
    <w:p>
      <w:pPr>
        <w:spacing w:after="240"/>
        <w:jc w:val="both"/>
        <w:rPr>
          <w:noProof/>
        </w:rPr>
      </w:pPr>
      <w:r>
        <w:rPr>
          <w:noProof/>
        </w:rPr>
        <w:t>С Регламента относно извънборсовите деривати, централните контрагенти и регистрите на трансакции (РЕПИ) от 4 юли 2012 г. се изисква, наред с другото, централен клиринг на всички стандартизирани договори за извънборсови деривати, докладване на всички договори за деривати пред регистрите на трансакции и прилагане на техники за намаляване на риска за сделките, които не преминават през централен клиринг.</w:t>
      </w:r>
    </w:p>
    <w:p>
      <w:pPr>
        <w:spacing w:after="240"/>
        <w:jc w:val="both"/>
        <w:rPr>
          <w:noProof/>
        </w:rPr>
      </w:pPr>
      <w:r>
        <w:rPr>
          <w:noProof/>
        </w:rPr>
        <w:t>По силата на член 1, параграф 4 от РЕПИ централните банки и публичните органи на Съюза, на които е възложено или които участват в управлението на държавния дълг, са освободени от неговите разпоредби и поради това не подлежат на тези задължения.</w:t>
      </w:r>
    </w:p>
    <w:p>
      <w:pPr>
        <w:spacing w:after="240"/>
        <w:jc w:val="both"/>
        <w:rPr>
          <w:noProof/>
        </w:rPr>
      </w:pPr>
      <w:r>
        <w:rPr>
          <w:noProof/>
        </w:rPr>
        <w:t>С член 1, параграф 6 от РЕПИ Европейската комисия се оправомощава да изменя чрез делегирани актове списъка на изключените от обхвата му субекти, ако прецени, след като е анализирала международното третиране на централните банки и публичните органи, които управляват държавния дълг в други юрисдикции, и след като е информирала Европейския парламент и Съвета за резултатите, че е необходимо паричните отговорности на тези централни банки и публични органи от трети държави, на които е възложено или които участват в управлението на държавния дълг, да бъдат освободени от задължението за клиринг и за докладване, както и от задължението за прилагане на техники за намаляване на риска.</w:t>
      </w:r>
    </w:p>
    <w:p>
      <w:pPr>
        <w:pStyle w:val="Style1"/>
        <w:numPr>
          <w:ilvl w:val="0"/>
          <w:numId w:val="22"/>
        </w:numPr>
        <w:rPr>
          <w:noProof/>
        </w:rPr>
      </w:pPr>
      <w:r>
        <w:rPr>
          <w:noProof/>
        </w:rPr>
        <w:t>Предишните оценки на Комисията</w:t>
      </w:r>
    </w:p>
    <w:p>
      <w:pPr>
        <w:spacing w:after="240"/>
        <w:jc w:val="both"/>
        <w:rPr>
          <w:noProof/>
        </w:rPr>
      </w:pPr>
      <w:r>
        <w:rPr>
          <w:noProof/>
        </w:rPr>
        <w:t xml:space="preserve">Комисията извърши два прегледа на международното третиране, що се отнася до сделките с извънборсови деривати, на централни банки и публични органи, на които е възложено или които участват в управлението на държавния дълг. </w:t>
      </w:r>
    </w:p>
    <w:p>
      <w:pPr>
        <w:spacing w:after="240"/>
        <w:jc w:val="both"/>
        <w:rPr>
          <w:noProof/>
        </w:rPr>
      </w:pPr>
      <w:r>
        <w:rPr>
          <w:noProof/>
        </w:rPr>
        <w:t>Първият преглед бе на нормативните уредби в Япония, Швейцария, Съединените щати, Австралия, Канада и Хонконг, като през 2013 г.</w:t>
      </w:r>
      <w:r>
        <w:rPr>
          <w:rStyle w:val="FootnoteReference"/>
          <w:noProof/>
        </w:rPr>
        <w:footnoteReference w:id="1"/>
      </w:r>
      <w:r>
        <w:rPr>
          <w:noProof/>
        </w:rPr>
        <w:t xml:space="preserve"> се стигна до заключението, че Япония и Съединените щати удовлетворяват изискванията, за да бъдат техните централни банки и публични органи, на които е възложено управлението на държавния дълг, добавени към списъка в член 1, параграф 4 от РЕПИ на освободените от изискванията субекти</w:t>
      </w:r>
      <w:r>
        <w:rPr>
          <w:rStyle w:val="FootnoteReference"/>
          <w:noProof/>
        </w:rPr>
        <w:footnoteReference w:id="2"/>
      </w:r>
      <w:r>
        <w:rPr>
          <w:noProof/>
        </w:rPr>
        <w:t xml:space="preserve">. </w:t>
      </w:r>
    </w:p>
    <w:p>
      <w:pPr>
        <w:spacing w:after="240"/>
        <w:jc w:val="both"/>
        <w:rPr>
          <w:b/>
          <w:bCs/>
          <w:noProof/>
        </w:rPr>
      </w:pPr>
      <w:r>
        <w:rPr>
          <w:noProof/>
        </w:rPr>
        <w:t>Вторият преглед бе на нормативните уредби в Австралия, Канада, Хонконг, Мексико, Сингапур и Швейцария, като през 2017 г.</w:t>
      </w:r>
      <w:r>
        <w:rPr>
          <w:rStyle w:val="FootnoteReference"/>
          <w:noProof/>
        </w:rPr>
        <w:footnoteReference w:id="3"/>
      </w:r>
      <w:r>
        <w:rPr>
          <w:noProof/>
        </w:rPr>
        <w:t xml:space="preserve"> се стигна до заключението, че всички тези юрисдикции удовлетворяват изискванията, за да бъдат техните централни банки и публични органи, на които е възложено управлението на държавния дълг, добавени към списъка в член 1, параграф 4 от РЕПИ на освободените от изискванията субекти</w:t>
      </w:r>
      <w:r>
        <w:rPr>
          <w:rStyle w:val="FootnoteReference"/>
          <w:noProof/>
        </w:rPr>
        <w:footnoteReference w:id="4"/>
      </w:r>
      <w:r>
        <w:rPr>
          <w:noProof/>
        </w:rPr>
        <w:t xml:space="preserve">. </w:t>
      </w:r>
    </w:p>
    <w:p>
      <w:pPr>
        <w:pStyle w:val="Heading1"/>
        <w:keepNext/>
        <w:numPr>
          <w:ilvl w:val="0"/>
          <w:numId w:val="22"/>
        </w:numPr>
        <w:tabs>
          <w:tab w:val="left" w:pos="480"/>
        </w:tabs>
        <w:spacing w:before="240" w:after="240"/>
        <w:jc w:val="both"/>
        <w:rPr>
          <w:b/>
          <w:bCs/>
          <w:smallCaps/>
          <w:noProof/>
        </w:rPr>
      </w:pPr>
      <w:r>
        <w:rPr>
          <w:b/>
          <w:smallCaps/>
          <w:noProof/>
        </w:rPr>
        <w:t>Настоящата оценка</w:t>
      </w:r>
    </w:p>
    <w:p>
      <w:pPr>
        <w:spacing w:after="240"/>
        <w:jc w:val="both"/>
        <w:rPr>
          <w:noProof/>
        </w:rPr>
      </w:pPr>
      <w:r>
        <w:rPr>
          <w:noProof/>
        </w:rPr>
        <w:t>Тази оценка е породена от уведомлението от Обединеното кралство от 29 март 2017 г. за намерението му да се оттегли от Съюза по силата на член 50 от Договора за Европейския съюз. Когато правото на Съюза престане да се прилага спрямо и в Обединеното кралство, освобождаването в член 1, параграф 4, буква а) от РЕПИ за централните банки и публичните органи на Съюза, на които е възложено или които участват в управлението на държавния дълг, ще престане да се прилага за централната банка и управляващите държавния дълг органи на Обединеното кралство.</w:t>
      </w:r>
    </w:p>
    <w:p>
      <w:pPr>
        <w:spacing w:after="240"/>
        <w:jc w:val="both"/>
        <w:rPr>
          <w:noProof/>
        </w:rPr>
      </w:pPr>
      <w:r>
        <w:rPr>
          <w:noProof/>
        </w:rPr>
        <w:t xml:space="preserve">До оттеглянето на Обединеното кралство от Съюза, РЕПИ е пряко приложим в Обединеното кралство, в т.ч. разпоредбите му относно задължението за клиринг и за докладване, както и относно техниките за намаляване на риска. На 26 юни 2018 г., в своя Закон за (оттегляне от) Европейския съюз от 2018 г. Обединеното кралство въведе разпоредбите на РЕПИ в националното си законодателство; те ще се прилагат от датата на оттеглянето на държавата от Съюза. </w:t>
      </w:r>
      <w:r>
        <w:rPr>
          <w:noProof/>
          <w:color w:val="000000"/>
        </w:rPr>
        <w:t>Обединеното кралство, с цел да бъдат отстранени системни грешки или недостатъци, произтичащи от въвеждането на РЕПИ в националното му законодателство, ще измени</w:t>
      </w:r>
      <w:r>
        <w:rPr>
          <w:rStyle w:val="FootnoteReference"/>
          <w:noProof/>
        </w:rPr>
        <w:footnoteReference w:id="5"/>
      </w:r>
      <w:r>
        <w:rPr>
          <w:noProof/>
          <w:color w:val="000000"/>
        </w:rPr>
        <w:t xml:space="preserve"> или вече е изменило</w:t>
      </w:r>
      <w:r>
        <w:rPr>
          <w:rStyle w:val="FootnoteReference"/>
          <w:noProof/>
        </w:rPr>
        <w:footnoteReference w:id="6"/>
      </w:r>
      <w:r>
        <w:rPr>
          <w:noProof/>
          <w:color w:val="000000"/>
        </w:rPr>
        <w:t xml:space="preserve"> Закона за финансовите услуги и пазари от 2000 г. („Financial Services and Markets Act 2000“ — ЗФУП) и националното си законодателство, в което е внедрен РЕПИ, например прехвърляйки на министерството на финансите или на други свои органи възложените на Комисията или на Европейския орган за ценни книжа и пазари („ЕОЦКП“) отговорности и задачи. </w:t>
      </w:r>
      <w:r>
        <w:rPr>
          <w:noProof/>
        </w:rPr>
        <w:t xml:space="preserve">Оценката в настоящия доклад се основава на тази нормативна уредба.  </w:t>
      </w:r>
    </w:p>
    <w:p>
      <w:pPr>
        <w:pStyle w:val="Style1"/>
        <w:numPr>
          <w:ilvl w:val="0"/>
          <w:numId w:val="22"/>
        </w:numPr>
        <w:rPr>
          <w:noProof/>
        </w:rPr>
      </w:pPr>
      <w:r>
        <w:rPr>
          <w:noProof/>
        </w:rPr>
        <w:t>Напредък в реформите на пазарите на извънборсови деривати</w:t>
      </w:r>
    </w:p>
    <w:p>
      <w:pPr>
        <w:pStyle w:val="HeaderCoverPage"/>
        <w:numPr>
          <w:ilvl w:val="0"/>
          <w:numId w:val="0"/>
        </w:numPr>
        <w:rPr>
          <w:rFonts w:eastAsia="MS Gothic"/>
          <w:noProof/>
          <w:color w:val="000000"/>
        </w:rPr>
      </w:pPr>
      <w:r>
        <w:rPr>
          <w:noProof/>
          <w:u w:val="single"/>
        </w:rPr>
        <w:t>Задължение за клиринг</w:t>
      </w:r>
    </w:p>
    <w:p>
      <w:pPr>
        <w:jc w:val="both"/>
        <w:rPr>
          <w:rFonts w:eastAsia="MS Gothic"/>
          <w:noProof/>
          <w:color w:val="000000"/>
          <w:sz w:val="22"/>
          <w:szCs w:val="22"/>
        </w:rPr>
      </w:pPr>
      <w:r>
        <w:rPr>
          <w:noProof/>
        </w:rPr>
        <w:t>Съгласно проектите на вътрешни нормативни актове, с които РЕПИ се въвежда в правото на Обединеното кралство, задължението за клиринг на сделките с извънборсови деривати ще бъде запазено.</w:t>
      </w:r>
      <w:r>
        <w:rPr>
          <w:noProof/>
          <w:color w:val="000000"/>
          <w:sz w:val="22"/>
        </w:rPr>
        <w:t xml:space="preserve"> </w:t>
      </w:r>
      <w:r>
        <w:rPr>
          <w:noProof/>
          <w:color w:val="000000"/>
        </w:rPr>
        <w:t xml:space="preserve">Задължението за клиринг по принцип ще обхваща всички сделки с извънборсови деривати, като изключенията ще бъдат подобни на предвидените в РЕПИ. </w:t>
      </w:r>
    </w:p>
    <w:p>
      <w:pPr>
        <w:rPr>
          <w:rFonts w:eastAsia="MS Gothic"/>
          <w:noProof/>
          <w:u w:val="single"/>
        </w:rPr>
      </w:pPr>
    </w:p>
    <w:p>
      <w:pPr>
        <w:spacing w:after="240"/>
        <w:jc w:val="both"/>
        <w:rPr>
          <w:rFonts w:eastAsia="MS Gothic"/>
          <w:noProof/>
          <w:u w:val="single"/>
        </w:rPr>
      </w:pPr>
      <w:r>
        <w:rPr>
          <w:noProof/>
          <w:u w:val="single"/>
        </w:rPr>
        <w:t>Задължение за докладване</w:t>
      </w:r>
    </w:p>
    <w:p>
      <w:pPr>
        <w:spacing w:after="240"/>
        <w:jc w:val="both"/>
        <w:rPr>
          <w:rFonts w:eastAsia="MS Gothic"/>
          <w:noProof/>
          <w:u w:val="single"/>
        </w:rPr>
      </w:pPr>
      <w:r>
        <w:rPr>
          <w:noProof/>
        </w:rPr>
        <w:t>Съгласно проектите на вътрешни нормативни актове, с които РЕПИ се въвежда в правото на Обединеното кралство, разпоредбите относно задължението за докладване на всички сделки с извънборсови деривати ще бъдат запазени, в т.ч. разпоредбите относно това на кои контрагенти е възложено да докладват дадената сделка и каква информация трябва да бъде докладвана.</w:t>
      </w:r>
    </w:p>
    <w:p>
      <w:pPr>
        <w:spacing w:after="240"/>
        <w:jc w:val="both"/>
        <w:rPr>
          <w:rFonts w:eastAsia="MS Gothic"/>
          <w:noProof/>
          <w:u w:val="single"/>
        </w:rPr>
      </w:pPr>
      <w:r>
        <w:rPr>
          <w:noProof/>
          <w:u w:val="single"/>
        </w:rPr>
        <w:t>Техники за намаляване на риска</w:t>
      </w:r>
    </w:p>
    <w:p>
      <w:pPr>
        <w:spacing w:after="240"/>
        <w:jc w:val="both"/>
        <w:rPr>
          <w:rFonts w:eastAsia="MS Gothic"/>
          <w:noProof/>
        </w:rPr>
      </w:pPr>
      <w:r>
        <w:rPr>
          <w:noProof/>
        </w:rPr>
        <w:t xml:space="preserve">Съгласно проектите на вътрешни нормативни актове, с които РЕПИ се въвежда в правото на Обединеното кралство, разпоредбите относно необходимото прилагане на техники за намаляване на риска за сделките, които не преминават през централен клиринг, ще бъдат запазени, в т.ч. разпоредбите относно своевременното потвърждаване на сделките, портфейлното съгласуване и процедурите за разрешаване на спорове. </w:t>
      </w:r>
    </w:p>
    <w:p>
      <w:pPr>
        <w:pStyle w:val="Style1"/>
        <w:numPr>
          <w:ilvl w:val="0"/>
          <w:numId w:val="22"/>
        </w:numPr>
        <w:rPr>
          <w:rFonts w:eastAsia="MS Gothic"/>
          <w:noProof/>
        </w:rPr>
      </w:pPr>
      <w:r>
        <w:rPr>
          <w:noProof/>
        </w:rPr>
        <w:t>Международно третиране на централните банки и на органите, управляващи държавния дълг</w:t>
      </w:r>
    </w:p>
    <w:p>
      <w:pPr>
        <w:pStyle w:val="HeaderCoverPage"/>
        <w:keepNext/>
        <w:numPr>
          <w:ilvl w:val="0"/>
          <w:numId w:val="0"/>
        </w:numPr>
        <w:rPr>
          <w:rFonts w:eastAsia="MS Gothic"/>
          <w:noProof/>
          <w:u w:val="single"/>
        </w:rPr>
      </w:pPr>
      <w:r>
        <w:rPr>
          <w:noProof/>
          <w:u w:val="single"/>
        </w:rPr>
        <w:t>Задължение за клиринг</w:t>
      </w:r>
    </w:p>
    <w:p>
      <w:pPr>
        <w:pStyle w:val="HeaderCoverPage"/>
        <w:numPr>
          <w:ilvl w:val="0"/>
          <w:numId w:val="0"/>
        </w:numPr>
        <w:rPr>
          <w:rFonts w:eastAsia="MS Gothic"/>
          <w:noProof/>
        </w:rPr>
      </w:pPr>
      <w:r>
        <w:rPr>
          <w:noProof/>
        </w:rPr>
        <w:t>Съгласно проектите на вътрешни нормативни актове, с които РЕПИ се въвежда в правото на Обединеното кралство</w:t>
      </w:r>
      <w:r>
        <w:rPr>
          <w:rStyle w:val="FootnoteReference"/>
          <w:noProof/>
        </w:rPr>
        <w:footnoteReference w:id="7"/>
      </w:r>
      <w:r>
        <w:rPr>
          <w:noProof/>
        </w:rPr>
        <w:t xml:space="preserve">, от задължението за клиринг ще бъдат освободени Обединеното кралство, както и някои чуждестранни централни банки и други публични органи, на които е възложено или които участват в управлението на държавния дълг. С нормативен акт министерството на финансите ще може да причислява към това освобождаване допълнителни чуждестранни юрисдикции. Освободени от задължението за клиринг ще бъдат и Банката за международни разплащания, както и някои многостранни банки за развитие и други публични субекти, притежавани от централните правителства. </w:t>
      </w:r>
    </w:p>
    <w:p>
      <w:pPr>
        <w:spacing w:after="240"/>
        <w:jc w:val="both"/>
        <w:rPr>
          <w:rFonts w:eastAsia="MS Gothic"/>
          <w:noProof/>
          <w:u w:val="single"/>
        </w:rPr>
      </w:pPr>
      <w:r>
        <w:rPr>
          <w:noProof/>
          <w:u w:val="single"/>
        </w:rPr>
        <w:t>Задължение за докладване</w:t>
      </w:r>
    </w:p>
    <w:p>
      <w:pPr>
        <w:spacing w:after="240"/>
        <w:jc w:val="both"/>
        <w:rPr>
          <w:rFonts w:eastAsia="MS Gothic"/>
          <w:noProof/>
        </w:rPr>
      </w:pPr>
      <w:r>
        <w:rPr>
          <w:noProof/>
        </w:rPr>
        <w:t>Що се отнася до задължението за клиринг, Обединеното кралство възнамерява да освободи от задължението за докладване себе си, както и някои чуждестранни централни банки и други публични органи, на които е възложено или които участват в управлението на държавния дълг. Към това освобождаване ще могат да бъдат причислени допълнителни чуждестранни юрисдикции. Освободена от задължението за докладване ще бъде и Банката за международни разплащания.</w:t>
      </w:r>
    </w:p>
    <w:p>
      <w:pPr>
        <w:spacing w:after="240"/>
        <w:jc w:val="both"/>
        <w:rPr>
          <w:rFonts w:eastAsia="MS Gothic"/>
          <w:noProof/>
          <w:u w:val="single"/>
        </w:rPr>
      </w:pPr>
      <w:r>
        <w:rPr>
          <w:noProof/>
          <w:u w:val="single"/>
        </w:rPr>
        <w:t>Техники за намаляване на риска</w:t>
      </w:r>
    </w:p>
    <w:p>
      <w:pPr>
        <w:spacing w:after="240"/>
        <w:jc w:val="both"/>
        <w:rPr>
          <w:rFonts w:eastAsia="MS Gothic"/>
          <w:noProof/>
        </w:rPr>
      </w:pPr>
      <w:r>
        <w:rPr>
          <w:noProof/>
        </w:rPr>
        <w:t xml:space="preserve">Съгласно проектите на вътрешни нормативни актове, от задължението за прилагане на техники за намаляване на риска за сделките с извънборсови деривати, които не преминават през централен клиринг, ще бъдат освободени Обединеното кралство, както и някои чуждестранни централни банки и други публични органи, на които е възложено или които участват в управлението на държавния дълг. Министерството на финансите ще може да причислява към това освобождаване допълнителни чуждестранни юрисдикции. Освобождаването ще се прилага и за Банката за международни разплащания, както и за някои многостранни банки за развитие и други публични субекти, притежавани от централните правителства. </w:t>
      </w:r>
    </w:p>
    <w:p>
      <w:pPr>
        <w:pStyle w:val="Style1"/>
        <w:numPr>
          <w:ilvl w:val="0"/>
          <w:numId w:val="22"/>
        </w:numPr>
        <w:rPr>
          <w:rFonts w:eastAsia="MS Gothic"/>
          <w:noProof/>
        </w:rPr>
      </w:pPr>
      <w:r>
        <w:rPr>
          <w:noProof/>
        </w:rPr>
        <w:t>Заключение</w:t>
      </w:r>
    </w:p>
    <w:p>
      <w:pPr>
        <w:pStyle w:val="Text1"/>
        <w:ind w:left="0"/>
        <w:rPr>
          <w:noProof/>
        </w:rPr>
      </w:pPr>
      <w:r>
        <w:rPr>
          <w:noProof/>
        </w:rPr>
        <w:t xml:space="preserve">Ако обявеното законодателство влезе в сила, в Обединеното кралство, след оттеглянето му от Съюза, ще действат нормите, с които се прилагат договорените в Питсбърг през 2009 г. реформи на извънборсовите деривати. Съгласно проектите на вътрешни нормативни актове, с които РЕПИ се въвежда в правото на Обединеното кралство, самото Обединено кралство, както и някои централни банки и публични органи от трети държави, на които е възложено или които участват в управлението на държавния дълг, са освободени от задълженията за клиринг и за докладване, както и от задължението да прилагат техники за намаляване на риска.  В проектите на вътрешни нормативни актове на Обединеното кралство се съдържат и разпоредби, които позволяват към освобождаването да бъдат причислени и централните банки и органите, управляващи държавния дълг, на други чужди държави. </w:t>
      </w:r>
    </w:p>
    <w:p>
      <w:pPr>
        <w:pStyle w:val="Text1"/>
        <w:ind w:left="0"/>
        <w:rPr>
          <w:noProof/>
        </w:rPr>
      </w:pPr>
      <w:r>
        <w:rPr>
          <w:noProof/>
        </w:rPr>
        <w:t>С добавянето на централната банка на Обединеното кралство и на неговите органи, управляващи държавния дълг, към списъка на субектите, изключени от обхвата на РЕПИ, паричните им отговорности ще бъдат изключени от обхвата на РЕПИ и ще се насърчават равни условия на прилагането на реформите на РЕПИ, що се отнася до сделките с централните банки в отделните юрисдикции. Това ще допринесе и за повече последователност и съгласуваност в световен мащаб.</w:t>
      </w:r>
    </w:p>
    <w:p>
      <w:pPr>
        <w:spacing w:after="240"/>
        <w:jc w:val="both"/>
        <w:rPr>
          <w:rFonts w:eastAsia="MS Gothic"/>
          <w:noProof/>
        </w:rPr>
      </w:pPr>
      <w:r>
        <w:rPr>
          <w:noProof/>
        </w:rPr>
        <w:t>Поради това Комисията стига до заключението, че член 1, параграф 4 от РЕПИ следва да бъде изменен, за да се изключат от обхвата му централната банка на Обединеното кралство и другите негови публични органи, на които е възложено или които участват в управлението на държавния дълг.</w:t>
      </w:r>
    </w:p>
    <w:p>
      <w:pPr>
        <w:spacing w:after="240"/>
        <w:jc w:val="both"/>
        <w:rPr>
          <w:noProof/>
        </w:rPr>
      </w:pPr>
      <w:r>
        <w:rPr>
          <w:noProof/>
        </w:rPr>
        <w:t xml:space="preserve">Сравнителният анализ в настоящия доклад не е изчерпателен. Той се основава на националното право на Обединеното кралство, с което се въвежда РЕПИ, части от което все още не са изцяло приети. </w:t>
      </w:r>
    </w:p>
    <w:p>
      <w:pPr>
        <w:pStyle w:val="Text1"/>
        <w:ind w:left="0"/>
        <w:rPr>
          <w:noProof/>
        </w:rPr>
      </w:pPr>
      <w:r>
        <w:rPr>
          <w:noProof/>
        </w:rPr>
        <w:t xml:space="preserve">Комисията ще продължи редовно да преглежда международното третиране на централните банки и публичните органи по отношение на сделките с извънборсови деривати в трети държави, в т.ч. в третите държави, изброени в член 1, параграф 4 от РЕПИ. Списъкът на освободените от изискванията субекти може да се актуализира във връзка с нормативни промени в тези трети държави и като се вземат под внимание възможни нови източници на информация. Евентуална промяна в оценката може да доведе и до отстраняването на тези трети държави от списъка на освободените от изискванията субекти. </w:t>
      </w:r>
    </w:p>
    <w:sectPr>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6420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Резултатите от прегледа са предмет на доклад, приет на 22 март 2013 г. (COM(2013) 158 final).</w:t>
      </w:r>
    </w:p>
  </w:footnote>
  <w:footnote w:id="2">
    <w:p>
      <w:pPr>
        <w:pStyle w:val="FootnoteText"/>
      </w:pPr>
      <w:r>
        <w:rPr>
          <w:rStyle w:val="FootnoteReference"/>
        </w:rPr>
        <w:footnoteRef/>
      </w:r>
      <w:r>
        <w:t xml:space="preserve"> Делегиран регламент (ЕС) № 1002/2013 на Комисията от 12 юли 2013 г. за изменение на Регламент (ЕС) № 648/2012 (ОВ L 279, 19.10.2013 г., стр. 2).</w:t>
      </w:r>
    </w:p>
  </w:footnote>
  <w:footnote w:id="3">
    <w:p>
      <w:pPr>
        <w:pStyle w:val="FootnoteText"/>
      </w:pPr>
      <w:r>
        <w:rPr>
          <w:rStyle w:val="FootnoteReference"/>
        </w:rPr>
        <w:footnoteRef/>
      </w:r>
      <w:r>
        <w:t xml:space="preserve"> Резултатите от прегледа са предмет на доклад, приет на 2 март 2017 г. (COM(2017) 104 final).</w:t>
      </w:r>
    </w:p>
  </w:footnote>
  <w:footnote w:id="4">
    <w:p>
      <w:pPr>
        <w:pStyle w:val="FootnoteText"/>
      </w:pPr>
      <w:r>
        <w:rPr>
          <w:rStyle w:val="FootnoteReference"/>
        </w:rPr>
        <w:footnoteRef/>
      </w:r>
      <w:r>
        <w:t xml:space="preserve"> Делегиран регламент (ЕС) 2017/979 на Комисията от 2 март 2017 г. (ОВ L  L 148, 10.6.2017 г., стр. 1).</w:t>
      </w:r>
    </w:p>
  </w:footnote>
  <w:footnote w:id="5">
    <w:p>
      <w:pPr>
        <w:pStyle w:val="FootnoteText"/>
      </w:pPr>
      <w:r>
        <w:rPr>
          <w:rStyle w:val="FootnoteReference"/>
        </w:rPr>
        <w:footnoteRef/>
      </w:r>
      <w:r>
        <w:t xml:space="preserve"> The Central Counterparties (Amendment, etc., and Transitional Provision) (EU Exit) Regulations 2018, приети на 13 ноември 2018 г. (SI 2018 No. 1184); The trade repositories (Am</w:t>
      </w:r>
      <w:r>
        <w:rPr>
          <w:lang w:val="en-US"/>
        </w:rPr>
        <w:t>e</w:t>
      </w:r>
      <w:r>
        <w:t>ndment and Transitional provision) (EU Exit) Regulations 2018, приети на 6 декември 2018 г. (SI 2018 No. 1318)</w:t>
      </w:r>
    </w:p>
  </w:footnote>
  <w:footnote w:id="6">
    <w:p>
      <w:pPr>
        <w:pStyle w:val="FootnoteText"/>
      </w:pPr>
      <w:r>
        <w:rPr>
          <w:rStyle w:val="FootnoteReference"/>
        </w:rPr>
        <w:footnoteRef/>
      </w:r>
      <w:r>
        <w:t xml:space="preserve"> The Over the Counter Derivatives, Central Counterparties and Trade Repositories (Amendment, etc., and Transitional Provision) (EU Exit) Regulations 2018, проект, публикуван за консултация на 22 октомври 2018 г.</w:t>
      </w:r>
    </w:p>
  </w:footnote>
  <w:footnote w:id="7">
    <w:p>
      <w:pPr>
        <w:pStyle w:val="FootnoteText"/>
      </w:pPr>
      <w:r>
        <w:rPr>
          <w:rStyle w:val="FootnoteReference"/>
        </w:rPr>
        <w:footnoteRef/>
      </w:r>
      <w:r>
        <w:t xml:space="preserve"> The Over the Counter Derivatives, Central Counterparties and Trade Repositories (Amendment, etc., and Transitional Provision) (EU Exit) Regulations 2018, проект, публикуван за консултация на 22 октомври 2018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FDD"/>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39C1CEB"/>
    <w:multiLevelType w:val="singleLevel"/>
    <w:tmpl w:val="45AEB0BC"/>
    <w:lvl w:ilvl="0">
      <w:start w:val="10"/>
      <w:numFmt w:val="decimal"/>
      <w:lvlText w:val="%1"/>
      <w:legacy w:legacy="1" w:legacySpace="0" w:legacyIndent="360"/>
      <w:lvlJc w:val="left"/>
      <w:rPr>
        <w:rFonts w:ascii="Times New Roman" w:hAnsi="Times New Roman" w:cs="Times New Roman" w:hint="default"/>
      </w:rPr>
    </w:lvl>
  </w:abstractNum>
  <w:abstractNum w:abstractNumId="2">
    <w:nsid w:val="0BFF54F2"/>
    <w:multiLevelType w:val="singleLevel"/>
    <w:tmpl w:val="2D64B794"/>
    <w:lvl w:ilvl="0">
      <w:start w:val="13"/>
      <w:numFmt w:val="decimal"/>
      <w:lvlText w:val="%1"/>
      <w:legacy w:legacy="1" w:legacySpace="0" w:legacyIndent="360"/>
      <w:lvlJc w:val="left"/>
      <w:rPr>
        <w:rFonts w:ascii="Times New Roman" w:hAnsi="Times New Roman" w:cs="Times New Roman" w:hint="default"/>
      </w:rPr>
    </w:lvl>
  </w:abstractNum>
  <w:abstractNum w:abstractNumId="3">
    <w:nsid w:val="0D9B1EED"/>
    <w:multiLevelType w:val="hybridMultilevel"/>
    <w:tmpl w:val="3430798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11F10200"/>
    <w:multiLevelType w:val="hybridMultilevel"/>
    <w:tmpl w:val="E500CECE"/>
    <w:lvl w:ilvl="0" w:tplc="7966C6AA">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2E4C83"/>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65154FB"/>
    <w:multiLevelType w:val="singleLevel"/>
    <w:tmpl w:val="E7EE1D06"/>
    <w:lvl w:ilvl="0">
      <w:start w:val="14"/>
      <w:numFmt w:val="decimal"/>
      <w:lvlText w:val="%1"/>
      <w:legacy w:legacy="1" w:legacySpace="0" w:legacyIndent="360"/>
      <w:lvlJc w:val="left"/>
      <w:rPr>
        <w:rFonts w:ascii="Times New Roman" w:hAnsi="Times New Roman" w:cs="Times New Roman" w:hint="default"/>
      </w:rPr>
    </w:lvl>
  </w:abstractNum>
  <w:abstractNum w:abstractNumId="7">
    <w:nsid w:val="16BC5609"/>
    <w:multiLevelType w:val="singleLevel"/>
    <w:tmpl w:val="BC76824E"/>
    <w:lvl w:ilvl="0">
      <w:start w:val="3"/>
      <w:numFmt w:val="decimal"/>
      <w:lvlText w:val="%1"/>
      <w:legacy w:legacy="1" w:legacySpace="0" w:legacyIndent="360"/>
      <w:lvlJc w:val="left"/>
      <w:rPr>
        <w:rFonts w:ascii="Times New Roman" w:hAnsi="Times New Roman" w:cs="Times New Roman"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762F6D"/>
    <w:multiLevelType w:val="singleLevel"/>
    <w:tmpl w:val="31BA27F6"/>
    <w:lvl w:ilvl="0">
      <w:start w:val="8"/>
      <w:numFmt w:val="decimal"/>
      <w:lvlText w:val="%1"/>
      <w:legacy w:legacy="1" w:legacySpace="0" w:legacyIndent="360"/>
      <w:lvlJc w:val="left"/>
      <w:rPr>
        <w:rFonts w:ascii="Times New Roman" w:hAnsi="Times New Roman" w:cs="Times New Roman" w:hint="default"/>
      </w:rPr>
    </w:lvl>
  </w:abstractNum>
  <w:abstractNum w:abstractNumId="10">
    <w:nsid w:val="20CF4B17"/>
    <w:multiLevelType w:val="singleLevel"/>
    <w:tmpl w:val="01684F14"/>
    <w:lvl w:ilvl="0">
      <w:start w:val="7"/>
      <w:numFmt w:val="decimal"/>
      <w:lvlText w:val="%1"/>
      <w:legacy w:legacy="1" w:legacySpace="0" w:legacyIndent="360"/>
      <w:lvlJc w:val="left"/>
      <w:rPr>
        <w:rFonts w:ascii="Times New Roman" w:hAnsi="Times New Roman" w:cs="Times New Roman" w:hint="default"/>
      </w:rPr>
    </w:lvl>
  </w:abstractNum>
  <w:abstractNum w:abstractNumId="11">
    <w:nsid w:val="29FE1F55"/>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1954B81"/>
    <w:multiLevelType w:val="singleLevel"/>
    <w:tmpl w:val="A680144A"/>
    <w:lvl w:ilvl="0">
      <w:start w:val="4"/>
      <w:numFmt w:val="decimal"/>
      <w:lvlText w:val="%1"/>
      <w:legacy w:legacy="1" w:legacySpace="0" w:legacyIndent="360"/>
      <w:lvlJc w:val="left"/>
      <w:rPr>
        <w:rFonts w:ascii="Times New Roman" w:hAnsi="Times New Roman" w:cs="Times New Roman" w:hint="default"/>
      </w:rPr>
    </w:lvl>
  </w:abstractNum>
  <w:abstractNum w:abstractNumId="13">
    <w:nsid w:val="32EF2D94"/>
    <w:multiLevelType w:val="hybridMultilevel"/>
    <w:tmpl w:val="A08C988A"/>
    <w:lvl w:ilvl="0" w:tplc="FFFFFFFF">
      <w:start w:val="1"/>
      <w:numFmt w:val="decimal"/>
      <w:lvlText w:val="%1."/>
      <w:lvlJc w:val="left"/>
      <w:pPr>
        <w:ind w:left="1200" w:hanging="360"/>
      </w:pPr>
      <w:rPr>
        <w:rFonts w:cs="Times New Roman"/>
      </w:rPr>
    </w:lvl>
    <w:lvl w:ilvl="1" w:tplc="FFFFFFFF" w:tentative="1">
      <w:start w:val="1"/>
      <w:numFmt w:val="lowerLetter"/>
      <w:lvlText w:val="%2."/>
      <w:lvlJc w:val="left"/>
      <w:pPr>
        <w:ind w:left="1920" w:hanging="360"/>
      </w:pPr>
      <w:rPr>
        <w:rFonts w:cs="Times New Roman"/>
      </w:rPr>
    </w:lvl>
    <w:lvl w:ilvl="2" w:tplc="FFFFFFFF" w:tentative="1">
      <w:start w:val="1"/>
      <w:numFmt w:val="lowerRoman"/>
      <w:lvlText w:val="%3."/>
      <w:lvlJc w:val="right"/>
      <w:pPr>
        <w:ind w:left="2640" w:hanging="180"/>
      </w:pPr>
      <w:rPr>
        <w:rFonts w:cs="Times New Roman"/>
      </w:rPr>
    </w:lvl>
    <w:lvl w:ilvl="3" w:tplc="FFFFFFFF" w:tentative="1">
      <w:start w:val="1"/>
      <w:numFmt w:val="decimal"/>
      <w:lvlText w:val="%4."/>
      <w:lvlJc w:val="left"/>
      <w:pPr>
        <w:ind w:left="3360" w:hanging="360"/>
      </w:pPr>
      <w:rPr>
        <w:rFonts w:cs="Times New Roman"/>
      </w:rPr>
    </w:lvl>
    <w:lvl w:ilvl="4" w:tplc="FFFFFFFF" w:tentative="1">
      <w:start w:val="1"/>
      <w:numFmt w:val="lowerLetter"/>
      <w:lvlText w:val="%5."/>
      <w:lvlJc w:val="left"/>
      <w:pPr>
        <w:ind w:left="4080" w:hanging="360"/>
      </w:pPr>
      <w:rPr>
        <w:rFonts w:cs="Times New Roman"/>
      </w:rPr>
    </w:lvl>
    <w:lvl w:ilvl="5" w:tplc="FFFFFFFF" w:tentative="1">
      <w:start w:val="1"/>
      <w:numFmt w:val="lowerRoman"/>
      <w:lvlText w:val="%6."/>
      <w:lvlJc w:val="right"/>
      <w:pPr>
        <w:ind w:left="4800" w:hanging="180"/>
      </w:pPr>
      <w:rPr>
        <w:rFonts w:cs="Times New Roman"/>
      </w:rPr>
    </w:lvl>
    <w:lvl w:ilvl="6" w:tplc="FFFFFFFF" w:tentative="1">
      <w:start w:val="1"/>
      <w:numFmt w:val="decimal"/>
      <w:lvlText w:val="%7."/>
      <w:lvlJc w:val="left"/>
      <w:pPr>
        <w:ind w:left="5520" w:hanging="360"/>
      </w:pPr>
      <w:rPr>
        <w:rFonts w:cs="Times New Roman"/>
      </w:rPr>
    </w:lvl>
    <w:lvl w:ilvl="7" w:tplc="FFFFFFFF" w:tentative="1">
      <w:start w:val="1"/>
      <w:numFmt w:val="lowerLetter"/>
      <w:lvlText w:val="%8."/>
      <w:lvlJc w:val="left"/>
      <w:pPr>
        <w:ind w:left="6240" w:hanging="360"/>
      </w:pPr>
      <w:rPr>
        <w:rFonts w:cs="Times New Roman"/>
      </w:rPr>
    </w:lvl>
    <w:lvl w:ilvl="8" w:tplc="FFFFFFFF" w:tentative="1">
      <w:start w:val="1"/>
      <w:numFmt w:val="lowerRoman"/>
      <w:lvlText w:val="%9."/>
      <w:lvlJc w:val="right"/>
      <w:pPr>
        <w:ind w:left="6960" w:hanging="180"/>
      </w:pPr>
      <w:rPr>
        <w:rFonts w:cs="Times New Roman"/>
      </w:rPr>
    </w:lvl>
  </w:abstractNum>
  <w:abstractNum w:abstractNumId="14">
    <w:nsid w:val="330F0390"/>
    <w:multiLevelType w:val="hybridMultilevel"/>
    <w:tmpl w:val="CD5CF3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6A62B94"/>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B074B32"/>
    <w:multiLevelType w:val="singleLevel"/>
    <w:tmpl w:val="EE582FDA"/>
    <w:lvl w:ilvl="0">
      <w:start w:val="12"/>
      <w:numFmt w:val="decimal"/>
      <w:lvlText w:val="%1"/>
      <w:legacy w:legacy="1" w:legacySpace="0" w:legacyIndent="360"/>
      <w:lvlJc w:val="left"/>
      <w:rPr>
        <w:rFonts w:ascii="Times New Roman" w:hAnsi="Times New Roman" w:cs="Times New Roman" w:hint="default"/>
      </w:rPr>
    </w:lvl>
  </w:abstractNum>
  <w:abstractNum w:abstractNumId="17">
    <w:nsid w:val="3B77160C"/>
    <w:multiLevelType w:val="singleLevel"/>
    <w:tmpl w:val="D9A4EC58"/>
    <w:lvl w:ilvl="0">
      <w:start w:val="9"/>
      <w:numFmt w:val="decimal"/>
      <w:lvlText w:val="%1"/>
      <w:legacy w:legacy="1" w:legacySpace="0" w:legacyIndent="360"/>
      <w:lvlJc w:val="left"/>
      <w:rPr>
        <w:rFonts w:ascii="Times New Roman" w:hAnsi="Times New Roman" w:cs="Times New Roman" w:hint="default"/>
      </w:rPr>
    </w:lvl>
  </w:abstractNum>
  <w:abstractNum w:abstractNumId="18">
    <w:nsid w:val="40856300"/>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0B225B1"/>
    <w:multiLevelType w:val="hybridMultilevel"/>
    <w:tmpl w:val="8312E56E"/>
    <w:lvl w:ilvl="0" w:tplc="FFFFFFFF">
      <w:start w:val="1"/>
      <w:numFmt w:val="decimal"/>
      <w:lvlText w:val="%1."/>
      <w:lvlJc w:val="left"/>
      <w:pPr>
        <w:ind w:left="1200" w:hanging="360"/>
      </w:pPr>
      <w:rPr>
        <w:rFonts w:cs="Times New Roman"/>
      </w:rPr>
    </w:lvl>
    <w:lvl w:ilvl="1" w:tplc="FFFFFFFF" w:tentative="1">
      <w:start w:val="1"/>
      <w:numFmt w:val="lowerLetter"/>
      <w:lvlText w:val="%2."/>
      <w:lvlJc w:val="left"/>
      <w:pPr>
        <w:ind w:left="1920" w:hanging="360"/>
      </w:pPr>
      <w:rPr>
        <w:rFonts w:cs="Times New Roman"/>
      </w:rPr>
    </w:lvl>
    <w:lvl w:ilvl="2" w:tplc="FFFFFFFF" w:tentative="1">
      <w:start w:val="1"/>
      <w:numFmt w:val="lowerRoman"/>
      <w:lvlText w:val="%3."/>
      <w:lvlJc w:val="right"/>
      <w:pPr>
        <w:ind w:left="2640" w:hanging="180"/>
      </w:pPr>
      <w:rPr>
        <w:rFonts w:cs="Times New Roman"/>
      </w:rPr>
    </w:lvl>
    <w:lvl w:ilvl="3" w:tplc="FFFFFFFF" w:tentative="1">
      <w:start w:val="1"/>
      <w:numFmt w:val="decimal"/>
      <w:lvlText w:val="%4."/>
      <w:lvlJc w:val="left"/>
      <w:pPr>
        <w:ind w:left="3360" w:hanging="360"/>
      </w:pPr>
      <w:rPr>
        <w:rFonts w:cs="Times New Roman"/>
      </w:rPr>
    </w:lvl>
    <w:lvl w:ilvl="4" w:tplc="FFFFFFFF" w:tentative="1">
      <w:start w:val="1"/>
      <w:numFmt w:val="lowerLetter"/>
      <w:lvlText w:val="%5."/>
      <w:lvlJc w:val="left"/>
      <w:pPr>
        <w:ind w:left="4080" w:hanging="360"/>
      </w:pPr>
      <w:rPr>
        <w:rFonts w:cs="Times New Roman"/>
      </w:rPr>
    </w:lvl>
    <w:lvl w:ilvl="5" w:tplc="FFFFFFFF" w:tentative="1">
      <w:start w:val="1"/>
      <w:numFmt w:val="lowerRoman"/>
      <w:lvlText w:val="%6."/>
      <w:lvlJc w:val="right"/>
      <w:pPr>
        <w:ind w:left="4800" w:hanging="180"/>
      </w:pPr>
      <w:rPr>
        <w:rFonts w:cs="Times New Roman"/>
      </w:rPr>
    </w:lvl>
    <w:lvl w:ilvl="6" w:tplc="FFFFFFFF" w:tentative="1">
      <w:start w:val="1"/>
      <w:numFmt w:val="decimal"/>
      <w:lvlText w:val="%7."/>
      <w:lvlJc w:val="left"/>
      <w:pPr>
        <w:ind w:left="5520" w:hanging="360"/>
      </w:pPr>
      <w:rPr>
        <w:rFonts w:cs="Times New Roman"/>
      </w:rPr>
    </w:lvl>
    <w:lvl w:ilvl="7" w:tplc="FFFFFFFF" w:tentative="1">
      <w:start w:val="1"/>
      <w:numFmt w:val="lowerLetter"/>
      <w:lvlText w:val="%8."/>
      <w:lvlJc w:val="left"/>
      <w:pPr>
        <w:ind w:left="6240" w:hanging="360"/>
      </w:pPr>
      <w:rPr>
        <w:rFonts w:cs="Times New Roman"/>
      </w:rPr>
    </w:lvl>
    <w:lvl w:ilvl="8" w:tplc="FFFFFFFF" w:tentative="1">
      <w:start w:val="1"/>
      <w:numFmt w:val="lowerRoman"/>
      <w:lvlText w:val="%9."/>
      <w:lvlJc w:val="right"/>
      <w:pPr>
        <w:ind w:left="6960" w:hanging="180"/>
      </w:pPr>
      <w:rPr>
        <w:rFonts w:cs="Times New Roman"/>
      </w:rPr>
    </w:lvl>
  </w:abstractNum>
  <w:abstractNum w:abstractNumId="20">
    <w:nsid w:val="419C42D5"/>
    <w:multiLevelType w:val="hybridMultilevel"/>
    <w:tmpl w:val="6CD82C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20A3C88"/>
    <w:multiLevelType w:val="singleLevel"/>
    <w:tmpl w:val="9F5CFA80"/>
    <w:lvl w:ilvl="0">
      <w:start w:val="1"/>
      <w:numFmt w:val="decimal"/>
      <w:lvlText w:val="%1"/>
      <w:legacy w:legacy="1" w:legacySpace="0" w:legacyIndent="360"/>
      <w:lvlJc w:val="left"/>
      <w:rPr>
        <w:rFonts w:ascii="Times New Roman" w:hAnsi="Times New Roman" w:cs="Times New Roman" w:hint="default"/>
      </w:rPr>
    </w:lvl>
  </w:abstractNum>
  <w:abstractNum w:abstractNumId="22">
    <w:nsid w:val="437D5F2A"/>
    <w:multiLevelType w:val="singleLevel"/>
    <w:tmpl w:val="E7180BD4"/>
    <w:lvl w:ilvl="0">
      <w:start w:val="2"/>
      <w:numFmt w:val="decimal"/>
      <w:lvlText w:val="%1"/>
      <w:legacy w:legacy="1" w:legacySpace="0" w:legacyIndent="360"/>
      <w:lvlJc w:val="left"/>
      <w:rPr>
        <w:rFonts w:ascii="Times New Roman" w:hAnsi="Times New Roman" w:cs="Times New Roman" w:hint="default"/>
      </w:rPr>
    </w:lvl>
  </w:abstractNum>
  <w:abstractNum w:abstractNumId="23">
    <w:nsid w:val="4553571C"/>
    <w:multiLevelType w:val="hybridMultilevel"/>
    <w:tmpl w:val="1B3C199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9656756"/>
    <w:multiLevelType w:val="singleLevel"/>
    <w:tmpl w:val="CFB4C1C0"/>
    <w:lvl w:ilvl="0">
      <w:start w:val="11"/>
      <w:numFmt w:val="decimal"/>
      <w:lvlText w:val="%1"/>
      <w:legacy w:legacy="1" w:legacySpace="0" w:legacyIndent="360"/>
      <w:lvlJc w:val="left"/>
      <w:rPr>
        <w:rFonts w:ascii="Times New Roman" w:hAnsi="Times New Roman" w:cs="Times New Roman" w:hint="default"/>
        <w:b/>
      </w:rPr>
    </w:lvl>
  </w:abstractNum>
  <w:abstractNum w:abstractNumId="25">
    <w:nsid w:val="4A6258B7"/>
    <w:multiLevelType w:val="hybridMultilevel"/>
    <w:tmpl w:val="D7428D3A"/>
    <w:lvl w:ilvl="0" w:tplc="FFFFFFFF">
      <w:start w:val="1"/>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4AAC68EF"/>
    <w:multiLevelType w:val="singleLevel"/>
    <w:tmpl w:val="E7180BD4"/>
    <w:lvl w:ilvl="0">
      <w:start w:val="2"/>
      <w:numFmt w:val="decimal"/>
      <w:lvlText w:val="%1"/>
      <w:legacy w:legacy="1" w:legacySpace="0" w:legacyIndent="360"/>
      <w:lvlJc w:val="left"/>
      <w:rPr>
        <w:rFonts w:ascii="Times New Roman" w:hAnsi="Times New Roman" w:cs="Times New Roman" w:hint="default"/>
      </w:rPr>
    </w:lvl>
  </w:abstractNum>
  <w:abstractNum w:abstractNumId="2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5BB90BE2"/>
    <w:multiLevelType w:val="singleLevel"/>
    <w:tmpl w:val="292A81C8"/>
    <w:lvl w:ilvl="0">
      <w:start w:val="6"/>
      <w:numFmt w:val="decimal"/>
      <w:lvlText w:val="%1"/>
      <w:legacy w:legacy="1" w:legacySpace="0" w:legacyIndent="360"/>
      <w:lvlJc w:val="left"/>
      <w:rPr>
        <w:rFonts w:ascii="Times New Roman" w:hAnsi="Times New Roman" w:cs="Times New Roman" w:hint="default"/>
      </w:rPr>
    </w:lvl>
  </w:abstractNum>
  <w:abstractNum w:abstractNumId="29">
    <w:nsid w:val="5C6D06A1"/>
    <w:multiLevelType w:val="singleLevel"/>
    <w:tmpl w:val="DB307F60"/>
    <w:lvl w:ilvl="0">
      <w:start w:val="15"/>
      <w:numFmt w:val="decimal"/>
      <w:lvlText w:val="%1"/>
      <w:legacy w:legacy="1" w:legacySpace="0" w:legacyIndent="360"/>
      <w:lvlJc w:val="left"/>
      <w:rPr>
        <w:rFonts w:ascii="Times New Roman" w:hAnsi="Times New Roman" w:cs="Times New Roman" w:hint="default"/>
      </w:rPr>
    </w:lvl>
  </w:abstractNum>
  <w:abstractNum w:abstractNumId="30">
    <w:nsid w:val="639A6627"/>
    <w:multiLevelType w:val="multilevel"/>
    <w:tmpl w:val="C7D6F24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4D04590"/>
    <w:multiLevelType w:val="hybridMultilevel"/>
    <w:tmpl w:val="C56EB60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nsid w:val="65524950"/>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5CB6740"/>
    <w:multiLevelType w:val="multilevel"/>
    <w:tmpl w:val="96DC18E8"/>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690005A"/>
    <w:multiLevelType w:val="hybridMultilevel"/>
    <w:tmpl w:val="3A588D2A"/>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nsid w:val="66E5203A"/>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7E04266"/>
    <w:multiLevelType w:val="hybridMultilevel"/>
    <w:tmpl w:val="0882E102"/>
    <w:lvl w:ilvl="0" w:tplc="93BAED52">
      <w:start w:val="1"/>
      <w:numFmt w:val="decimal"/>
      <w:pStyle w:val="HeaderCoverPage"/>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98A0F54"/>
    <w:multiLevelType w:val="hybridMultilevel"/>
    <w:tmpl w:val="8C10C7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F764DFD"/>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09A073E"/>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0F067E6"/>
    <w:multiLevelType w:val="singleLevel"/>
    <w:tmpl w:val="1196F6A8"/>
    <w:lvl w:ilvl="0">
      <w:start w:val="1"/>
      <w:numFmt w:val="decimal"/>
      <w:lvlText w:val="1.%1"/>
      <w:lvlJc w:val="left"/>
      <w:pPr>
        <w:ind w:left="360" w:hanging="360"/>
      </w:pPr>
      <w:rPr>
        <w:rFonts w:cs="Times New Roman" w:hint="default"/>
      </w:rPr>
    </w:lvl>
  </w:abstractNum>
  <w:abstractNum w:abstractNumId="41">
    <w:nsid w:val="7556301F"/>
    <w:multiLevelType w:val="hybridMultilevel"/>
    <w:tmpl w:val="9D069C5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nsid w:val="78E5296C"/>
    <w:multiLevelType w:val="singleLevel"/>
    <w:tmpl w:val="9ABCBCD8"/>
    <w:lvl w:ilvl="0">
      <w:start w:val="16"/>
      <w:numFmt w:val="decimal"/>
      <w:lvlText w:val="%1"/>
      <w:legacy w:legacy="1" w:legacySpace="0" w:legacyIndent="360"/>
      <w:lvlJc w:val="left"/>
      <w:rPr>
        <w:rFonts w:ascii="Times New Roman" w:hAnsi="Times New Roman" w:cs="Times New Roman" w:hint="default"/>
      </w:rPr>
    </w:lvl>
  </w:abstractNum>
  <w:abstractNum w:abstractNumId="43">
    <w:nsid w:val="7EA01310"/>
    <w:multiLevelType w:val="singleLevel"/>
    <w:tmpl w:val="BC76824E"/>
    <w:lvl w:ilvl="0">
      <w:start w:val="3"/>
      <w:numFmt w:val="decimal"/>
      <w:lvlText w:val="%1"/>
      <w:legacy w:legacy="1" w:legacySpace="0" w:legacyIndent="360"/>
      <w:lvlJc w:val="left"/>
      <w:rPr>
        <w:rFonts w:ascii="Times New Roman" w:hAnsi="Times New Roman" w:cs="Times New Roman" w:hint="default"/>
      </w:rPr>
    </w:lvl>
  </w:abstractNum>
  <w:num w:numId="1">
    <w:abstractNumId w:val="33"/>
  </w:num>
  <w:num w:numId="2">
    <w:abstractNumId w:val="26"/>
  </w:num>
  <w:num w:numId="3">
    <w:abstractNumId w:val="7"/>
  </w:num>
  <w:num w:numId="4">
    <w:abstractNumId w:val="12"/>
  </w:num>
  <w:num w:numId="5">
    <w:abstractNumId w:val="30"/>
  </w:num>
  <w:num w:numId="6">
    <w:abstractNumId w:val="28"/>
  </w:num>
  <w:num w:numId="7">
    <w:abstractNumId w:val="10"/>
  </w:num>
  <w:num w:numId="8">
    <w:abstractNumId w:val="9"/>
  </w:num>
  <w:num w:numId="9">
    <w:abstractNumId w:val="17"/>
  </w:num>
  <w:num w:numId="10">
    <w:abstractNumId w:val="21"/>
  </w:num>
  <w:num w:numId="11">
    <w:abstractNumId w:val="1"/>
  </w:num>
  <w:num w:numId="12">
    <w:abstractNumId w:val="24"/>
  </w:num>
  <w:num w:numId="13">
    <w:abstractNumId w:val="22"/>
  </w:num>
  <w:num w:numId="14">
    <w:abstractNumId w:val="43"/>
  </w:num>
  <w:num w:numId="15">
    <w:abstractNumId w:val="16"/>
  </w:num>
  <w:num w:numId="16">
    <w:abstractNumId w:val="2"/>
  </w:num>
  <w:num w:numId="17">
    <w:abstractNumId w:val="6"/>
  </w:num>
  <w:num w:numId="18">
    <w:abstractNumId w:val="29"/>
  </w:num>
  <w:num w:numId="19">
    <w:abstractNumId w:val="42"/>
  </w:num>
  <w:num w:numId="20">
    <w:abstractNumId w:val="34"/>
  </w:num>
  <w:num w:numId="21">
    <w:abstractNumId w:val="41"/>
  </w:num>
  <w:num w:numId="22">
    <w:abstractNumId w:val="36"/>
  </w:num>
  <w:num w:numId="23">
    <w:abstractNumId w:val="25"/>
  </w:num>
  <w:num w:numId="24">
    <w:abstractNumId w:val="31"/>
  </w:num>
  <w:num w:numId="25">
    <w:abstractNumId w:val="23"/>
  </w:num>
  <w:num w:numId="26">
    <w:abstractNumId w:val="19"/>
  </w:num>
  <w:num w:numId="27">
    <w:abstractNumId w:val="13"/>
  </w:num>
  <w:num w:numId="28">
    <w:abstractNumId w:val="3"/>
  </w:num>
  <w:num w:numId="29">
    <w:abstractNumId w:val="14"/>
  </w:num>
  <w:num w:numId="30">
    <w:abstractNumId w:val="37"/>
  </w:num>
  <w:num w:numId="31">
    <w:abstractNumId w:val="20"/>
  </w:num>
  <w:num w:numId="32">
    <w:abstractNumId w:val="40"/>
  </w:num>
  <w:num w:numId="33">
    <w:abstractNumId w:val="11"/>
  </w:num>
  <w:num w:numId="34">
    <w:abstractNumId w:val="15"/>
  </w:num>
  <w:num w:numId="35">
    <w:abstractNumId w:val="39"/>
  </w:num>
  <w:num w:numId="36">
    <w:abstractNumId w:val="32"/>
  </w:num>
  <w:num w:numId="37">
    <w:abstractNumId w:val="0"/>
  </w:num>
  <w:num w:numId="38">
    <w:abstractNumId w:val="35"/>
  </w:num>
  <w:num w:numId="39">
    <w:abstractNumId w:val="18"/>
  </w:num>
  <w:num w:numId="40">
    <w:abstractNumId w:val="5"/>
  </w:num>
  <w:num w:numId="41">
    <w:abstractNumId w:val="38"/>
  </w:num>
  <w:num w:numId="42">
    <w:abstractNumId w:val="4"/>
  </w:num>
  <w:num w:numId="43">
    <w:abstractNumId w:val="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D20C1E8-9786-4EB9-A070-ACFC4C42D3EE"/>
    <w:docVar w:name="LW_COVERPAGE_TYPE" w:val="1"/>
    <w:docVar w:name="LW_CROSSREFERENCE" w:val="&lt;UNUSED&gt;"/>
    <w:docVar w:name="LW_DocType" w:val="NORMAL"/>
    <w:docVar w:name="LW_EMISSION" w:val="30.1.2019"/>
    <w:docVar w:name="LW_EMISSION_ISODATE" w:val="2019-01-30"/>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79?\u1072? \u1084?\u1077?\u1078?\u1076?\u1091?\u1085?\u1072?\u1088?\u1086?\u1076?\u1085?\u1086?\u1090?\u1086? \u1090?\u1088?\u1077?\u1090?\u1080?\u1088?\u1072?\u1085?\u1077?, \u1097?\u1086? \u1089?\u1077? \u1086?\u1090?\u1085?\u1072?\u1089?\u1103? \u1076?\u1086? \u1089?\u1076?\u1077?\u1083?\u1082?\u1080?\u1090?\u1077? \u1089? \u1080?\u1079?\u1074?\u1098?\u1085?\u1073?\u1086?\u1088?\u1089?\u1086?\u1074?\u1080? \u1076?\u1077?\u1088?\u1080?\u1074?\u1072?\u1090?\u1080?, \u1085?\u1072? \u1094?\u1077?\u1085?\u1090?\u1088?\u1072?\u1083?\u1085?\u1080? \u1073?\u1072?\u1085?\u1082?\u1080? \u1080? \u1087?\u1091?\u1073?\u1083?\u1080?\u1095?\u1085?\u1080? \u1086?\u1088?\u1075?\u1072?\u1085?\u1080?, \u1091?\u1087?\u1088?\u1072?\u1074?\u1083?\u1103?\u1074?\u1072?\u1097?\u1080? \u1076?\u1098?\u1088?\u1078?\u1072?\u1074?\u1085?\u1080?\u1103? \u1076?\u1098?\u1083?\u1075?"/>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
    <w:unhideWhenUsed/>
    <w:qFormat/>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heme="minorEastAsia" w:hAnsi="Times New Roman" w:cs="Times New Roman"/>
      <w:sz w:val="24"/>
      <w:szCs w:val="24"/>
      <w:lang w:val="bg-BG" w:eastAsia="bg-BG"/>
    </w:rPr>
  </w:style>
  <w:style w:type="character" w:customStyle="1" w:styleId="Heading2Char">
    <w:name w:val="Heading 2 Char"/>
    <w:basedOn w:val="DefaultParagraphFont"/>
    <w:link w:val="Heading2"/>
    <w:uiPriority w:val="99"/>
    <w:rPr>
      <w:rFonts w:ascii="Times New Roman" w:eastAsiaTheme="minorEastAsia" w:hAnsi="Times New Roman" w:cs="Times New Roman"/>
      <w:sz w:val="24"/>
      <w:szCs w:val="24"/>
      <w:lang w:val="bg-BG" w:eastAsia="bg-BG"/>
    </w:rPr>
  </w:style>
  <w:style w:type="character" w:customStyle="1" w:styleId="Heading3Char">
    <w:name w:val="Heading 3 Char"/>
    <w:basedOn w:val="DefaultParagraphFont"/>
    <w:link w:val="Heading3"/>
    <w:uiPriority w:val="9"/>
    <w:rPr>
      <w:rFonts w:asciiTheme="majorHAnsi" w:eastAsiaTheme="majorEastAsia" w:hAnsiTheme="majorHAnsi" w:cs="Times New Roman"/>
      <w:b/>
      <w:bCs/>
      <w:sz w:val="26"/>
      <w:szCs w:val="26"/>
      <w:lang w:val="bg-BG" w:eastAsia="bg-BG"/>
    </w:rPr>
  </w:style>
  <w:style w:type="paragraph" w:styleId="FootnoteText">
    <w:name w:val="footnote text"/>
    <w:aliases w:val="Car"/>
    <w:basedOn w:val="Normal"/>
    <w:link w:val="FootnoteTextChar"/>
    <w:uiPriority w:val="99"/>
    <w:pPr>
      <w:widowControl/>
      <w:autoSpaceDE/>
      <w:autoSpaceDN/>
      <w:adjustRightInd/>
      <w:spacing w:line="200" w:lineRule="exact"/>
    </w:pPr>
    <w:rPr>
      <w:rFonts w:ascii="Georgia" w:hAnsi="Georgia"/>
      <w:sz w:val="16"/>
      <w:szCs w:val="20"/>
    </w:rPr>
  </w:style>
  <w:style w:type="character" w:customStyle="1" w:styleId="FootnoteTextChar">
    <w:name w:val="Footnote Text Char"/>
    <w:aliases w:val="Car Char"/>
    <w:basedOn w:val="DefaultParagraphFont"/>
    <w:link w:val="FootnoteText"/>
    <w:uiPriority w:val="99"/>
    <w:rPr>
      <w:rFonts w:ascii="Georgia" w:eastAsiaTheme="minorEastAsia" w:hAnsi="Georgia" w:cs="Times New Roman"/>
      <w:sz w:val="16"/>
      <w:szCs w:val="20"/>
      <w:lang w:eastAsia="bg-BG"/>
    </w:rPr>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16 Point"/>
    <w:basedOn w:val="DefaultParagraphFont"/>
    <w:uiPriority w:val="99"/>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bg-BG" w:eastAsia="bg-BG"/>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bg-BG" w:eastAsia="bg-BG"/>
    </w:rPr>
  </w:style>
  <w:style w:type="paragraph" w:styleId="Header">
    <w:name w:val="header"/>
    <w:basedOn w:val="Normal"/>
    <w:link w:val="HeaderChar"/>
    <w:uiPriority w:val="99"/>
    <w:unhideWhenUsed/>
    <w:pPr>
      <w:widowControl/>
      <w:tabs>
        <w:tab w:val="center" w:pos="4535"/>
        <w:tab w:val="right" w:pos="9071"/>
      </w:tabs>
      <w:autoSpaceDE/>
      <w:autoSpaceDN/>
      <w:adjustRightInd/>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widowControl/>
      <w:tabs>
        <w:tab w:val="center" w:pos="4535"/>
        <w:tab w:val="right" w:pos="9071"/>
        <w:tab w:val="right" w:pos="9921"/>
      </w:tabs>
      <w:autoSpaceDE/>
      <w:autoSpaceDN/>
      <w:adjustRightInd/>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customStyle="1" w:styleId="Style1">
    <w:name w:val="Style1"/>
    <w:basedOn w:val="Heading1"/>
    <w:link w:val="Style1Char"/>
    <w:qFormat/>
    <w:pPr>
      <w:keepNext/>
      <w:tabs>
        <w:tab w:val="left" w:pos="480"/>
      </w:tabs>
      <w:spacing w:before="240" w:after="240"/>
      <w:ind w:left="480" w:hanging="480"/>
    </w:pPr>
    <w:rPr>
      <w:b/>
      <w:bCs/>
      <w:smallCaps/>
    </w:rPr>
  </w:style>
  <w:style w:type="character" w:customStyle="1" w:styleId="Style1Char">
    <w:name w:val="Style1 Char"/>
    <w:basedOn w:val="Heading1Char"/>
    <w:link w:val="Style1"/>
    <w:locked/>
    <w:rPr>
      <w:rFonts w:ascii="Times New Roman" w:eastAsiaTheme="minorEastAsia" w:hAnsi="Times New Roman" w:cs="Times New Roman"/>
      <w:b/>
      <w:bCs/>
      <w:smallCaps/>
      <w:sz w:val="24"/>
      <w:szCs w:val="24"/>
      <w:lang w:val="bg-BG" w:eastAsia="bg-BG"/>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FooterCoverPageChar">
    <w:name w:val="Footer Cover Page Char"/>
    <w:basedOn w:val="Style1Char"/>
    <w:link w:val="FooterCoverPage"/>
    <w:locked/>
    <w:rPr>
      <w:rFonts w:ascii="Times New Roman" w:eastAsiaTheme="minorEastAsia" w:hAnsi="Times New Roman" w:cs="Times New Roman"/>
      <w:b w:val="0"/>
      <w:bCs w:val="0"/>
      <w:smallCaps w:val="0"/>
      <w:sz w:val="24"/>
      <w:szCs w:val="24"/>
      <w:lang w:val="bg-BG" w:eastAsia="bg-BG"/>
    </w:rPr>
  </w:style>
  <w:style w:type="paragraph" w:customStyle="1" w:styleId="HeaderCoverPage">
    <w:name w:val="Header Cover Page"/>
    <w:basedOn w:val="Normal"/>
    <w:link w:val="HeaderCoverPageChar"/>
    <w:pPr>
      <w:numPr>
        <w:numId w:val="22"/>
      </w:numPr>
      <w:tabs>
        <w:tab w:val="center" w:pos="4535"/>
        <w:tab w:val="right" w:pos="9071"/>
      </w:tabs>
      <w:spacing w:after="120"/>
      <w:ind w:left="0"/>
      <w:jc w:val="both"/>
    </w:pPr>
  </w:style>
  <w:style w:type="character" w:customStyle="1" w:styleId="HeaderCoverPageChar">
    <w:name w:val="Header Cover Page Char"/>
    <w:basedOn w:val="Style1Char"/>
    <w:link w:val="HeaderCoverPage"/>
    <w:locked/>
    <w:rPr>
      <w:rFonts w:ascii="Times New Roman" w:eastAsiaTheme="minorEastAsia" w:hAnsi="Times New Roman" w:cs="Times New Roman"/>
      <w:b w:val="0"/>
      <w:bCs w:val="0"/>
      <w:smallCaps w:val="0"/>
      <w:sz w:val="24"/>
      <w:szCs w:val="24"/>
      <w:lang w:val="bg-BG" w:eastAsia="bg-BG"/>
    </w:rPr>
  </w:style>
  <w:style w:type="paragraph" w:customStyle="1" w:styleId="Titreobjet">
    <w:name w:val="Titre objet"/>
    <w:basedOn w:val="Normal"/>
    <w:next w:val="Normal"/>
    <w:pPr>
      <w:widowControl/>
      <w:autoSpaceDE/>
      <w:autoSpaceDN/>
      <w:adjustRightInd/>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widowControl/>
      <w:autoSpaceDE/>
      <w:autoSpaceDN/>
      <w:adjustRightInd/>
      <w:jc w:val="both"/>
    </w:pPr>
    <w:rPr>
      <w:rFonts w:eastAsiaTheme="minorHAnsi"/>
      <w:szCs w:val="22"/>
    </w:rPr>
  </w:style>
  <w:style w:type="paragraph" w:customStyle="1" w:styleId="HeaderLandscape">
    <w:name w:val="HeaderLandscape"/>
    <w:basedOn w:val="Normal"/>
    <w:pPr>
      <w:widowControl/>
      <w:tabs>
        <w:tab w:val="center" w:pos="7285"/>
        <w:tab w:val="right" w:pos="14003"/>
      </w:tabs>
      <w:autoSpaceDE/>
      <w:autoSpaceDN/>
      <w:adjustRightInd/>
      <w:spacing w:after="120"/>
      <w:jc w:val="both"/>
    </w:pPr>
    <w:rPr>
      <w:rFonts w:eastAsiaTheme="minorHAnsi"/>
      <w:szCs w:val="22"/>
    </w:rPr>
  </w:style>
  <w:style w:type="paragraph" w:customStyle="1" w:styleId="HeaderSensitivity">
    <w:name w:val="Head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after="120"/>
      <w:ind w:left="113" w:right="113"/>
      <w:jc w:val="center"/>
    </w:pPr>
    <w:rPr>
      <w:b/>
      <w:sz w:val="32"/>
    </w:rPr>
  </w:style>
  <w:style w:type="paragraph" w:customStyle="1" w:styleId="FooterLandscape">
    <w:name w:val="FooterLandscape"/>
    <w:basedOn w:val="Normal"/>
    <w:pPr>
      <w:widowControl/>
      <w:tabs>
        <w:tab w:val="center" w:pos="7285"/>
        <w:tab w:val="center" w:pos="10913"/>
        <w:tab w:val="right" w:pos="15137"/>
      </w:tabs>
      <w:autoSpaceDE/>
      <w:autoSpaceDN/>
      <w:adjustRightInd/>
      <w:spacing w:before="360"/>
      <w:ind w:left="-567" w:right="-567"/>
    </w:pPr>
    <w:rPr>
      <w:rFonts w:eastAsiaTheme="minorHAnsi"/>
      <w:szCs w:val="22"/>
    </w:rPr>
  </w:style>
  <w:style w:type="paragraph" w:customStyle="1" w:styleId="FooterSensitivity">
    <w:name w:val="Foot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before="360"/>
      <w:ind w:left="113" w:right="113"/>
      <w:jc w:val="center"/>
    </w:pPr>
    <w:rPr>
      <w:b/>
      <w:sz w:val="32"/>
    </w:rPr>
  </w:style>
  <w:style w:type="paragraph" w:customStyle="1" w:styleId="Point0number">
    <w:name w:val="Point 0 (number)"/>
    <w:basedOn w:val="Normal"/>
    <w:pPr>
      <w:widowControl/>
      <w:numPr>
        <w:numId w:val="43"/>
      </w:numPr>
      <w:autoSpaceDE/>
      <w:autoSpaceDN/>
      <w:adjustRightInd/>
      <w:spacing w:before="120" w:after="120"/>
      <w:jc w:val="both"/>
    </w:pPr>
    <w:rPr>
      <w:rFonts w:eastAsiaTheme="minorHAnsi"/>
      <w:szCs w:val="22"/>
    </w:rPr>
  </w:style>
  <w:style w:type="paragraph" w:customStyle="1" w:styleId="Point1number">
    <w:name w:val="Point 1 (number)"/>
    <w:basedOn w:val="Normal"/>
    <w:pPr>
      <w:widowControl/>
      <w:numPr>
        <w:ilvl w:val="2"/>
        <w:numId w:val="43"/>
      </w:numPr>
      <w:autoSpaceDE/>
      <w:autoSpaceDN/>
      <w:adjustRightInd/>
      <w:spacing w:before="120" w:after="120"/>
      <w:jc w:val="both"/>
    </w:pPr>
    <w:rPr>
      <w:rFonts w:eastAsiaTheme="minorHAnsi"/>
      <w:szCs w:val="22"/>
    </w:rPr>
  </w:style>
  <w:style w:type="paragraph" w:customStyle="1" w:styleId="Point2number">
    <w:name w:val="Point 2 (number)"/>
    <w:basedOn w:val="Normal"/>
    <w:pPr>
      <w:widowControl/>
      <w:numPr>
        <w:ilvl w:val="4"/>
        <w:numId w:val="43"/>
      </w:numPr>
      <w:autoSpaceDE/>
      <w:autoSpaceDN/>
      <w:adjustRightInd/>
      <w:spacing w:before="120" w:after="120"/>
      <w:jc w:val="both"/>
    </w:pPr>
    <w:rPr>
      <w:rFonts w:eastAsiaTheme="minorHAnsi"/>
      <w:szCs w:val="22"/>
    </w:rPr>
  </w:style>
  <w:style w:type="paragraph" w:customStyle="1" w:styleId="Point3number">
    <w:name w:val="Point 3 (number)"/>
    <w:basedOn w:val="Normal"/>
    <w:pPr>
      <w:widowControl/>
      <w:numPr>
        <w:ilvl w:val="6"/>
        <w:numId w:val="43"/>
      </w:numPr>
      <w:autoSpaceDE/>
      <w:autoSpaceDN/>
      <w:adjustRightInd/>
      <w:spacing w:before="120" w:after="120"/>
      <w:jc w:val="both"/>
    </w:pPr>
    <w:rPr>
      <w:rFonts w:eastAsiaTheme="minorHAnsi"/>
      <w:szCs w:val="22"/>
    </w:rPr>
  </w:style>
  <w:style w:type="paragraph" w:customStyle="1" w:styleId="Point0letter">
    <w:name w:val="Point 0 (letter)"/>
    <w:basedOn w:val="Normal"/>
    <w:pPr>
      <w:widowControl/>
      <w:numPr>
        <w:ilvl w:val="1"/>
        <w:numId w:val="43"/>
      </w:numPr>
      <w:autoSpaceDE/>
      <w:autoSpaceDN/>
      <w:adjustRightInd/>
      <w:spacing w:before="120" w:after="120"/>
      <w:jc w:val="both"/>
    </w:pPr>
    <w:rPr>
      <w:rFonts w:eastAsiaTheme="minorHAnsi"/>
      <w:szCs w:val="22"/>
    </w:rPr>
  </w:style>
  <w:style w:type="paragraph" w:customStyle="1" w:styleId="Point1letter">
    <w:name w:val="Point 1 (letter)"/>
    <w:basedOn w:val="Normal"/>
    <w:pPr>
      <w:widowControl/>
      <w:numPr>
        <w:ilvl w:val="3"/>
        <w:numId w:val="43"/>
      </w:numPr>
      <w:autoSpaceDE/>
      <w:autoSpaceDN/>
      <w:adjustRightInd/>
      <w:spacing w:before="120" w:after="120"/>
      <w:jc w:val="both"/>
    </w:pPr>
    <w:rPr>
      <w:rFonts w:eastAsiaTheme="minorHAnsi"/>
      <w:szCs w:val="22"/>
    </w:rPr>
  </w:style>
  <w:style w:type="paragraph" w:customStyle="1" w:styleId="Point2letter">
    <w:name w:val="Point 2 (letter)"/>
    <w:basedOn w:val="Normal"/>
    <w:pPr>
      <w:widowControl/>
      <w:numPr>
        <w:ilvl w:val="5"/>
        <w:numId w:val="43"/>
      </w:numPr>
      <w:autoSpaceDE/>
      <w:autoSpaceDN/>
      <w:adjustRightInd/>
      <w:spacing w:before="120" w:after="120"/>
      <w:jc w:val="both"/>
    </w:pPr>
    <w:rPr>
      <w:rFonts w:eastAsiaTheme="minorHAnsi"/>
      <w:szCs w:val="22"/>
    </w:rPr>
  </w:style>
  <w:style w:type="paragraph" w:customStyle="1" w:styleId="Point3letter">
    <w:name w:val="Point 3 (letter)"/>
    <w:basedOn w:val="Normal"/>
    <w:pPr>
      <w:widowControl/>
      <w:numPr>
        <w:ilvl w:val="7"/>
        <w:numId w:val="43"/>
      </w:numPr>
      <w:autoSpaceDE/>
      <w:autoSpaceDN/>
      <w:adjustRightInd/>
      <w:spacing w:before="120" w:after="120"/>
      <w:jc w:val="both"/>
    </w:pPr>
    <w:rPr>
      <w:rFonts w:eastAsiaTheme="minorHAnsi"/>
      <w:szCs w:val="22"/>
    </w:rPr>
  </w:style>
  <w:style w:type="paragraph" w:customStyle="1" w:styleId="Point4letter">
    <w:name w:val="Point 4 (letter)"/>
    <w:basedOn w:val="Normal"/>
    <w:pPr>
      <w:widowControl/>
      <w:numPr>
        <w:ilvl w:val="8"/>
        <w:numId w:val="43"/>
      </w:numPr>
      <w:autoSpaceDE/>
      <w:autoSpaceDN/>
      <w:adjustRightInd/>
      <w:spacing w:before="120" w:after="120"/>
      <w:jc w:val="both"/>
    </w:pPr>
    <w:rPr>
      <w:rFonts w:eastAsiaTheme="minorHAnsi"/>
      <w:szCs w:val="22"/>
    </w:rPr>
  </w:style>
  <w:style w:type="paragraph" w:customStyle="1" w:styleId="Bullet4">
    <w:name w:val="Bullet 4"/>
    <w:basedOn w:val="Normal"/>
    <w:pPr>
      <w:widowControl/>
      <w:numPr>
        <w:numId w:val="44"/>
      </w:numPr>
      <w:autoSpaceDE/>
      <w:autoSpaceDN/>
      <w:adjustRightInd/>
      <w:spacing w:before="120" w:after="120"/>
      <w:jc w:val="both"/>
    </w:pPr>
    <w:rPr>
      <w:rFonts w:eastAsiaTheme="minorHAnsi"/>
      <w:szCs w:val="22"/>
    </w:rPr>
  </w:style>
  <w:style w:type="paragraph" w:customStyle="1" w:styleId="Text1">
    <w:name w:val="Text 1"/>
    <w:basedOn w:val="Normal"/>
    <w:pPr>
      <w:widowControl/>
      <w:autoSpaceDE/>
      <w:autoSpaceDN/>
      <w:adjustRightInd/>
      <w:spacing w:after="240"/>
      <w:ind w:left="482"/>
      <w:jc w:val="both"/>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
    <w:unhideWhenUsed/>
    <w:qFormat/>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heme="minorEastAsia" w:hAnsi="Times New Roman" w:cs="Times New Roman"/>
      <w:sz w:val="24"/>
      <w:szCs w:val="24"/>
      <w:lang w:val="bg-BG" w:eastAsia="bg-BG"/>
    </w:rPr>
  </w:style>
  <w:style w:type="character" w:customStyle="1" w:styleId="Heading2Char">
    <w:name w:val="Heading 2 Char"/>
    <w:basedOn w:val="DefaultParagraphFont"/>
    <w:link w:val="Heading2"/>
    <w:uiPriority w:val="99"/>
    <w:rPr>
      <w:rFonts w:ascii="Times New Roman" w:eastAsiaTheme="minorEastAsia" w:hAnsi="Times New Roman" w:cs="Times New Roman"/>
      <w:sz w:val="24"/>
      <w:szCs w:val="24"/>
      <w:lang w:val="bg-BG" w:eastAsia="bg-BG"/>
    </w:rPr>
  </w:style>
  <w:style w:type="character" w:customStyle="1" w:styleId="Heading3Char">
    <w:name w:val="Heading 3 Char"/>
    <w:basedOn w:val="DefaultParagraphFont"/>
    <w:link w:val="Heading3"/>
    <w:uiPriority w:val="9"/>
    <w:rPr>
      <w:rFonts w:asciiTheme="majorHAnsi" w:eastAsiaTheme="majorEastAsia" w:hAnsiTheme="majorHAnsi" w:cs="Times New Roman"/>
      <w:b/>
      <w:bCs/>
      <w:sz w:val="26"/>
      <w:szCs w:val="26"/>
      <w:lang w:val="bg-BG" w:eastAsia="bg-BG"/>
    </w:rPr>
  </w:style>
  <w:style w:type="paragraph" w:styleId="FootnoteText">
    <w:name w:val="footnote text"/>
    <w:aliases w:val="Car"/>
    <w:basedOn w:val="Normal"/>
    <w:link w:val="FootnoteTextChar"/>
    <w:uiPriority w:val="99"/>
    <w:pPr>
      <w:widowControl/>
      <w:autoSpaceDE/>
      <w:autoSpaceDN/>
      <w:adjustRightInd/>
      <w:spacing w:line="200" w:lineRule="exact"/>
    </w:pPr>
    <w:rPr>
      <w:rFonts w:ascii="Georgia" w:hAnsi="Georgia"/>
      <w:sz w:val="16"/>
      <w:szCs w:val="20"/>
    </w:rPr>
  </w:style>
  <w:style w:type="character" w:customStyle="1" w:styleId="FootnoteTextChar">
    <w:name w:val="Footnote Text Char"/>
    <w:aliases w:val="Car Char"/>
    <w:basedOn w:val="DefaultParagraphFont"/>
    <w:link w:val="FootnoteText"/>
    <w:uiPriority w:val="99"/>
    <w:rPr>
      <w:rFonts w:ascii="Georgia" w:eastAsiaTheme="minorEastAsia" w:hAnsi="Georgia" w:cs="Times New Roman"/>
      <w:sz w:val="16"/>
      <w:szCs w:val="20"/>
      <w:lang w:eastAsia="bg-BG"/>
    </w:rPr>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16 Point"/>
    <w:basedOn w:val="DefaultParagraphFont"/>
    <w:uiPriority w:val="99"/>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bg-BG" w:eastAsia="bg-BG"/>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bg-BG" w:eastAsia="bg-BG"/>
    </w:rPr>
  </w:style>
  <w:style w:type="paragraph" w:styleId="Header">
    <w:name w:val="header"/>
    <w:basedOn w:val="Normal"/>
    <w:link w:val="HeaderChar"/>
    <w:uiPriority w:val="99"/>
    <w:unhideWhenUsed/>
    <w:pPr>
      <w:widowControl/>
      <w:tabs>
        <w:tab w:val="center" w:pos="4535"/>
        <w:tab w:val="right" w:pos="9071"/>
      </w:tabs>
      <w:autoSpaceDE/>
      <w:autoSpaceDN/>
      <w:adjustRightInd/>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widowControl/>
      <w:tabs>
        <w:tab w:val="center" w:pos="4535"/>
        <w:tab w:val="right" w:pos="9071"/>
        <w:tab w:val="right" w:pos="9921"/>
      </w:tabs>
      <w:autoSpaceDE/>
      <w:autoSpaceDN/>
      <w:adjustRightInd/>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customStyle="1" w:styleId="Style1">
    <w:name w:val="Style1"/>
    <w:basedOn w:val="Heading1"/>
    <w:link w:val="Style1Char"/>
    <w:qFormat/>
    <w:pPr>
      <w:keepNext/>
      <w:tabs>
        <w:tab w:val="left" w:pos="480"/>
      </w:tabs>
      <w:spacing w:before="240" w:after="240"/>
      <w:ind w:left="480" w:hanging="480"/>
    </w:pPr>
    <w:rPr>
      <w:b/>
      <w:bCs/>
      <w:smallCaps/>
    </w:rPr>
  </w:style>
  <w:style w:type="character" w:customStyle="1" w:styleId="Style1Char">
    <w:name w:val="Style1 Char"/>
    <w:basedOn w:val="Heading1Char"/>
    <w:link w:val="Style1"/>
    <w:locked/>
    <w:rPr>
      <w:rFonts w:ascii="Times New Roman" w:eastAsiaTheme="minorEastAsia" w:hAnsi="Times New Roman" w:cs="Times New Roman"/>
      <w:b/>
      <w:bCs/>
      <w:smallCaps/>
      <w:sz w:val="24"/>
      <w:szCs w:val="24"/>
      <w:lang w:val="bg-BG" w:eastAsia="bg-BG"/>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FooterCoverPageChar">
    <w:name w:val="Footer Cover Page Char"/>
    <w:basedOn w:val="Style1Char"/>
    <w:link w:val="FooterCoverPage"/>
    <w:locked/>
    <w:rPr>
      <w:rFonts w:ascii="Times New Roman" w:eastAsiaTheme="minorEastAsia" w:hAnsi="Times New Roman" w:cs="Times New Roman"/>
      <w:b w:val="0"/>
      <w:bCs w:val="0"/>
      <w:smallCaps w:val="0"/>
      <w:sz w:val="24"/>
      <w:szCs w:val="24"/>
      <w:lang w:val="bg-BG" w:eastAsia="bg-BG"/>
    </w:rPr>
  </w:style>
  <w:style w:type="paragraph" w:customStyle="1" w:styleId="HeaderCoverPage">
    <w:name w:val="Header Cover Page"/>
    <w:basedOn w:val="Normal"/>
    <w:link w:val="HeaderCoverPageChar"/>
    <w:pPr>
      <w:numPr>
        <w:numId w:val="22"/>
      </w:numPr>
      <w:tabs>
        <w:tab w:val="center" w:pos="4535"/>
        <w:tab w:val="right" w:pos="9071"/>
      </w:tabs>
      <w:spacing w:after="120"/>
      <w:ind w:left="0"/>
      <w:jc w:val="both"/>
    </w:pPr>
  </w:style>
  <w:style w:type="character" w:customStyle="1" w:styleId="HeaderCoverPageChar">
    <w:name w:val="Header Cover Page Char"/>
    <w:basedOn w:val="Style1Char"/>
    <w:link w:val="HeaderCoverPage"/>
    <w:locked/>
    <w:rPr>
      <w:rFonts w:ascii="Times New Roman" w:eastAsiaTheme="minorEastAsia" w:hAnsi="Times New Roman" w:cs="Times New Roman"/>
      <w:b w:val="0"/>
      <w:bCs w:val="0"/>
      <w:smallCaps w:val="0"/>
      <w:sz w:val="24"/>
      <w:szCs w:val="24"/>
      <w:lang w:val="bg-BG" w:eastAsia="bg-BG"/>
    </w:rPr>
  </w:style>
  <w:style w:type="paragraph" w:customStyle="1" w:styleId="Titreobjet">
    <w:name w:val="Titre objet"/>
    <w:basedOn w:val="Normal"/>
    <w:next w:val="Normal"/>
    <w:pPr>
      <w:widowControl/>
      <w:autoSpaceDE/>
      <w:autoSpaceDN/>
      <w:adjustRightInd/>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widowControl/>
      <w:autoSpaceDE/>
      <w:autoSpaceDN/>
      <w:adjustRightInd/>
      <w:jc w:val="both"/>
    </w:pPr>
    <w:rPr>
      <w:rFonts w:eastAsiaTheme="minorHAnsi"/>
      <w:szCs w:val="22"/>
    </w:rPr>
  </w:style>
  <w:style w:type="paragraph" w:customStyle="1" w:styleId="HeaderLandscape">
    <w:name w:val="HeaderLandscape"/>
    <w:basedOn w:val="Normal"/>
    <w:pPr>
      <w:widowControl/>
      <w:tabs>
        <w:tab w:val="center" w:pos="7285"/>
        <w:tab w:val="right" w:pos="14003"/>
      </w:tabs>
      <w:autoSpaceDE/>
      <w:autoSpaceDN/>
      <w:adjustRightInd/>
      <w:spacing w:after="120"/>
      <w:jc w:val="both"/>
    </w:pPr>
    <w:rPr>
      <w:rFonts w:eastAsiaTheme="minorHAnsi"/>
      <w:szCs w:val="22"/>
    </w:rPr>
  </w:style>
  <w:style w:type="paragraph" w:customStyle="1" w:styleId="HeaderSensitivity">
    <w:name w:val="Head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after="120"/>
      <w:ind w:left="113" w:right="113"/>
      <w:jc w:val="center"/>
    </w:pPr>
    <w:rPr>
      <w:b/>
      <w:sz w:val="32"/>
    </w:rPr>
  </w:style>
  <w:style w:type="paragraph" w:customStyle="1" w:styleId="FooterLandscape">
    <w:name w:val="FooterLandscape"/>
    <w:basedOn w:val="Normal"/>
    <w:pPr>
      <w:widowControl/>
      <w:tabs>
        <w:tab w:val="center" w:pos="7285"/>
        <w:tab w:val="center" w:pos="10913"/>
        <w:tab w:val="right" w:pos="15137"/>
      </w:tabs>
      <w:autoSpaceDE/>
      <w:autoSpaceDN/>
      <w:adjustRightInd/>
      <w:spacing w:before="360"/>
      <w:ind w:left="-567" w:right="-567"/>
    </w:pPr>
    <w:rPr>
      <w:rFonts w:eastAsiaTheme="minorHAnsi"/>
      <w:szCs w:val="22"/>
    </w:rPr>
  </w:style>
  <w:style w:type="paragraph" w:customStyle="1" w:styleId="FooterSensitivity">
    <w:name w:val="Foot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before="360"/>
      <w:ind w:left="113" w:right="113"/>
      <w:jc w:val="center"/>
    </w:pPr>
    <w:rPr>
      <w:b/>
      <w:sz w:val="32"/>
    </w:rPr>
  </w:style>
  <w:style w:type="paragraph" w:customStyle="1" w:styleId="Point0number">
    <w:name w:val="Point 0 (number)"/>
    <w:basedOn w:val="Normal"/>
    <w:pPr>
      <w:widowControl/>
      <w:numPr>
        <w:numId w:val="43"/>
      </w:numPr>
      <w:autoSpaceDE/>
      <w:autoSpaceDN/>
      <w:adjustRightInd/>
      <w:spacing w:before="120" w:after="120"/>
      <w:jc w:val="both"/>
    </w:pPr>
    <w:rPr>
      <w:rFonts w:eastAsiaTheme="minorHAnsi"/>
      <w:szCs w:val="22"/>
    </w:rPr>
  </w:style>
  <w:style w:type="paragraph" w:customStyle="1" w:styleId="Point1number">
    <w:name w:val="Point 1 (number)"/>
    <w:basedOn w:val="Normal"/>
    <w:pPr>
      <w:widowControl/>
      <w:numPr>
        <w:ilvl w:val="2"/>
        <w:numId w:val="43"/>
      </w:numPr>
      <w:autoSpaceDE/>
      <w:autoSpaceDN/>
      <w:adjustRightInd/>
      <w:spacing w:before="120" w:after="120"/>
      <w:jc w:val="both"/>
    </w:pPr>
    <w:rPr>
      <w:rFonts w:eastAsiaTheme="minorHAnsi"/>
      <w:szCs w:val="22"/>
    </w:rPr>
  </w:style>
  <w:style w:type="paragraph" w:customStyle="1" w:styleId="Point2number">
    <w:name w:val="Point 2 (number)"/>
    <w:basedOn w:val="Normal"/>
    <w:pPr>
      <w:widowControl/>
      <w:numPr>
        <w:ilvl w:val="4"/>
        <w:numId w:val="43"/>
      </w:numPr>
      <w:autoSpaceDE/>
      <w:autoSpaceDN/>
      <w:adjustRightInd/>
      <w:spacing w:before="120" w:after="120"/>
      <w:jc w:val="both"/>
    </w:pPr>
    <w:rPr>
      <w:rFonts w:eastAsiaTheme="minorHAnsi"/>
      <w:szCs w:val="22"/>
    </w:rPr>
  </w:style>
  <w:style w:type="paragraph" w:customStyle="1" w:styleId="Point3number">
    <w:name w:val="Point 3 (number)"/>
    <w:basedOn w:val="Normal"/>
    <w:pPr>
      <w:widowControl/>
      <w:numPr>
        <w:ilvl w:val="6"/>
        <w:numId w:val="43"/>
      </w:numPr>
      <w:autoSpaceDE/>
      <w:autoSpaceDN/>
      <w:adjustRightInd/>
      <w:spacing w:before="120" w:after="120"/>
      <w:jc w:val="both"/>
    </w:pPr>
    <w:rPr>
      <w:rFonts w:eastAsiaTheme="minorHAnsi"/>
      <w:szCs w:val="22"/>
    </w:rPr>
  </w:style>
  <w:style w:type="paragraph" w:customStyle="1" w:styleId="Point0letter">
    <w:name w:val="Point 0 (letter)"/>
    <w:basedOn w:val="Normal"/>
    <w:pPr>
      <w:widowControl/>
      <w:numPr>
        <w:ilvl w:val="1"/>
        <w:numId w:val="43"/>
      </w:numPr>
      <w:autoSpaceDE/>
      <w:autoSpaceDN/>
      <w:adjustRightInd/>
      <w:spacing w:before="120" w:after="120"/>
      <w:jc w:val="both"/>
    </w:pPr>
    <w:rPr>
      <w:rFonts w:eastAsiaTheme="minorHAnsi"/>
      <w:szCs w:val="22"/>
    </w:rPr>
  </w:style>
  <w:style w:type="paragraph" w:customStyle="1" w:styleId="Point1letter">
    <w:name w:val="Point 1 (letter)"/>
    <w:basedOn w:val="Normal"/>
    <w:pPr>
      <w:widowControl/>
      <w:numPr>
        <w:ilvl w:val="3"/>
        <w:numId w:val="43"/>
      </w:numPr>
      <w:autoSpaceDE/>
      <w:autoSpaceDN/>
      <w:adjustRightInd/>
      <w:spacing w:before="120" w:after="120"/>
      <w:jc w:val="both"/>
    </w:pPr>
    <w:rPr>
      <w:rFonts w:eastAsiaTheme="minorHAnsi"/>
      <w:szCs w:val="22"/>
    </w:rPr>
  </w:style>
  <w:style w:type="paragraph" w:customStyle="1" w:styleId="Point2letter">
    <w:name w:val="Point 2 (letter)"/>
    <w:basedOn w:val="Normal"/>
    <w:pPr>
      <w:widowControl/>
      <w:numPr>
        <w:ilvl w:val="5"/>
        <w:numId w:val="43"/>
      </w:numPr>
      <w:autoSpaceDE/>
      <w:autoSpaceDN/>
      <w:adjustRightInd/>
      <w:spacing w:before="120" w:after="120"/>
      <w:jc w:val="both"/>
    </w:pPr>
    <w:rPr>
      <w:rFonts w:eastAsiaTheme="minorHAnsi"/>
      <w:szCs w:val="22"/>
    </w:rPr>
  </w:style>
  <w:style w:type="paragraph" w:customStyle="1" w:styleId="Point3letter">
    <w:name w:val="Point 3 (letter)"/>
    <w:basedOn w:val="Normal"/>
    <w:pPr>
      <w:widowControl/>
      <w:numPr>
        <w:ilvl w:val="7"/>
        <w:numId w:val="43"/>
      </w:numPr>
      <w:autoSpaceDE/>
      <w:autoSpaceDN/>
      <w:adjustRightInd/>
      <w:spacing w:before="120" w:after="120"/>
      <w:jc w:val="both"/>
    </w:pPr>
    <w:rPr>
      <w:rFonts w:eastAsiaTheme="minorHAnsi"/>
      <w:szCs w:val="22"/>
    </w:rPr>
  </w:style>
  <w:style w:type="paragraph" w:customStyle="1" w:styleId="Point4letter">
    <w:name w:val="Point 4 (letter)"/>
    <w:basedOn w:val="Normal"/>
    <w:pPr>
      <w:widowControl/>
      <w:numPr>
        <w:ilvl w:val="8"/>
        <w:numId w:val="43"/>
      </w:numPr>
      <w:autoSpaceDE/>
      <w:autoSpaceDN/>
      <w:adjustRightInd/>
      <w:spacing w:before="120" w:after="120"/>
      <w:jc w:val="both"/>
    </w:pPr>
    <w:rPr>
      <w:rFonts w:eastAsiaTheme="minorHAnsi"/>
      <w:szCs w:val="22"/>
    </w:rPr>
  </w:style>
  <w:style w:type="paragraph" w:customStyle="1" w:styleId="Bullet4">
    <w:name w:val="Bullet 4"/>
    <w:basedOn w:val="Normal"/>
    <w:pPr>
      <w:widowControl/>
      <w:numPr>
        <w:numId w:val="44"/>
      </w:numPr>
      <w:autoSpaceDE/>
      <w:autoSpaceDN/>
      <w:adjustRightInd/>
      <w:spacing w:before="120" w:after="120"/>
      <w:jc w:val="both"/>
    </w:pPr>
    <w:rPr>
      <w:rFonts w:eastAsiaTheme="minorHAnsi"/>
      <w:szCs w:val="22"/>
    </w:rPr>
  </w:style>
  <w:style w:type="paragraph" w:customStyle="1" w:styleId="Text1">
    <w:name w:val="Text 1"/>
    <w:basedOn w:val="Normal"/>
    <w:pPr>
      <w:widowControl/>
      <w:autoSpaceDE/>
      <w:autoSpaceDN/>
      <w:adjustRightInd/>
      <w:spacing w:after="240"/>
      <w:ind w:left="482"/>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1421</Words>
  <Characters>8119</Characters>
  <Application>Microsoft Office Word</Application>
  <DocSecurity>0</DocSecurity>
  <Lines>142</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dcterms:created xsi:type="dcterms:W3CDTF">2019-01-25T13:17:00Z</dcterms:created>
  <dcterms:modified xsi:type="dcterms:W3CDTF">2019-01-29T17:33:00Z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