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45216FC-8016-4050-B663-DC0C0B88883E" style="width:450.7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1"/>
          <w:cols w:space="720"/>
          <w:docGrid w:linePitch="326"/>
        </w:sectPr>
      </w:pPr>
    </w:p>
    <w:p>
      <w:pPr>
        <w:pStyle w:val="Style1"/>
        <w:numPr>
          <w:ilvl w:val="0"/>
          <w:numId w:val="22"/>
        </w:numPr>
        <w:rPr>
          <w:noProof/>
        </w:rPr>
      </w:pPr>
      <w:bookmarkStart w:id="1" w:name="_GoBack"/>
      <w:bookmarkEnd w:id="1"/>
      <w:r>
        <w:rPr>
          <w:noProof/>
        </w:rPr>
        <w:lastRenderedPageBreak/>
        <w:t>Introducere</w:t>
      </w:r>
    </w:p>
    <w:p>
      <w:pPr>
        <w:spacing w:after="240"/>
        <w:jc w:val="both"/>
        <w:rPr>
          <w:noProof/>
        </w:rPr>
      </w:pPr>
      <w:r>
        <w:rPr>
          <w:noProof/>
        </w:rPr>
        <w:t>Regulamentul privind instrumentele financiare derivate extrabursiere, contrapărțile centrale și registrele centrale de tranzacții (EMIR) din 4 iulie 2012 prevede, printre altele, compensarea la nivel central a tuturor contractelor cu instrumente financiare derivate extrabursiere standardizate, raportarea tuturor contractelor cu instrumente financiare derivate către registrele centrale de tranzacții și aplicarea unor tehnici de diminuare a riscului pentru tranzacțiile care nu sunt compensate la nivel central.</w:t>
      </w:r>
    </w:p>
    <w:p>
      <w:pPr>
        <w:spacing w:after="240"/>
        <w:jc w:val="both"/>
        <w:rPr>
          <w:noProof/>
        </w:rPr>
      </w:pPr>
      <w:r>
        <w:rPr>
          <w:noProof/>
        </w:rPr>
        <w:t>În conformitate cu articolul 1 alineatul (4) din EMIR, băncile centrale și alte organisme publice ale Uniunii însărcinate cu administrarea datoriei publice sau care intervin în administrarea acesteia sunt exceptate de la aplicarea prevederilor EMIR și, prin urmare, nu sunt supuse obligațiilor menționate anterior.</w:t>
      </w:r>
    </w:p>
    <w:p>
      <w:pPr>
        <w:spacing w:after="240"/>
        <w:jc w:val="both"/>
        <w:rPr>
          <w:noProof/>
        </w:rPr>
      </w:pPr>
      <w:r>
        <w:rPr>
          <w:noProof/>
        </w:rPr>
        <w:t>În temeiul articolului 1 alineatul (6) din EMIR, Comisia Europeană are competența de a modifica printr-un act delegat lista entităților exceptate în cazul în care, după ce a analizat regimul internațional aplicat în cadrul juridic al altor jurisdicții băncilor centrale și entităților publice care administrează datoria publică și după ce a informat Parlamentul European și Consiliul cu privire la rezultatele analizei, aceasta ajunge la concluzia că este necesară exceptarea băncilor centrale și a organismelor publice ale țărilor terțe respective însărcinate cu administrarea datoriei publice sau care intervin în administrarea acesteia de la obligațiile privind compensarea și raportarea și de la obligația de a aplica tehnici de diminuare a riscului.</w:t>
      </w:r>
    </w:p>
    <w:p>
      <w:pPr>
        <w:pStyle w:val="Style1"/>
        <w:numPr>
          <w:ilvl w:val="0"/>
          <w:numId w:val="22"/>
        </w:numPr>
        <w:rPr>
          <w:noProof/>
        </w:rPr>
      </w:pPr>
      <w:r>
        <w:rPr>
          <w:noProof/>
        </w:rPr>
        <w:t>Evaluarea anterioară a Comisiei</w:t>
      </w:r>
    </w:p>
    <w:p>
      <w:pPr>
        <w:spacing w:after="240"/>
        <w:jc w:val="both"/>
        <w:rPr>
          <w:noProof/>
        </w:rPr>
      </w:pPr>
      <w:r>
        <w:rPr>
          <w:noProof/>
        </w:rPr>
        <w:t xml:space="preserve">Comisia a efectuat două examinări ale regimului internațional aplicabil băncilor centrale și altor organisme publice însărcinate cu administrarea datoriei publice sau care intervin în administrarea acesteia în ceea ce privește tranzacțiile cu instrumente financiare derivate extrabursiere. </w:t>
      </w:r>
    </w:p>
    <w:p>
      <w:pPr>
        <w:spacing w:after="240"/>
        <w:jc w:val="both"/>
        <w:rPr>
          <w:noProof/>
        </w:rPr>
      </w:pPr>
      <w:r>
        <w:rPr>
          <w:noProof/>
        </w:rPr>
        <w:t>Prima examinare a vizat cadrele juridice din Japonia, Elveția, Statele Unite, Australia, Canada și Hong Kong și a concluzionat, în 2013</w:t>
      </w:r>
      <w:r>
        <w:rPr>
          <w:rStyle w:val="FootnoteReference"/>
          <w:noProof/>
        </w:rPr>
        <w:footnoteReference w:id="1"/>
      </w:r>
      <w:r>
        <w:rPr>
          <w:noProof/>
        </w:rPr>
        <w:t>, că Japonia și Statele Unite îndeplineau condițiile pentru ca băncile centrale și organismele publice responsabile cu administrarea datoriei publice din aceste două jurisdicții să fie adăugate pe lista entităților exceptate de la articolul 1 alineatul (4) din EMIR</w:t>
      </w:r>
      <w:r>
        <w:rPr>
          <w:rStyle w:val="FootnoteReference"/>
          <w:noProof/>
        </w:rPr>
        <w:footnoteReference w:id="2"/>
      </w:r>
      <w:r>
        <w:rPr>
          <w:noProof/>
        </w:rPr>
        <w:t xml:space="preserve">. </w:t>
      </w:r>
    </w:p>
    <w:p>
      <w:pPr>
        <w:spacing w:after="240"/>
        <w:jc w:val="both"/>
        <w:rPr>
          <w:b/>
          <w:bCs/>
          <w:noProof/>
        </w:rPr>
      </w:pPr>
      <w:r>
        <w:rPr>
          <w:noProof/>
        </w:rPr>
        <w:t>Cea de a doua examinare a vizat cadrele juridice din Australia, Canada, Hong Kong, Mexic, Singapore și Elveția și a concluzionat, în 2017</w:t>
      </w:r>
      <w:r>
        <w:rPr>
          <w:rStyle w:val="FootnoteReference"/>
          <w:noProof/>
        </w:rPr>
        <w:footnoteReference w:id="3"/>
      </w:r>
      <w:r>
        <w:rPr>
          <w:noProof/>
        </w:rPr>
        <w:t>, că toate aceste jurisdicții îndeplineau condițiile pentru ca băncile centrale și organismele publice responsabile cu administrarea datoriei publice din aceste jurisdicții să fie adăugate pe lista entităților exceptate de la articolul 1 alineatul (4) din EMIR</w:t>
      </w:r>
      <w:r>
        <w:rPr>
          <w:rStyle w:val="FootnoteReference"/>
          <w:noProof/>
        </w:rPr>
        <w:footnoteReference w:id="4"/>
      </w:r>
      <w:r>
        <w:rPr>
          <w:noProof/>
        </w:rPr>
        <w:t xml:space="preserve">. </w:t>
      </w:r>
    </w:p>
    <w:p>
      <w:pPr>
        <w:pStyle w:val="Heading1"/>
        <w:keepNext/>
        <w:numPr>
          <w:ilvl w:val="0"/>
          <w:numId w:val="22"/>
        </w:numPr>
        <w:tabs>
          <w:tab w:val="left" w:pos="480"/>
        </w:tabs>
        <w:spacing w:before="240" w:after="240"/>
        <w:jc w:val="both"/>
        <w:rPr>
          <w:b/>
          <w:bCs/>
          <w:smallCaps/>
          <w:noProof/>
        </w:rPr>
      </w:pPr>
      <w:r>
        <w:rPr>
          <w:b/>
          <w:smallCaps/>
          <w:noProof/>
        </w:rPr>
        <w:t>Prezenta evaluare</w:t>
      </w:r>
    </w:p>
    <w:p>
      <w:pPr>
        <w:spacing w:after="240"/>
        <w:jc w:val="both"/>
        <w:rPr>
          <w:noProof/>
        </w:rPr>
      </w:pPr>
      <w:r>
        <w:rPr>
          <w:noProof/>
        </w:rPr>
        <w:t>Prezenta evaluare este declanșată de notificarea de către Regatul Unit, la 29 martie 2017, a intenției sale de a se retrage din Uniune în temeiul articolului 50 din Tratatul privind Uniunea Europeană. Atunci când legislația Uniunii încetează să se aplice Regatului Unit și pe teritoriul acestuia, exceptarea băncilor centrale și organismelor publice din Uniune însărcinate cu administrarea datoriei publice sau care intervin în administrarea acesteia, prevăzută la articolul 1 alineatul (4) litera (a) din EMIR, nu s-ar mai aplica băncii centrale sau organismelor de administrare a datoriei publice din Regatul Unit.</w:t>
      </w:r>
    </w:p>
    <w:p>
      <w:pPr>
        <w:spacing w:after="240"/>
        <w:jc w:val="both"/>
        <w:rPr>
          <w:noProof/>
        </w:rPr>
      </w:pPr>
      <w:r>
        <w:rPr>
          <w:noProof/>
        </w:rPr>
        <w:t xml:space="preserve">Până la retragerea Regatului Unit din Uniune, EMIR, inclusiv dispozițiile sale privind obligațiile de compensare și raportare și tehnicile de diminuare a riscului, este direct aplicabil în Regatul Unit. Ca parte a Legii privind Uniunea Europeană (notificarea retragerii) din 2018, Regatul Unit a încorporat, la 26 iunie 2018, dispozițiile EMIR în legislația sa internă, cu efect de la data retragerii Regatului Unit din Uniune. </w:t>
      </w:r>
      <w:r>
        <w:rPr>
          <w:noProof/>
          <w:color w:val="000000"/>
        </w:rPr>
        <w:t>Pentru a remedia disfuncționalitățile sau deficiențele care decurg din încorporarea EMIR în legislația sa internă, Regatul Unit va modifica</w:t>
      </w:r>
      <w:r>
        <w:rPr>
          <w:rStyle w:val="FootnoteReference"/>
          <w:noProof/>
        </w:rPr>
        <w:footnoteReference w:id="5"/>
      </w:r>
      <w:r>
        <w:rPr>
          <w:noProof/>
          <w:color w:val="000000"/>
        </w:rPr>
        <w:t xml:space="preserve"> sau a modificat deja</w:t>
      </w:r>
      <w:r>
        <w:rPr>
          <w:rStyle w:val="FootnoteReference"/>
          <w:noProof/>
        </w:rPr>
        <w:footnoteReference w:id="6"/>
      </w:r>
      <w:r>
        <w:rPr>
          <w:noProof/>
          <w:color w:val="000000"/>
        </w:rPr>
        <w:t xml:space="preserve"> Legea din 2000 privind serviciile și piețele financiare (</w:t>
      </w:r>
      <w:r>
        <w:rPr>
          <w:i/>
          <w:noProof/>
          <w:color w:val="000000"/>
        </w:rPr>
        <w:t>Financial Services and Markets Act</w:t>
      </w:r>
      <w:r>
        <w:rPr>
          <w:noProof/>
          <w:color w:val="000000"/>
        </w:rPr>
        <w:t xml:space="preserve"> - FSMA) și legislația sa internă care încorporează EMIR, de exemplu, prin transferarea responsabilităților și sarcinilor conferite Comisiei sau Autorității Europene pentru Valori Mobiliare și Piețe (ESMA) către Trezorerie sau către alte autorități ale Regatului Unit. </w:t>
      </w:r>
      <w:r>
        <w:rPr>
          <w:noProof/>
        </w:rPr>
        <w:t xml:space="preserve">Evaluarea cuprinsă în prezentul raport se bazează pe acest cadru juridic.  </w:t>
      </w:r>
    </w:p>
    <w:p>
      <w:pPr>
        <w:pStyle w:val="Style1"/>
        <w:numPr>
          <w:ilvl w:val="0"/>
          <w:numId w:val="22"/>
        </w:numPr>
        <w:rPr>
          <w:noProof/>
        </w:rPr>
      </w:pPr>
      <w:r>
        <w:rPr>
          <w:noProof/>
        </w:rPr>
        <w:t>Progresele înregistrate în ceea ce privește reformele piețelor instrumentelor derivate extrabursiere</w:t>
      </w:r>
    </w:p>
    <w:p>
      <w:pPr>
        <w:pStyle w:val="HeaderCoverPage"/>
        <w:numPr>
          <w:ilvl w:val="0"/>
          <w:numId w:val="0"/>
        </w:numPr>
        <w:rPr>
          <w:rFonts w:eastAsia="MS Gothic"/>
          <w:noProof/>
          <w:color w:val="000000"/>
        </w:rPr>
      </w:pPr>
      <w:r>
        <w:rPr>
          <w:noProof/>
          <w:u w:val="single"/>
        </w:rPr>
        <w:t>Obligația de compensare</w:t>
      </w:r>
    </w:p>
    <w:p>
      <w:pPr>
        <w:jc w:val="both"/>
        <w:rPr>
          <w:rFonts w:eastAsia="MS Gothic"/>
          <w:noProof/>
          <w:color w:val="000000"/>
          <w:sz w:val="22"/>
          <w:szCs w:val="22"/>
        </w:rPr>
      </w:pPr>
      <w:r>
        <w:rPr>
          <w:noProof/>
        </w:rPr>
        <w:t>În conformitate cu proiectul de lege națională a Regatului Unit care încorporează EMIR, obligația de compensare a tranzacțiilor cu instrumente derivate extrabursiere ar fi menținută.</w:t>
      </w:r>
      <w:r>
        <w:rPr>
          <w:noProof/>
          <w:color w:val="000000"/>
          <w:sz w:val="22"/>
        </w:rPr>
        <w:t xml:space="preserve"> </w:t>
      </w:r>
      <w:r>
        <w:rPr>
          <w:noProof/>
          <w:color w:val="000000"/>
        </w:rPr>
        <w:t xml:space="preserve">Obligația privind compensarea ar acoperi în principiu toate tranzacțiile cu instrumente derivate extrabursiere, cu excepții similare celor aplicabile în temeiul EMIR. </w:t>
      </w:r>
    </w:p>
    <w:p>
      <w:pPr>
        <w:rPr>
          <w:rFonts w:eastAsia="MS Gothic"/>
          <w:noProof/>
          <w:u w:val="single"/>
        </w:rPr>
      </w:pPr>
    </w:p>
    <w:p>
      <w:pPr>
        <w:spacing w:after="240"/>
        <w:jc w:val="both"/>
        <w:rPr>
          <w:rFonts w:eastAsia="MS Gothic"/>
          <w:noProof/>
          <w:u w:val="single"/>
        </w:rPr>
      </w:pPr>
      <w:r>
        <w:rPr>
          <w:noProof/>
          <w:u w:val="single"/>
        </w:rPr>
        <w:t>Obligația de raportare</w:t>
      </w:r>
    </w:p>
    <w:p>
      <w:pPr>
        <w:spacing w:after="240"/>
        <w:jc w:val="both"/>
        <w:rPr>
          <w:rFonts w:eastAsia="MS Gothic"/>
          <w:noProof/>
          <w:u w:val="single"/>
        </w:rPr>
      </w:pPr>
      <w:r>
        <w:rPr>
          <w:noProof/>
        </w:rPr>
        <w:t>În conformitate cu proiectul de lege națională a Regatului Unit care încorporează EMIR, ar fi menținută obligația de raportare a tuturor tranzacțiilor cu instrumente derivate extrabursiere, inclusiv normele care descriu contrapărțile responsabile cu raportarea tranzacțiilor și informațiile care se raportează.</w:t>
      </w:r>
    </w:p>
    <w:p>
      <w:pPr>
        <w:keepNext/>
        <w:spacing w:after="240"/>
        <w:jc w:val="both"/>
        <w:rPr>
          <w:rFonts w:eastAsia="MS Gothic"/>
          <w:noProof/>
          <w:u w:val="single"/>
        </w:rPr>
      </w:pPr>
      <w:r>
        <w:rPr>
          <w:noProof/>
          <w:u w:val="single"/>
        </w:rPr>
        <w:t>Tehnicile de diminuare a riscului</w:t>
      </w:r>
    </w:p>
    <w:p>
      <w:pPr>
        <w:spacing w:after="240"/>
        <w:jc w:val="both"/>
        <w:rPr>
          <w:rFonts w:eastAsia="MS Gothic"/>
          <w:noProof/>
        </w:rPr>
      </w:pPr>
      <w:r>
        <w:rPr>
          <w:noProof/>
        </w:rPr>
        <w:t xml:space="preserve">Proiectul de lege națională a Regatului Unit care încorporează EMIR ar menține normele care impun utilizarea tehnicilor de diminuare a riscului pentru tranzacțiile cu instrumente financiare derivate extrabursiere care nu sunt compensate la nivel central, inclusiv normele privind confirmarea în timp util a tranzacțiilor, reconcilierea portofoliilor și procedurile de soluționare a litigiilor. </w:t>
      </w:r>
    </w:p>
    <w:p>
      <w:pPr>
        <w:pStyle w:val="Style1"/>
        <w:numPr>
          <w:ilvl w:val="0"/>
          <w:numId w:val="22"/>
        </w:numPr>
        <w:rPr>
          <w:rFonts w:eastAsia="MS Gothic"/>
          <w:noProof/>
        </w:rPr>
      </w:pPr>
      <w:r>
        <w:rPr>
          <w:noProof/>
        </w:rPr>
        <w:t>Regimul aplicat la nivel internațional băncilor centrale și organismelor de administrare a datoriei publice</w:t>
      </w:r>
    </w:p>
    <w:p>
      <w:pPr>
        <w:pStyle w:val="HeaderCoverPage"/>
        <w:keepNext/>
        <w:numPr>
          <w:ilvl w:val="0"/>
          <w:numId w:val="0"/>
        </w:numPr>
        <w:rPr>
          <w:rFonts w:eastAsia="MS Gothic"/>
          <w:noProof/>
          <w:u w:val="single"/>
        </w:rPr>
      </w:pPr>
      <w:r>
        <w:rPr>
          <w:noProof/>
          <w:u w:val="single"/>
        </w:rPr>
        <w:t>Obligația de compensare</w:t>
      </w:r>
    </w:p>
    <w:p>
      <w:pPr>
        <w:pStyle w:val="HeaderCoverPage"/>
        <w:numPr>
          <w:ilvl w:val="0"/>
          <w:numId w:val="0"/>
        </w:numPr>
        <w:rPr>
          <w:rFonts w:eastAsia="MS Gothic"/>
          <w:noProof/>
        </w:rPr>
      </w:pPr>
      <w:r>
        <w:rPr>
          <w:noProof/>
        </w:rPr>
        <w:t>În conformitate cu proiectul de lege națională a Regatului Unit care încorporează EMIR</w:t>
      </w:r>
      <w:r>
        <w:rPr>
          <w:rStyle w:val="FootnoteReference"/>
          <w:noProof/>
        </w:rPr>
        <w:footnoteReference w:id="7"/>
      </w:r>
      <w:r>
        <w:rPr>
          <w:noProof/>
        </w:rPr>
        <w:t xml:space="preserve">, banca centrală a Regatului Unit și anumite bănci centrale străine, precum și alte organisme publice din Regatul Unit sau străine care sunt însărcinate cu administrarea datoriei publice sau care intervin în administrarea acesteia ar fi exceptate de la aplicarea obligației de compensare. Trezoreria ar fi în măsură să extindă această exceptare și la alte jurisdicții străine, prin intermediul unor reglementări. În plus, exceptarea de la obligația de compensare s-ar aplica Băncii Reglementelor Internaționale și anumitor bănci multilaterale de dezvoltare și altor entități din sectorul public deținute de administrațiile centrale. </w:t>
      </w:r>
    </w:p>
    <w:p>
      <w:pPr>
        <w:spacing w:after="240"/>
        <w:jc w:val="both"/>
        <w:rPr>
          <w:rFonts w:eastAsia="MS Gothic"/>
          <w:noProof/>
          <w:u w:val="single"/>
        </w:rPr>
      </w:pPr>
      <w:r>
        <w:rPr>
          <w:noProof/>
          <w:u w:val="single"/>
        </w:rPr>
        <w:t>Obligația de raportare</w:t>
      </w:r>
    </w:p>
    <w:p>
      <w:pPr>
        <w:spacing w:after="240"/>
        <w:jc w:val="both"/>
        <w:rPr>
          <w:rFonts w:eastAsia="MS Gothic"/>
          <w:noProof/>
        </w:rPr>
      </w:pPr>
      <w:r>
        <w:rPr>
          <w:noProof/>
        </w:rPr>
        <w:t>Astfel cum este cazul pentru obligația de compensare, Regatul Unit intenționează să acorde băncii centrale a Regatului Unit și anumitor bănci centrale străine, precum și altor organisme publice din Regatul Unit sau străine care sunt însărcinate cu administrarea datoriei publice sau care intervin în administrarea acesteia o exceptare de la aplicarea obligației de raportare. Extinderea exceptării la alte jurisdicții străine ar fi posibilă. În plus, exceptarea de la obligația de raportare s-ar aplica Băncii Reglementelor Internaționale.</w:t>
      </w:r>
    </w:p>
    <w:p>
      <w:pPr>
        <w:spacing w:after="240"/>
        <w:jc w:val="both"/>
        <w:rPr>
          <w:rFonts w:eastAsia="MS Gothic"/>
          <w:noProof/>
          <w:u w:val="single"/>
        </w:rPr>
      </w:pPr>
      <w:r>
        <w:rPr>
          <w:noProof/>
          <w:u w:val="single"/>
        </w:rPr>
        <w:t>Tehnicile de diminuare a riscului</w:t>
      </w:r>
    </w:p>
    <w:p>
      <w:pPr>
        <w:spacing w:after="240"/>
        <w:jc w:val="both"/>
        <w:rPr>
          <w:rFonts w:eastAsia="MS Gothic"/>
          <w:noProof/>
        </w:rPr>
      </w:pPr>
      <w:r>
        <w:rPr>
          <w:noProof/>
        </w:rPr>
        <w:t xml:space="preserve">În conformitate cu proiectul de legislație internă a Regatului Unit, banca centrală a Regatului Unit și anumite bănci centrale străine, precum și alte organisme publice din Regatul Unit sau străine care sunt însărcinate cu administrarea datoriei publice sau care intervin în administrarea acesteia ar fi exceptate de la obligația de a aplica tehnici de diminuare a riscului în cazul tranzacțiilor cu instrumente derivate extrabursiere care nu sunt compensate la nivel central. Trezoreria ar fi în măsură să extindă exceptarea și la alte jurisdicții străine. Exceptarea s-ar aplica, de asemenea, Băncii Reglementelor Internaționale și anumitor bănci multilaterale de dezvoltare și altor entități din sectorul public deținute de administrațiile centrale. </w:t>
      </w:r>
    </w:p>
    <w:p>
      <w:pPr>
        <w:pStyle w:val="Style1"/>
        <w:numPr>
          <w:ilvl w:val="0"/>
          <w:numId w:val="22"/>
        </w:numPr>
        <w:rPr>
          <w:rFonts w:eastAsia="MS Gothic"/>
          <w:noProof/>
        </w:rPr>
      </w:pPr>
      <w:r>
        <w:rPr>
          <w:noProof/>
        </w:rPr>
        <w:t>Concluzie</w:t>
      </w:r>
    </w:p>
    <w:p>
      <w:pPr>
        <w:pStyle w:val="Text1"/>
        <w:ind w:left="0"/>
        <w:rPr>
          <w:noProof/>
        </w:rPr>
      </w:pPr>
      <w:r>
        <w:rPr>
          <w:noProof/>
        </w:rPr>
        <w:t>Cadrul legislativ de punere în aplicare a reformelor privind instrumentele financiare derivate extrabursiere convenite la Pittsburgh în 2009 ar exista în Regatul Unit după retragerea sa din Uniune dacă legislația anunțată va intra în vigoare. Proiectul de cadru legislativ intern al Regatului Unit care încorporează EMIR acordă băncii centrale a Regatului Unit și băncilor centrale din anumite țări terțe, precum și organismelor publice din Regatul Unit sau din anumite țări terțe care sunt însărcinate cu administrarea datoriei publice sau care intervin în administrarea acesteia o exceptare de la obligațiile de compensare și raportare și de la obligația de aplicare a tehnicilor de diminuare a riscului. Proiectul de cadru legislativ al Regatului Unit include, de asemenea, dispoziții care permit extinderea exceptării la băncile centrale și organismele de administrare a datoriei publice ale altor țări străine.</w:t>
      </w:r>
    </w:p>
    <w:p>
      <w:pPr>
        <w:pStyle w:val="Text1"/>
        <w:ind w:left="0"/>
        <w:rPr>
          <w:noProof/>
        </w:rPr>
      </w:pPr>
      <w:r>
        <w:rPr>
          <w:noProof/>
        </w:rPr>
        <w:t>Includerea băncii centrale și a organismelor de administrare a datoriei publice ale Regatului Unit în lista entităților excluse din domeniul de aplicare al EMIR va exclude responsabilitățile monetare ale acestora din domeniul de aplicare al EMIR și va promova condiții de concurență echitabile în aplicarea reformelor EMIR în ceea ce privește tranzacțiile cu băncile centrale în toate jurisdicțiile. Aceasta va contribui, de asemenea, la o mai mare coerență și consecvență pe plan internațional.</w:t>
      </w:r>
    </w:p>
    <w:p>
      <w:pPr>
        <w:spacing w:after="240"/>
        <w:jc w:val="both"/>
        <w:rPr>
          <w:rFonts w:eastAsia="MS Gothic"/>
          <w:noProof/>
        </w:rPr>
      </w:pPr>
      <w:r>
        <w:rPr>
          <w:noProof/>
        </w:rPr>
        <w:t>Prin urmare, Comisia concluzionează că articolul 1 alineatul (4) din EMIR ar trebui modificat astfel încât banca centrală și alte organisme publice ale Regatului Unit însărcinate cu administrarea datoriei publice sau care intervin în administrarea acesteia să fie excluse din domeniul de aplicare al EMIR.</w:t>
      </w:r>
    </w:p>
    <w:p>
      <w:pPr>
        <w:spacing w:after="240"/>
        <w:jc w:val="both"/>
        <w:rPr>
          <w:noProof/>
        </w:rPr>
      </w:pPr>
      <w:r>
        <w:rPr>
          <w:noProof/>
        </w:rPr>
        <w:t xml:space="preserve">Analiza comparativă inclusă în prezentul raport nu este exhaustivă. Aceasta se bazează pe legislația internă a Regatului Unit care încorporează EMIR, unele părți ale acesteia nefiind încă adoptate integral. </w:t>
      </w:r>
    </w:p>
    <w:p>
      <w:pPr>
        <w:pStyle w:val="Text1"/>
        <w:ind w:left="0"/>
        <w:rPr>
          <w:noProof/>
        </w:rPr>
      </w:pPr>
      <w:r>
        <w:rPr>
          <w:noProof/>
        </w:rPr>
        <w:t xml:space="preserve">Comisia va continua să examineze periodic regimul internațional aplicat băncilor centrale și organismelor publice în ceea ce privește instrumentele derivate extrabursiere în țările terțe, inclusiv în țările terțe enumerate la articolul 1 alineatul (4) din EMIR. Lista entităților exceptate poate fi actualizată în funcție de evoluția reglementărilor din țările terțe respective și de noile surse relevante de informații. Reevaluarea ar putea determina, de asemenea, eliminarea unor țări terțe din lista entităților exceptate. </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6420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Rezultatele acestei examinări au făcut obiectul unui raport adoptat la 22 martie 2013, </w:t>
      </w:r>
      <w:r>
        <w:rPr>
          <w:rFonts w:ascii="Times New Roman" w:hAnsi="Times New Roman"/>
        </w:rPr>
        <w:t>COM (2013) 158 final</w:t>
      </w:r>
      <w:r>
        <w:t>.</w:t>
      </w:r>
    </w:p>
  </w:footnote>
  <w:footnote w:id="2">
    <w:p>
      <w:pPr>
        <w:pStyle w:val="FootnoteText"/>
      </w:pPr>
      <w:r>
        <w:rPr>
          <w:rStyle w:val="FootnoteReference"/>
        </w:rPr>
        <w:footnoteRef/>
      </w:r>
      <w:r>
        <w:t xml:space="preserve"> Regulamentul delegat (UE) nr. 1002/2013 al Comisiei din 12 iulie 2013 de modificare a Regulamentului (UE) nr. 648/2012, JO L 279, 19.10.2013, p. 2.</w:t>
      </w:r>
    </w:p>
  </w:footnote>
  <w:footnote w:id="3">
    <w:p>
      <w:pPr>
        <w:pStyle w:val="FootnoteText"/>
      </w:pPr>
      <w:r>
        <w:rPr>
          <w:rStyle w:val="FootnoteReference"/>
        </w:rPr>
        <w:footnoteRef/>
      </w:r>
      <w:r>
        <w:t xml:space="preserve"> Rezultatele acestei examinări au făcut obiectul unui raport adoptat la 2 martie 2017, COM (2017) 104 final.</w:t>
      </w:r>
    </w:p>
  </w:footnote>
  <w:footnote w:id="4">
    <w:p>
      <w:pPr>
        <w:pStyle w:val="FootnoteText"/>
      </w:pPr>
      <w:r>
        <w:rPr>
          <w:rStyle w:val="FootnoteReference"/>
        </w:rPr>
        <w:footnoteRef/>
      </w:r>
      <w:r>
        <w:t xml:space="preserve"> Regulamentul delegat (UE) 2017/979 al Comisiei din 2 martie 2017, JO L 148, 10.6.2017, p. 1.</w:t>
      </w:r>
    </w:p>
  </w:footnote>
  <w:footnote w:id="5">
    <w:p>
      <w:pPr>
        <w:pStyle w:val="FootnoteText"/>
      </w:pPr>
      <w:r>
        <w:rPr>
          <w:rStyle w:val="FootnoteReference"/>
        </w:rPr>
        <w:footnoteRef/>
      </w:r>
      <w:r>
        <w:t xml:space="preserve"> </w:t>
      </w:r>
      <w:r>
        <w:rPr>
          <w:i/>
        </w:rPr>
        <w:t>The Central Counterparties (Amendment, etc., and Transitional Provision) (EU Exit) Regulations 2018</w:t>
      </w:r>
      <w:r>
        <w:t xml:space="preserve"> [Legea privind contrapărțile centrale (modificare și dispoziții tranzitorii) (Retragerea din UE) din 2018], adoptată la 13 noiembrie 2018 (SI 2018 No. 1184); </w:t>
      </w:r>
      <w:r>
        <w:rPr>
          <w:i/>
        </w:rPr>
        <w:t>The trade repositories (Amandment and Transitional provision) (EU Exit) Regulations 2018</w:t>
      </w:r>
      <w:r>
        <w:t xml:space="preserve"> [Legea privind registrele centrale de tranzacții (Modificare și dispoziții tranzitorii) (Retragerea din UE) din 2018], adoptată la 6 decembrie 2018 (SI 2018 No. 1318);</w:t>
      </w:r>
    </w:p>
  </w:footnote>
  <w:footnote w:id="6">
    <w:p>
      <w:pPr>
        <w:pStyle w:val="FootnoteText"/>
      </w:pPr>
      <w:r>
        <w:rPr>
          <w:rStyle w:val="FootnoteReference"/>
        </w:rPr>
        <w:footnoteRef/>
      </w:r>
      <w:r>
        <w:t xml:space="preserve"> </w:t>
      </w:r>
      <w:r>
        <w:rPr>
          <w:i/>
        </w:rPr>
        <w:t>The Over the Counter Derivatives, Central Counterparties and Trade Repositories (Amendment, etc., and Transitional Provision) (EU Exit) Regulations 2018</w:t>
      </w:r>
      <w:r>
        <w:t xml:space="preserve"> [Legea privind instrumentele derivate extrabursiere, contrapărțile centrale și registrele centrale de tranzacții (modificare și dispoziții tranzitorii) (Retragerea din UE) din 2018], proiect publicat pentru consultare la 22 octombrie 2018.</w:t>
      </w:r>
    </w:p>
  </w:footnote>
  <w:footnote w:id="7">
    <w:p>
      <w:pPr>
        <w:pStyle w:val="FootnoteText"/>
      </w:pPr>
      <w:r>
        <w:rPr>
          <w:rStyle w:val="FootnoteReference"/>
        </w:rPr>
        <w:footnoteRef/>
      </w:r>
      <w:r>
        <w:t xml:space="preserve"> </w:t>
      </w:r>
      <w:r>
        <w:rPr>
          <w:i/>
        </w:rPr>
        <w:t>The Over the Counter Derivatives, Central Counterparties and Trade Repositories (Amendment, etc., and Transitional Provision) (EU Exit) Regulations 2018</w:t>
      </w:r>
      <w:r>
        <w:t xml:space="preserve"> [Legea privind instrumentele derivate extrabursiere, contrapărțile centrale și registrele centrale de tranzacții (modificare și dispoziții tranzitorii) (Retragerea din UE) din 2018], proiect publicat pentru consultare la 22 octombrie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FDD"/>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39C1CEB"/>
    <w:multiLevelType w:val="singleLevel"/>
    <w:tmpl w:val="45AEB0BC"/>
    <w:lvl w:ilvl="0">
      <w:start w:val="10"/>
      <w:numFmt w:val="decimal"/>
      <w:lvlText w:val="%1"/>
      <w:legacy w:legacy="1" w:legacySpace="0" w:legacyIndent="360"/>
      <w:lvlJc w:val="left"/>
      <w:rPr>
        <w:rFonts w:ascii="Times New Roman" w:hAnsi="Times New Roman" w:cs="Times New Roman" w:hint="default"/>
      </w:rPr>
    </w:lvl>
  </w:abstractNum>
  <w:abstractNum w:abstractNumId="2">
    <w:nsid w:val="0BFF54F2"/>
    <w:multiLevelType w:val="singleLevel"/>
    <w:tmpl w:val="2D64B794"/>
    <w:lvl w:ilvl="0">
      <w:start w:val="13"/>
      <w:numFmt w:val="decimal"/>
      <w:lvlText w:val="%1"/>
      <w:legacy w:legacy="1" w:legacySpace="0" w:legacyIndent="360"/>
      <w:lvlJc w:val="left"/>
      <w:rPr>
        <w:rFonts w:ascii="Times New Roman" w:hAnsi="Times New Roman" w:cs="Times New Roman" w:hint="default"/>
      </w:rPr>
    </w:lvl>
  </w:abstractNum>
  <w:abstractNum w:abstractNumId="3">
    <w:nsid w:val="0D9B1EED"/>
    <w:multiLevelType w:val="hybridMultilevel"/>
    <w:tmpl w:val="3430798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1F10200"/>
    <w:multiLevelType w:val="hybridMultilevel"/>
    <w:tmpl w:val="E500CECE"/>
    <w:lvl w:ilvl="0" w:tplc="7966C6AA">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2E4C83"/>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65154FB"/>
    <w:multiLevelType w:val="singleLevel"/>
    <w:tmpl w:val="E7EE1D06"/>
    <w:lvl w:ilvl="0">
      <w:start w:val="14"/>
      <w:numFmt w:val="decimal"/>
      <w:lvlText w:val="%1"/>
      <w:legacy w:legacy="1" w:legacySpace="0" w:legacyIndent="360"/>
      <w:lvlJc w:val="left"/>
      <w:rPr>
        <w:rFonts w:ascii="Times New Roman" w:hAnsi="Times New Roman" w:cs="Times New Roman" w:hint="default"/>
      </w:rPr>
    </w:lvl>
  </w:abstractNum>
  <w:abstractNum w:abstractNumId="7">
    <w:nsid w:val="16BC5609"/>
    <w:multiLevelType w:val="singleLevel"/>
    <w:tmpl w:val="BC76824E"/>
    <w:lvl w:ilvl="0">
      <w:start w:val="3"/>
      <w:numFmt w:val="decimal"/>
      <w:lvlText w:val="%1"/>
      <w:legacy w:legacy="1" w:legacySpace="0" w:legacyIndent="360"/>
      <w:lvlJc w:val="left"/>
      <w:rPr>
        <w:rFonts w:ascii="Times New Roman" w:hAnsi="Times New Roman" w:cs="Times New Roman"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762F6D"/>
    <w:multiLevelType w:val="singleLevel"/>
    <w:tmpl w:val="31BA27F6"/>
    <w:lvl w:ilvl="0">
      <w:start w:val="8"/>
      <w:numFmt w:val="decimal"/>
      <w:lvlText w:val="%1"/>
      <w:legacy w:legacy="1" w:legacySpace="0" w:legacyIndent="360"/>
      <w:lvlJc w:val="left"/>
      <w:rPr>
        <w:rFonts w:ascii="Times New Roman" w:hAnsi="Times New Roman" w:cs="Times New Roman" w:hint="default"/>
      </w:rPr>
    </w:lvl>
  </w:abstractNum>
  <w:abstractNum w:abstractNumId="10">
    <w:nsid w:val="20CF4B17"/>
    <w:multiLevelType w:val="singleLevel"/>
    <w:tmpl w:val="01684F14"/>
    <w:lvl w:ilvl="0">
      <w:start w:val="7"/>
      <w:numFmt w:val="decimal"/>
      <w:lvlText w:val="%1"/>
      <w:legacy w:legacy="1" w:legacySpace="0" w:legacyIndent="360"/>
      <w:lvlJc w:val="left"/>
      <w:rPr>
        <w:rFonts w:ascii="Times New Roman" w:hAnsi="Times New Roman" w:cs="Times New Roman" w:hint="default"/>
      </w:rPr>
    </w:lvl>
  </w:abstractNum>
  <w:abstractNum w:abstractNumId="11">
    <w:nsid w:val="29FE1F55"/>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1954B81"/>
    <w:multiLevelType w:val="singleLevel"/>
    <w:tmpl w:val="A680144A"/>
    <w:lvl w:ilvl="0">
      <w:start w:val="4"/>
      <w:numFmt w:val="decimal"/>
      <w:lvlText w:val="%1"/>
      <w:legacy w:legacy="1" w:legacySpace="0" w:legacyIndent="360"/>
      <w:lvlJc w:val="left"/>
      <w:rPr>
        <w:rFonts w:ascii="Times New Roman" w:hAnsi="Times New Roman" w:cs="Times New Roman" w:hint="default"/>
      </w:rPr>
    </w:lvl>
  </w:abstractNum>
  <w:abstractNum w:abstractNumId="13">
    <w:nsid w:val="32EF2D94"/>
    <w:multiLevelType w:val="hybridMultilevel"/>
    <w:tmpl w:val="A08C988A"/>
    <w:lvl w:ilvl="0" w:tplc="FFFFFFFF">
      <w:start w:val="1"/>
      <w:numFmt w:val="decimal"/>
      <w:lvlText w:val="%1."/>
      <w:lvlJc w:val="left"/>
      <w:pPr>
        <w:ind w:left="1200" w:hanging="360"/>
      </w:pPr>
      <w:rPr>
        <w:rFonts w:cs="Times New Roman"/>
      </w:rPr>
    </w:lvl>
    <w:lvl w:ilvl="1" w:tplc="FFFFFFFF" w:tentative="1">
      <w:start w:val="1"/>
      <w:numFmt w:val="lowerLetter"/>
      <w:lvlText w:val="%2."/>
      <w:lvlJc w:val="left"/>
      <w:pPr>
        <w:ind w:left="1920" w:hanging="360"/>
      </w:pPr>
      <w:rPr>
        <w:rFonts w:cs="Times New Roman"/>
      </w:rPr>
    </w:lvl>
    <w:lvl w:ilvl="2" w:tplc="FFFFFFFF" w:tentative="1">
      <w:start w:val="1"/>
      <w:numFmt w:val="lowerRoman"/>
      <w:lvlText w:val="%3."/>
      <w:lvlJc w:val="right"/>
      <w:pPr>
        <w:ind w:left="2640" w:hanging="180"/>
      </w:pPr>
      <w:rPr>
        <w:rFonts w:cs="Times New Roman"/>
      </w:rPr>
    </w:lvl>
    <w:lvl w:ilvl="3" w:tplc="FFFFFFFF" w:tentative="1">
      <w:start w:val="1"/>
      <w:numFmt w:val="decimal"/>
      <w:lvlText w:val="%4."/>
      <w:lvlJc w:val="left"/>
      <w:pPr>
        <w:ind w:left="3360" w:hanging="360"/>
      </w:pPr>
      <w:rPr>
        <w:rFonts w:cs="Times New Roman"/>
      </w:rPr>
    </w:lvl>
    <w:lvl w:ilvl="4" w:tplc="FFFFFFFF" w:tentative="1">
      <w:start w:val="1"/>
      <w:numFmt w:val="lowerLetter"/>
      <w:lvlText w:val="%5."/>
      <w:lvlJc w:val="left"/>
      <w:pPr>
        <w:ind w:left="4080" w:hanging="360"/>
      </w:pPr>
      <w:rPr>
        <w:rFonts w:cs="Times New Roman"/>
      </w:rPr>
    </w:lvl>
    <w:lvl w:ilvl="5" w:tplc="FFFFFFFF" w:tentative="1">
      <w:start w:val="1"/>
      <w:numFmt w:val="lowerRoman"/>
      <w:lvlText w:val="%6."/>
      <w:lvlJc w:val="right"/>
      <w:pPr>
        <w:ind w:left="4800" w:hanging="180"/>
      </w:pPr>
      <w:rPr>
        <w:rFonts w:cs="Times New Roman"/>
      </w:rPr>
    </w:lvl>
    <w:lvl w:ilvl="6" w:tplc="FFFFFFFF" w:tentative="1">
      <w:start w:val="1"/>
      <w:numFmt w:val="decimal"/>
      <w:lvlText w:val="%7."/>
      <w:lvlJc w:val="left"/>
      <w:pPr>
        <w:ind w:left="5520" w:hanging="360"/>
      </w:pPr>
      <w:rPr>
        <w:rFonts w:cs="Times New Roman"/>
      </w:rPr>
    </w:lvl>
    <w:lvl w:ilvl="7" w:tplc="FFFFFFFF" w:tentative="1">
      <w:start w:val="1"/>
      <w:numFmt w:val="lowerLetter"/>
      <w:lvlText w:val="%8."/>
      <w:lvlJc w:val="left"/>
      <w:pPr>
        <w:ind w:left="6240" w:hanging="360"/>
      </w:pPr>
      <w:rPr>
        <w:rFonts w:cs="Times New Roman"/>
      </w:rPr>
    </w:lvl>
    <w:lvl w:ilvl="8" w:tplc="FFFFFFFF" w:tentative="1">
      <w:start w:val="1"/>
      <w:numFmt w:val="lowerRoman"/>
      <w:lvlText w:val="%9."/>
      <w:lvlJc w:val="right"/>
      <w:pPr>
        <w:ind w:left="6960" w:hanging="180"/>
      </w:pPr>
      <w:rPr>
        <w:rFonts w:cs="Times New Roman"/>
      </w:rPr>
    </w:lvl>
  </w:abstractNum>
  <w:abstractNum w:abstractNumId="14">
    <w:nsid w:val="330F0390"/>
    <w:multiLevelType w:val="hybridMultilevel"/>
    <w:tmpl w:val="CD5CF3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6A62B94"/>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B074B32"/>
    <w:multiLevelType w:val="singleLevel"/>
    <w:tmpl w:val="EE582FDA"/>
    <w:lvl w:ilvl="0">
      <w:start w:val="12"/>
      <w:numFmt w:val="decimal"/>
      <w:lvlText w:val="%1"/>
      <w:legacy w:legacy="1" w:legacySpace="0" w:legacyIndent="360"/>
      <w:lvlJc w:val="left"/>
      <w:rPr>
        <w:rFonts w:ascii="Times New Roman" w:hAnsi="Times New Roman" w:cs="Times New Roman" w:hint="default"/>
      </w:rPr>
    </w:lvl>
  </w:abstractNum>
  <w:abstractNum w:abstractNumId="17">
    <w:nsid w:val="3B77160C"/>
    <w:multiLevelType w:val="singleLevel"/>
    <w:tmpl w:val="D9A4EC58"/>
    <w:lvl w:ilvl="0">
      <w:start w:val="9"/>
      <w:numFmt w:val="decimal"/>
      <w:lvlText w:val="%1"/>
      <w:legacy w:legacy="1" w:legacySpace="0" w:legacyIndent="360"/>
      <w:lvlJc w:val="left"/>
      <w:rPr>
        <w:rFonts w:ascii="Times New Roman" w:hAnsi="Times New Roman" w:cs="Times New Roman" w:hint="default"/>
      </w:rPr>
    </w:lvl>
  </w:abstractNum>
  <w:abstractNum w:abstractNumId="18">
    <w:nsid w:val="40856300"/>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0B225B1"/>
    <w:multiLevelType w:val="hybridMultilevel"/>
    <w:tmpl w:val="8312E56E"/>
    <w:lvl w:ilvl="0" w:tplc="FFFFFFFF">
      <w:start w:val="1"/>
      <w:numFmt w:val="decimal"/>
      <w:lvlText w:val="%1."/>
      <w:lvlJc w:val="left"/>
      <w:pPr>
        <w:ind w:left="1200" w:hanging="360"/>
      </w:pPr>
      <w:rPr>
        <w:rFonts w:cs="Times New Roman"/>
      </w:rPr>
    </w:lvl>
    <w:lvl w:ilvl="1" w:tplc="FFFFFFFF" w:tentative="1">
      <w:start w:val="1"/>
      <w:numFmt w:val="lowerLetter"/>
      <w:lvlText w:val="%2."/>
      <w:lvlJc w:val="left"/>
      <w:pPr>
        <w:ind w:left="1920" w:hanging="360"/>
      </w:pPr>
      <w:rPr>
        <w:rFonts w:cs="Times New Roman"/>
      </w:rPr>
    </w:lvl>
    <w:lvl w:ilvl="2" w:tplc="FFFFFFFF" w:tentative="1">
      <w:start w:val="1"/>
      <w:numFmt w:val="lowerRoman"/>
      <w:lvlText w:val="%3."/>
      <w:lvlJc w:val="right"/>
      <w:pPr>
        <w:ind w:left="2640" w:hanging="180"/>
      </w:pPr>
      <w:rPr>
        <w:rFonts w:cs="Times New Roman"/>
      </w:rPr>
    </w:lvl>
    <w:lvl w:ilvl="3" w:tplc="FFFFFFFF" w:tentative="1">
      <w:start w:val="1"/>
      <w:numFmt w:val="decimal"/>
      <w:lvlText w:val="%4."/>
      <w:lvlJc w:val="left"/>
      <w:pPr>
        <w:ind w:left="3360" w:hanging="360"/>
      </w:pPr>
      <w:rPr>
        <w:rFonts w:cs="Times New Roman"/>
      </w:rPr>
    </w:lvl>
    <w:lvl w:ilvl="4" w:tplc="FFFFFFFF" w:tentative="1">
      <w:start w:val="1"/>
      <w:numFmt w:val="lowerLetter"/>
      <w:lvlText w:val="%5."/>
      <w:lvlJc w:val="left"/>
      <w:pPr>
        <w:ind w:left="4080" w:hanging="360"/>
      </w:pPr>
      <w:rPr>
        <w:rFonts w:cs="Times New Roman"/>
      </w:rPr>
    </w:lvl>
    <w:lvl w:ilvl="5" w:tplc="FFFFFFFF" w:tentative="1">
      <w:start w:val="1"/>
      <w:numFmt w:val="lowerRoman"/>
      <w:lvlText w:val="%6."/>
      <w:lvlJc w:val="right"/>
      <w:pPr>
        <w:ind w:left="4800" w:hanging="180"/>
      </w:pPr>
      <w:rPr>
        <w:rFonts w:cs="Times New Roman"/>
      </w:rPr>
    </w:lvl>
    <w:lvl w:ilvl="6" w:tplc="FFFFFFFF" w:tentative="1">
      <w:start w:val="1"/>
      <w:numFmt w:val="decimal"/>
      <w:lvlText w:val="%7."/>
      <w:lvlJc w:val="left"/>
      <w:pPr>
        <w:ind w:left="5520" w:hanging="360"/>
      </w:pPr>
      <w:rPr>
        <w:rFonts w:cs="Times New Roman"/>
      </w:rPr>
    </w:lvl>
    <w:lvl w:ilvl="7" w:tplc="FFFFFFFF" w:tentative="1">
      <w:start w:val="1"/>
      <w:numFmt w:val="lowerLetter"/>
      <w:lvlText w:val="%8."/>
      <w:lvlJc w:val="left"/>
      <w:pPr>
        <w:ind w:left="6240" w:hanging="360"/>
      </w:pPr>
      <w:rPr>
        <w:rFonts w:cs="Times New Roman"/>
      </w:rPr>
    </w:lvl>
    <w:lvl w:ilvl="8" w:tplc="FFFFFFFF" w:tentative="1">
      <w:start w:val="1"/>
      <w:numFmt w:val="lowerRoman"/>
      <w:lvlText w:val="%9."/>
      <w:lvlJc w:val="right"/>
      <w:pPr>
        <w:ind w:left="6960" w:hanging="180"/>
      </w:pPr>
      <w:rPr>
        <w:rFonts w:cs="Times New Roman"/>
      </w:rPr>
    </w:lvl>
  </w:abstractNum>
  <w:abstractNum w:abstractNumId="20">
    <w:nsid w:val="419C42D5"/>
    <w:multiLevelType w:val="hybridMultilevel"/>
    <w:tmpl w:val="6CD82C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20A3C88"/>
    <w:multiLevelType w:val="singleLevel"/>
    <w:tmpl w:val="9F5CFA80"/>
    <w:lvl w:ilvl="0">
      <w:start w:val="1"/>
      <w:numFmt w:val="decimal"/>
      <w:lvlText w:val="%1"/>
      <w:legacy w:legacy="1" w:legacySpace="0" w:legacyIndent="360"/>
      <w:lvlJc w:val="left"/>
      <w:rPr>
        <w:rFonts w:ascii="Times New Roman" w:hAnsi="Times New Roman" w:cs="Times New Roman" w:hint="default"/>
      </w:rPr>
    </w:lvl>
  </w:abstractNum>
  <w:abstractNum w:abstractNumId="22">
    <w:nsid w:val="437D5F2A"/>
    <w:multiLevelType w:val="singleLevel"/>
    <w:tmpl w:val="E7180BD4"/>
    <w:lvl w:ilvl="0">
      <w:start w:val="2"/>
      <w:numFmt w:val="decimal"/>
      <w:lvlText w:val="%1"/>
      <w:legacy w:legacy="1" w:legacySpace="0" w:legacyIndent="360"/>
      <w:lvlJc w:val="left"/>
      <w:rPr>
        <w:rFonts w:ascii="Times New Roman" w:hAnsi="Times New Roman" w:cs="Times New Roman" w:hint="default"/>
      </w:rPr>
    </w:lvl>
  </w:abstractNum>
  <w:abstractNum w:abstractNumId="23">
    <w:nsid w:val="4553571C"/>
    <w:multiLevelType w:val="hybridMultilevel"/>
    <w:tmpl w:val="1B3C199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9656756"/>
    <w:multiLevelType w:val="singleLevel"/>
    <w:tmpl w:val="CFB4C1C0"/>
    <w:lvl w:ilvl="0">
      <w:start w:val="11"/>
      <w:numFmt w:val="decimal"/>
      <w:lvlText w:val="%1"/>
      <w:legacy w:legacy="1" w:legacySpace="0" w:legacyIndent="360"/>
      <w:lvlJc w:val="left"/>
      <w:rPr>
        <w:rFonts w:ascii="Times New Roman" w:hAnsi="Times New Roman" w:cs="Times New Roman" w:hint="default"/>
        <w:b/>
      </w:rPr>
    </w:lvl>
  </w:abstractNum>
  <w:abstractNum w:abstractNumId="25">
    <w:nsid w:val="4A6258B7"/>
    <w:multiLevelType w:val="hybridMultilevel"/>
    <w:tmpl w:val="D7428D3A"/>
    <w:lvl w:ilvl="0" w:tplc="FFFFFFFF">
      <w:start w:val="1"/>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4AAC68EF"/>
    <w:multiLevelType w:val="singleLevel"/>
    <w:tmpl w:val="E7180BD4"/>
    <w:lvl w:ilvl="0">
      <w:start w:val="2"/>
      <w:numFmt w:val="decimal"/>
      <w:lvlText w:val="%1"/>
      <w:legacy w:legacy="1" w:legacySpace="0" w:legacyIndent="360"/>
      <w:lvlJc w:val="left"/>
      <w:rPr>
        <w:rFonts w:ascii="Times New Roman" w:hAnsi="Times New Roman" w:cs="Times New Roman" w:hint="default"/>
      </w:rPr>
    </w:lvl>
  </w:abstractNum>
  <w:abstractNum w:abstractNumId="2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5BB90BE2"/>
    <w:multiLevelType w:val="singleLevel"/>
    <w:tmpl w:val="292A81C8"/>
    <w:lvl w:ilvl="0">
      <w:start w:val="6"/>
      <w:numFmt w:val="decimal"/>
      <w:lvlText w:val="%1"/>
      <w:legacy w:legacy="1" w:legacySpace="0" w:legacyIndent="360"/>
      <w:lvlJc w:val="left"/>
      <w:rPr>
        <w:rFonts w:ascii="Times New Roman" w:hAnsi="Times New Roman" w:cs="Times New Roman" w:hint="default"/>
      </w:rPr>
    </w:lvl>
  </w:abstractNum>
  <w:abstractNum w:abstractNumId="29">
    <w:nsid w:val="5C6D06A1"/>
    <w:multiLevelType w:val="singleLevel"/>
    <w:tmpl w:val="DB307F60"/>
    <w:lvl w:ilvl="0">
      <w:start w:val="15"/>
      <w:numFmt w:val="decimal"/>
      <w:lvlText w:val="%1"/>
      <w:legacy w:legacy="1" w:legacySpace="0" w:legacyIndent="360"/>
      <w:lvlJc w:val="left"/>
      <w:rPr>
        <w:rFonts w:ascii="Times New Roman" w:hAnsi="Times New Roman" w:cs="Times New Roman" w:hint="default"/>
      </w:rPr>
    </w:lvl>
  </w:abstractNum>
  <w:abstractNum w:abstractNumId="30">
    <w:nsid w:val="639A6627"/>
    <w:multiLevelType w:val="multilevel"/>
    <w:tmpl w:val="C7D6F24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4D04590"/>
    <w:multiLevelType w:val="hybridMultilevel"/>
    <w:tmpl w:val="C56EB60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nsid w:val="65524950"/>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5CB6740"/>
    <w:multiLevelType w:val="multilevel"/>
    <w:tmpl w:val="96DC18E8"/>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690005A"/>
    <w:multiLevelType w:val="hybridMultilevel"/>
    <w:tmpl w:val="3A588D2A"/>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66E5203A"/>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7E04266"/>
    <w:multiLevelType w:val="hybridMultilevel"/>
    <w:tmpl w:val="0882E102"/>
    <w:lvl w:ilvl="0" w:tplc="93BAED52">
      <w:start w:val="1"/>
      <w:numFmt w:val="decimal"/>
      <w:pStyle w:val="HeaderCoverPage"/>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98A0F54"/>
    <w:multiLevelType w:val="hybridMultilevel"/>
    <w:tmpl w:val="8C10C7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F764DFD"/>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09A073E"/>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0F067E6"/>
    <w:multiLevelType w:val="singleLevel"/>
    <w:tmpl w:val="1196F6A8"/>
    <w:lvl w:ilvl="0">
      <w:start w:val="1"/>
      <w:numFmt w:val="decimal"/>
      <w:lvlText w:val="1.%1"/>
      <w:lvlJc w:val="left"/>
      <w:pPr>
        <w:ind w:left="360" w:hanging="360"/>
      </w:pPr>
      <w:rPr>
        <w:rFonts w:cs="Times New Roman" w:hint="default"/>
      </w:rPr>
    </w:lvl>
  </w:abstractNum>
  <w:abstractNum w:abstractNumId="41">
    <w:nsid w:val="7556301F"/>
    <w:multiLevelType w:val="hybridMultilevel"/>
    <w:tmpl w:val="9D069C5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nsid w:val="78E5296C"/>
    <w:multiLevelType w:val="singleLevel"/>
    <w:tmpl w:val="9ABCBCD8"/>
    <w:lvl w:ilvl="0">
      <w:start w:val="16"/>
      <w:numFmt w:val="decimal"/>
      <w:lvlText w:val="%1"/>
      <w:legacy w:legacy="1" w:legacySpace="0" w:legacyIndent="360"/>
      <w:lvlJc w:val="left"/>
      <w:rPr>
        <w:rFonts w:ascii="Times New Roman" w:hAnsi="Times New Roman" w:cs="Times New Roman" w:hint="default"/>
      </w:rPr>
    </w:lvl>
  </w:abstractNum>
  <w:abstractNum w:abstractNumId="43">
    <w:nsid w:val="7EA01310"/>
    <w:multiLevelType w:val="singleLevel"/>
    <w:tmpl w:val="BC76824E"/>
    <w:lvl w:ilvl="0">
      <w:start w:val="3"/>
      <w:numFmt w:val="decimal"/>
      <w:lvlText w:val="%1"/>
      <w:legacy w:legacy="1" w:legacySpace="0" w:legacyIndent="360"/>
      <w:lvlJc w:val="left"/>
      <w:rPr>
        <w:rFonts w:ascii="Times New Roman" w:hAnsi="Times New Roman" w:cs="Times New Roman" w:hint="default"/>
      </w:rPr>
    </w:lvl>
  </w:abstractNum>
  <w:num w:numId="1">
    <w:abstractNumId w:val="33"/>
  </w:num>
  <w:num w:numId="2">
    <w:abstractNumId w:val="26"/>
  </w:num>
  <w:num w:numId="3">
    <w:abstractNumId w:val="7"/>
  </w:num>
  <w:num w:numId="4">
    <w:abstractNumId w:val="12"/>
  </w:num>
  <w:num w:numId="5">
    <w:abstractNumId w:val="30"/>
  </w:num>
  <w:num w:numId="6">
    <w:abstractNumId w:val="28"/>
  </w:num>
  <w:num w:numId="7">
    <w:abstractNumId w:val="10"/>
  </w:num>
  <w:num w:numId="8">
    <w:abstractNumId w:val="9"/>
  </w:num>
  <w:num w:numId="9">
    <w:abstractNumId w:val="17"/>
  </w:num>
  <w:num w:numId="10">
    <w:abstractNumId w:val="21"/>
  </w:num>
  <w:num w:numId="11">
    <w:abstractNumId w:val="1"/>
  </w:num>
  <w:num w:numId="12">
    <w:abstractNumId w:val="24"/>
  </w:num>
  <w:num w:numId="13">
    <w:abstractNumId w:val="22"/>
  </w:num>
  <w:num w:numId="14">
    <w:abstractNumId w:val="43"/>
  </w:num>
  <w:num w:numId="15">
    <w:abstractNumId w:val="16"/>
  </w:num>
  <w:num w:numId="16">
    <w:abstractNumId w:val="2"/>
  </w:num>
  <w:num w:numId="17">
    <w:abstractNumId w:val="6"/>
  </w:num>
  <w:num w:numId="18">
    <w:abstractNumId w:val="29"/>
  </w:num>
  <w:num w:numId="19">
    <w:abstractNumId w:val="42"/>
  </w:num>
  <w:num w:numId="20">
    <w:abstractNumId w:val="34"/>
  </w:num>
  <w:num w:numId="21">
    <w:abstractNumId w:val="41"/>
  </w:num>
  <w:num w:numId="22">
    <w:abstractNumId w:val="36"/>
  </w:num>
  <w:num w:numId="23">
    <w:abstractNumId w:val="25"/>
  </w:num>
  <w:num w:numId="24">
    <w:abstractNumId w:val="31"/>
  </w:num>
  <w:num w:numId="25">
    <w:abstractNumId w:val="23"/>
  </w:num>
  <w:num w:numId="26">
    <w:abstractNumId w:val="19"/>
  </w:num>
  <w:num w:numId="27">
    <w:abstractNumId w:val="13"/>
  </w:num>
  <w:num w:numId="28">
    <w:abstractNumId w:val="3"/>
  </w:num>
  <w:num w:numId="29">
    <w:abstractNumId w:val="14"/>
  </w:num>
  <w:num w:numId="30">
    <w:abstractNumId w:val="37"/>
  </w:num>
  <w:num w:numId="31">
    <w:abstractNumId w:val="20"/>
  </w:num>
  <w:num w:numId="32">
    <w:abstractNumId w:val="40"/>
  </w:num>
  <w:num w:numId="33">
    <w:abstractNumId w:val="11"/>
  </w:num>
  <w:num w:numId="34">
    <w:abstractNumId w:val="15"/>
  </w:num>
  <w:num w:numId="35">
    <w:abstractNumId w:val="39"/>
  </w:num>
  <w:num w:numId="36">
    <w:abstractNumId w:val="32"/>
  </w:num>
  <w:num w:numId="37">
    <w:abstractNumId w:val="0"/>
  </w:num>
  <w:num w:numId="38">
    <w:abstractNumId w:val="35"/>
  </w:num>
  <w:num w:numId="39">
    <w:abstractNumId w:val="18"/>
  </w:num>
  <w:num w:numId="40">
    <w:abstractNumId w:val="5"/>
  </w:num>
  <w:num w:numId="41">
    <w:abstractNumId w:val="38"/>
  </w:num>
  <w:num w:numId="42">
    <w:abstractNumId w:val="4"/>
  </w:num>
  <w:num w:numId="43">
    <w:abstractNumId w:va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45216FC-8016-4050-B663-DC0C0B88883E"/>
    <w:docVar w:name="LW_COVERPAGE_TYPE" w:val="1"/>
    <w:docVar w:name="LW_CROSSREFERENCE" w:val="&lt;UNUSED&gt;"/>
    <w:docVar w:name="LW_DocType" w:val="NORMAL"/>
    <w:docVar w:name="LW_EMISSION" w:val="30.1.2019"/>
    <w:docVar w:name="LW_EMISSION_ISODATE" w:val="2019-01-30"/>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ivind regimul interna\u539?ional aplicabil b\u259?ncilor centrale \u537?i entit\u259?\u539?ilor publice de administrare a datoriei publice în ceea ce prive\u537?te tranzac\u539?iile cu instrumente financiare derivate extrabursiere"/>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
    <w:unhideWhenUsed/>
    <w:qFormat/>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heme="minorEastAsia" w:hAnsi="Times New Roman" w:cs="Times New Roman"/>
      <w:sz w:val="24"/>
      <w:szCs w:val="24"/>
      <w:lang w:val="ro-RO" w:eastAsia="ro-RO"/>
    </w:rPr>
  </w:style>
  <w:style w:type="character" w:customStyle="1" w:styleId="Heading2Char">
    <w:name w:val="Heading 2 Char"/>
    <w:basedOn w:val="DefaultParagraphFont"/>
    <w:link w:val="Heading2"/>
    <w:uiPriority w:val="99"/>
    <w:rPr>
      <w:rFonts w:ascii="Times New Roman" w:eastAsiaTheme="minorEastAsia" w:hAnsi="Times New Roman" w:cs="Times New Roman"/>
      <w:sz w:val="24"/>
      <w:szCs w:val="24"/>
      <w:lang w:val="ro-RO" w:eastAsia="ro-RO"/>
    </w:rPr>
  </w:style>
  <w:style w:type="character" w:customStyle="1" w:styleId="Heading3Char">
    <w:name w:val="Heading 3 Char"/>
    <w:basedOn w:val="DefaultParagraphFont"/>
    <w:link w:val="Heading3"/>
    <w:uiPriority w:val="9"/>
    <w:rPr>
      <w:rFonts w:asciiTheme="majorHAnsi" w:eastAsiaTheme="majorEastAsia" w:hAnsiTheme="majorHAnsi" w:cs="Times New Roman"/>
      <w:b/>
      <w:bCs/>
      <w:sz w:val="26"/>
      <w:szCs w:val="26"/>
      <w:lang w:val="ro-RO" w:eastAsia="ro-RO"/>
    </w:rPr>
  </w:style>
  <w:style w:type="paragraph" w:styleId="FootnoteText">
    <w:name w:val="footnote text"/>
    <w:aliases w:val="Car"/>
    <w:basedOn w:val="Normal"/>
    <w:link w:val="FootnoteTextChar"/>
    <w:uiPriority w:val="99"/>
    <w:pPr>
      <w:widowControl/>
      <w:autoSpaceDE/>
      <w:autoSpaceDN/>
      <w:adjustRightInd/>
      <w:spacing w:line="200" w:lineRule="exact"/>
    </w:pPr>
    <w:rPr>
      <w:rFonts w:ascii="Georgia" w:hAnsi="Georgia"/>
      <w:sz w:val="16"/>
      <w:szCs w:val="20"/>
    </w:rPr>
  </w:style>
  <w:style w:type="character" w:customStyle="1" w:styleId="FootnoteTextChar">
    <w:name w:val="Footnote Text Char"/>
    <w:aliases w:val="Car Char"/>
    <w:basedOn w:val="DefaultParagraphFont"/>
    <w:link w:val="FootnoteText"/>
    <w:uiPriority w:val="99"/>
    <w:rPr>
      <w:rFonts w:ascii="Georgia" w:eastAsiaTheme="minorEastAsia" w:hAnsi="Georgia" w:cs="Times New Roman"/>
      <w:sz w:val="16"/>
      <w:szCs w:val="20"/>
      <w:lang w:eastAsia="ro-RO"/>
    </w:rPr>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16 Point"/>
    <w:basedOn w:val="DefaultParagraphFont"/>
    <w:uiPriority w:val="99"/>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ro-RO" w:eastAsia="ro-RO"/>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ro-RO" w:eastAsia="ro-RO"/>
    </w:rPr>
  </w:style>
  <w:style w:type="paragraph" w:styleId="Header">
    <w:name w:val="header"/>
    <w:basedOn w:val="Normal"/>
    <w:link w:val="HeaderChar"/>
    <w:uiPriority w:val="99"/>
    <w:unhideWhenUsed/>
    <w:pPr>
      <w:widowControl/>
      <w:tabs>
        <w:tab w:val="center" w:pos="4535"/>
        <w:tab w:val="right" w:pos="9071"/>
      </w:tabs>
      <w:autoSpaceDE/>
      <w:autoSpaceDN/>
      <w:adjustRightInd/>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widowControl/>
      <w:tabs>
        <w:tab w:val="center" w:pos="4535"/>
        <w:tab w:val="right" w:pos="9071"/>
        <w:tab w:val="right" w:pos="9921"/>
      </w:tabs>
      <w:autoSpaceDE/>
      <w:autoSpaceDN/>
      <w:adjustRightInd/>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customStyle="1" w:styleId="Style1">
    <w:name w:val="Style1"/>
    <w:basedOn w:val="Heading1"/>
    <w:link w:val="Style1Char"/>
    <w:qFormat/>
    <w:pPr>
      <w:keepNext/>
      <w:tabs>
        <w:tab w:val="left" w:pos="480"/>
      </w:tabs>
      <w:spacing w:before="240" w:after="240"/>
      <w:ind w:left="480" w:hanging="480"/>
    </w:pPr>
    <w:rPr>
      <w:b/>
      <w:bCs/>
      <w:smallCaps/>
    </w:rPr>
  </w:style>
  <w:style w:type="character" w:customStyle="1" w:styleId="Style1Char">
    <w:name w:val="Style1 Char"/>
    <w:basedOn w:val="Heading1Char"/>
    <w:link w:val="Style1"/>
    <w:locked/>
    <w:rPr>
      <w:rFonts w:ascii="Times New Roman" w:eastAsiaTheme="minorEastAsia" w:hAnsi="Times New Roman" w:cs="Times New Roman"/>
      <w:b/>
      <w:bCs/>
      <w:smallCaps/>
      <w:sz w:val="24"/>
      <w:szCs w:val="24"/>
      <w:lang w:val="ro-RO" w:eastAsia="ro-RO"/>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FooterCoverPageChar">
    <w:name w:val="Footer Cover Page Char"/>
    <w:basedOn w:val="Style1Char"/>
    <w:link w:val="FooterCoverPage"/>
    <w:locked/>
    <w:rPr>
      <w:rFonts w:ascii="Times New Roman" w:eastAsiaTheme="minorEastAsia" w:hAnsi="Times New Roman" w:cs="Times New Roman"/>
      <w:b w:val="0"/>
      <w:bCs w:val="0"/>
      <w:smallCaps w:val="0"/>
      <w:sz w:val="24"/>
      <w:szCs w:val="24"/>
      <w:lang w:val="ro-RO" w:eastAsia="ro-RO"/>
    </w:rPr>
  </w:style>
  <w:style w:type="paragraph" w:customStyle="1" w:styleId="HeaderCoverPage">
    <w:name w:val="Header Cover Page"/>
    <w:basedOn w:val="Normal"/>
    <w:link w:val="HeaderCoverPageChar"/>
    <w:pPr>
      <w:numPr>
        <w:numId w:val="22"/>
      </w:numPr>
      <w:tabs>
        <w:tab w:val="center" w:pos="4535"/>
        <w:tab w:val="right" w:pos="9071"/>
      </w:tabs>
      <w:spacing w:after="120"/>
      <w:ind w:left="0"/>
      <w:jc w:val="both"/>
    </w:pPr>
  </w:style>
  <w:style w:type="character" w:customStyle="1" w:styleId="HeaderCoverPageChar">
    <w:name w:val="Header Cover Page Char"/>
    <w:basedOn w:val="Style1Char"/>
    <w:link w:val="HeaderCoverPage"/>
    <w:locked/>
    <w:rPr>
      <w:rFonts w:ascii="Times New Roman" w:eastAsiaTheme="minorEastAsia" w:hAnsi="Times New Roman" w:cs="Times New Roman"/>
      <w:b w:val="0"/>
      <w:bCs w:val="0"/>
      <w:smallCaps w:val="0"/>
      <w:sz w:val="24"/>
      <w:szCs w:val="24"/>
      <w:lang w:val="ro-RO" w:eastAsia="ro-RO"/>
    </w:rPr>
  </w:style>
  <w:style w:type="paragraph" w:customStyle="1" w:styleId="Titreobjet">
    <w:name w:val="Titre objet"/>
    <w:basedOn w:val="Normal"/>
    <w:next w:val="Normal"/>
    <w:pPr>
      <w:widowControl/>
      <w:autoSpaceDE/>
      <w:autoSpaceDN/>
      <w:adjustRightInd/>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widowControl/>
      <w:autoSpaceDE/>
      <w:autoSpaceDN/>
      <w:adjustRightInd/>
      <w:jc w:val="both"/>
    </w:pPr>
    <w:rPr>
      <w:rFonts w:eastAsiaTheme="minorHAnsi"/>
      <w:szCs w:val="22"/>
    </w:rPr>
  </w:style>
  <w:style w:type="paragraph" w:customStyle="1" w:styleId="HeaderLandscape">
    <w:name w:val="HeaderLandscape"/>
    <w:basedOn w:val="Normal"/>
    <w:pPr>
      <w:widowControl/>
      <w:tabs>
        <w:tab w:val="center" w:pos="7285"/>
        <w:tab w:val="right" w:pos="14003"/>
      </w:tabs>
      <w:autoSpaceDE/>
      <w:autoSpaceDN/>
      <w:adjustRightInd/>
      <w:spacing w:after="120"/>
      <w:jc w:val="both"/>
    </w:pPr>
    <w:rPr>
      <w:rFonts w:eastAsiaTheme="minorHAnsi"/>
      <w:szCs w:val="22"/>
    </w:rPr>
  </w:style>
  <w:style w:type="paragraph" w:customStyle="1" w:styleId="HeaderSensitivity">
    <w:name w:val="Head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after="120"/>
      <w:ind w:left="113" w:right="113"/>
      <w:jc w:val="center"/>
    </w:pPr>
    <w:rPr>
      <w:b/>
      <w:sz w:val="32"/>
    </w:rPr>
  </w:style>
  <w:style w:type="paragraph" w:customStyle="1" w:styleId="FooterLandscape">
    <w:name w:val="FooterLandscape"/>
    <w:basedOn w:val="Normal"/>
    <w:pPr>
      <w:widowControl/>
      <w:tabs>
        <w:tab w:val="center" w:pos="7285"/>
        <w:tab w:val="center" w:pos="10913"/>
        <w:tab w:val="right" w:pos="15137"/>
      </w:tabs>
      <w:autoSpaceDE/>
      <w:autoSpaceDN/>
      <w:adjustRightInd/>
      <w:spacing w:before="360"/>
      <w:ind w:left="-567" w:right="-567"/>
    </w:pPr>
    <w:rPr>
      <w:rFonts w:eastAsiaTheme="minorHAnsi"/>
      <w:szCs w:val="22"/>
    </w:rPr>
  </w:style>
  <w:style w:type="paragraph" w:customStyle="1" w:styleId="FooterSensitivity">
    <w:name w:val="Foot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before="360"/>
      <w:ind w:left="113" w:right="113"/>
      <w:jc w:val="center"/>
    </w:pPr>
    <w:rPr>
      <w:b/>
      <w:sz w:val="32"/>
    </w:rPr>
  </w:style>
  <w:style w:type="paragraph" w:customStyle="1" w:styleId="Point0number">
    <w:name w:val="Point 0 (number)"/>
    <w:basedOn w:val="Normal"/>
    <w:pPr>
      <w:widowControl/>
      <w:numPr>
        <w:numId w:val="43"/>
      </w:numPr>
      <w:autoSpaceDE/>
      <w:autoSpaceDN/>
      <w:adjustRightInd/>
      <w:spacing w:before="120" w:after="120"/>
      <w:jc w:val="both"/>
    </w:pPr>
    <w:rPr>
      <w:rFonts w:eastAsiaTheme="minorHAnsi"/>
      <w:szCs w:val="22"/>
    </w:rPr>
  </w:style>
  <w:style w:type="paragraph" w:customStyle="1" w:styleId="Point1number">
    <w:name w:val="Point 1 (number)"/>
    <w:basedOn w:val="Normal"/>
    <w:pPr>
      <w:widowControl/>
      <w:numPr>
        <w:ilvl w:val="2"/>
        <w:numId w:val="43"/>
      </w:numPr>
      <w:autoSpaceDE/>
      <w:autoSpaceDN/>
      <w:adjustRightInd/>
      <w:spacing w:before="120" w:after="120"/>
      <w:jc w:val="both"/>
    </w:pPr>
    <w:rPr>
      <w:rFonts w:eastAsiaTheme="minorHAnsi"/>
      <w:szCs w:val="22"/>
    </w:rPr>
  </w:style>
  <w:style w:type="paragraph" w:customStyle="1" w:styleId="Point2number">
    <w:name w:val="Point 2 (number)"/>
    <w:basedOn w:val="Normal"/>
    <w:pPr>
      <w:widowControl/>
      <w:numPr>
        <w:ilvl w:val="4"/>
        <w:numId w:val="43"/>
      </w:numPr>
      <w:autoSpaceDE/>
      <w:autoSpaceDN/>
      <w:adjustRightInd/>
      <w:spacing w:before="120" w:after="120"/>
      <w:jc w:val="both"/>
    </w:pPr>
    <w:rPr>
      <w:rFonts w:eastAsiaTheme="minorHAnsi"/>
      <w:szCs w:val="22"/>
    </w:rPr>
  </w:style>
  <w:style w:type="paragraph" w:customStyle="1" w:styleId="Point3number">
    <w:name w:val="Point 3 (number)"/>
    <w:basedOn w:val="Normal"/>
    <w:pPr>
      <w:widowControl/>
      <w:numPr>
        <w:ilvl w:val="6"/>
        <w:numId w:val="43"/>
      </w:numPr>
      <w:autoSpaceDE/>
      <w:autoSpaceDN/>
      <w:adjustRightInd/>
      <w:spacing w:before="120" w:after="120"/>
      <w:jc w:val="both"/>
    </w:pPr>
    <w:rPr>
      <w:rFonts w:eastAsiaTheme="minorHAnsi"/>
      <w:szCs w:val="22"/>
    </w:rPr>
  </w:style>
  <w:style w:type="paragraph" w:customStyle="1" w:styleId="Point0letter">
    <w:name w:val="Point 0 (letter)"/>
    <w:basedOn w:val="Normal"/>
    <w:pPr>
      <w:widowControl/>
      <w:numPr>
        <w:ilvl w:val="1"/>
        <w:numId w:val="43"/>
      </w:numPr>
      <w:autoSpaceDE/>
      <w:autoSpaceDN/>
      <w:adjustRightInd/>
      <w:spacing w:before="120" w:after="120"/>
      <w:jc w:val="both"/>
    </w:pPr>
    <w:rPr>
      <w:rFonts w:eastAsiaTheme="minorHAnsi"/>
      <w:szCs w:val="22"/>
    </w:rPr>
  </w:style>
  <w:style w:type="paragraph" w:customStyle="1" w:styleId="Point1letter">
    <w:name w:val="Point 1 (letter)"/>
    <w:basedOn w:val="Normal"/>
    <w:pPr>
      <w:widowControl/>
      <w:numPr>
        <w:ilvl w:val="3"/>
        <w:numId w:val="43"/>
      </w:numPr>
      <w:autoSpaceDE/>
      <w:autoSpaceDN/>
      <w:adjustRightInd/>
      <w:spacing w:before="120" w:after="120"/>
      <w:jc w:val="both"/>
    </w:pPr>
    <w:rPr>
      <w:rFonts w:eastAsiaTheme="minorHAnsi"/>
      <w:szCs w:val="22"/>
    </w:rPr>
  </w:style>
  <w:style w:type="paragraph" w:customStyle="1" w:styleId="Point2letter">
    <w:name w:val="Point 2 (letter)"/>
    <w:basedOn w:val="Normal"/>
    <w:pPr>
      <w:widowControl/>
      <w:numPr>
        <w:ilvl w:val="5"/>
        <w:numId w:val="43"/>
      </w:numPr>
      <w:autoSpaceDE/>
      <w:autoSpaceDN/>
      <w:adjustRightInd/>
      <w:spacing w:before="120" w:after="120"/>
      <w:jc w:val="both"/>
    </w:pPr>
    <w:rPr>
      <w:rFonts w:eastAsiaTheme="minorHAnsi"/>
      <w:szCs w:val="22"/>
    </w:rPr>
  </w:style>
  <w:style w:type="paragraph" w:customStyle="1" w:styleId="Point3letter">
    <w:name w:val="Point 3 (letter)"/>
    <w:basedOn w:val="Normal"/>
    <w:pPr>
      <w:widowControl/>
      <w:numPr>
        <w:ilvl w:val="7"/>
        <w:numId w:val="43"/>
      </w:numPr>
      <w:autoSpaceDE/>
      <w:autoSpaceDN/>
      <w:adjustRightInd/>
      <w:spacing w:before="120" w:after="120"/>
      <w:jc w:val="both"/>
    </w:pPr>
    <w:rPr>
      <w:rFonts w:eastAsiaTheme="minorHAnsi"/>
      <w:szCs w:val="22"/>
    </w:rPr>
  </w:style>
  <w:style w:type="paragraph" w:customStyle="1" w:styleId="Point4letter">
    <w:name w:val="Point 4 (letter)"/>
    <w:basedOn w:val="Normal"/>
    <w:pPr>
      <w:widowControl/>
      <w:numPr>
        <w:ilvl w:val="8"/>
        <w:numId w:val="43"/>
      </w:numPr>
      <w:autoSpaceDE/>
      <w:autoSpaceDN/>
      <w:adjustRightInd/>
      <w:spacing w:before="120" w:after="120"/>
      <w:jc w:val="both"/>
    </w:pPr>
    <w:rPr>
      <w:rFonts w:eastAsiaTheme="minorHAnsi"/>
      <w:szCs w:val="22"/>
    </w:rPr>
  </w:style>
  <w:style w:type="paragraph" w:customStyle="1" w:styleId="Bullet4">
    <w:name w:val="Bullet 4"/>
    <w:basedOn w:val="Normal"/>
    <w:pPr>
      <w:widowControl/>
      <w:numPr>
        <w:numId w:val="44"/>
      </w:numPr>
      <w:autoSpaceDE/>
      <w:autoSpaceDN/>
      <w:adjustRightInd/>
      <w:spacing w:before="120" w:after="120"/>
      <w:jc w:val="both"/>
    </w:pPr>
    <w:rPr>
      <w:rFonts w:eastAsiaTheme="minorHAnsi"/>
      <w:szCs w:val="22"/>
    </w:rPr>
  </w:style>
  <w:style w:type="paragraph" w:customStyle="1" w:styleId="Text1">
    <w:name w:val="Text 1"/>
    <w:basedOn w:val="Normal"/>
    <w:pPr>
      <w:widowControl/>
      <w:autoSpaceDE/>
      <w:autoSpaceDN/>
      <w:adjustRightInd/>
      <w:spacing w:after="240"/>
      <w:ind w:left="482"/>
      <w:jc w:val="both"/>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
    <w:unhideWhenUsed/>
    <w:qFormat/>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heme="minorEastAsia" w:hAnsi="Times New Roman" w:cs="Times New Roman"/>
      <w:sz w:val="24"/>
      <w:szCs w:val="24"/>
      <w:lang w:val="ro-RO" w:eastAsia="ro-RO"/>
    </w:rPr>
  </w:style>
  <w:style w:type="character" w:customStyle="1" w:styleId="Heading2Char">
    <w:name w:val="Heading 2 Char"/>
    <w:basedOn w:val="DefaultParagraphFont"/>
    <w:link w:val="Heading2"/>
    <w:uiPriority w:val="99"/>
    <w:rPr>
      <w:rFonts w:ascii="Times New Roman" w:eastAsiaTheme="minorEastAsia" w:hAnsi="Times New Roman" w:cs="Times New Roman"/>
      <w:sz w:val="24"/>
      <w:szCs w:val="24"/>
      <w:lang w:val="ro-RO" w:eastAsia="ro-RO"/>
    </w:rPr>
  </w:style>
  <w:style w:type="character" w:customStyle="1" w:styleId="Heading3Char">
    <w:name w:val="Heading 3 Char"/>
    <w:basedOn w:val="DefaultParagraphFont"/>
    <w:link w:val="Heading3"/>
    <w:uiPriority w:val="9"/>
    <w:rPr>
      <w:rFonts w:asciiTheme="majorHAnsi" w:eastAsiaTheme="majorEastAsia" w:hAnsiTheme="majorHAnsi" w:cs="Times New Roman"/>
      <w:b/>
      <w:bCs/>
      <w:sz w:val="26"/>
      <w:szCs w:val="26"/>
      <w:lang w:val="ro-RO" w:eastAsia="ro-RO"/>
    </w:rPr>
  </w:style>
  <w:style w:type="paragraph" w:styleId="FootnoteText">
    <w:name w:val="footnote text"/>
    <w:aliases w:val="Car"/>
    <w:basedOn w:val="Normal"/>
    <w:link w:val="FootnoteTextChar"/>
    <w:uiPriority w:val="99"/>
    <w:pPr>
      <w:widowControl/>
      <w:autoSpaceDE/>
      <w:autoSpaceDN/>
      <w:adjustRightInd/>
      <w:spacing w:line="200" w:lineRule="exact"/>
    </w:pPr>
    <w:rPr>
      <w:rFonts w:ascii="Georgia" w:hAnsi="Georgia"/>
      <w:sz w:val="16"/>
      <w:szCs w:val="20"/>
    </w:rPr>
  </w:style>
  <w:style w:type="character" w:customStyle="1" w:styleId="FootnoteTextChar">
    <w:name w:val="Footnote Text Char"/>
    <w:aliases w:val="Car Char"/>
    <w:basedOn w:val="DefaultParagraphFont"/>
    <w:link w:val="FootnoteText"/>
    <w:uiPriority w:val="99"/>
    <w:rPr>
      <w:rFonts w:ascii="Georgia" w:eastAsiaTheme="minorEastAsia" w:hAnsi="Georgia" w:cs="Times New Roman"/>
      <w:sz w:val="16"/>
      <w:szCs w:val="20"/>
      <w:lang w:eastAsia="ro-RO"/>
    </w:rPr>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16 Point"/>
    <w:basedOn w:val="DefaultParagraphFont"/>
    <w:uiPriority w:val="99"/>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ro-RO" w:eastAsia="ro-RO"/>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ro-RO" w:eastAsia="ro-RO"/>
    </w:rPr>
  </w:style>
  <w:style w:type="paragraph" w:styleId="Header">
    <w:name w:val="header"/>
    <w:basedOn w:val="Normal"/>
    <w:link w:val="HeaderChar"/>
    <w:uiPriority w:val="99"/>
    <w:unhideWhenUsed/>
    <w:pPr>
      <w:widowControl/>
      <w:tabs>
        <w:tab w:val="center" w:pos="4535"/>
        <w:tab w:val="right" w:pos="9071"/>
      </w:tabs>
      <w:autoSpaceDE/>
      <w:autoSpaceDN/>
      <w:adjustRightInd/>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widowControl/>
      <w:tabs>
        <w:tab w:val="center" w:pos="4535"/>
        <w:tab w:val="right" w:pos="9071"/>
        <w:tab w:val="right" w:pos="9921"/>
      </w:tabs>
      <w:autoSpaceDE/>
      <w:autoSpaceDN/>
      <w:adjustRightInd/>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customStyle="1" w:styleId="Style1">
    <w:name w:val="Style1"/>
    <w:basedOn w:val="Heading1"/>
    <w:link w:val="Style1Char"/>
    <w:qFormat/>
    <w:pPr>
      <w:keepNext/>
      <w:tabs>
        <w:tab w:val="left" w:pos="480"/>
      </w:tabs>
      <w:spacing w:before="240" w:after="240"/>
      <w:ind w:left="480" w:hanging="480"/>
    </w:pPr>
    <w:rPr>
      <w:b/>
      <w:bCs/>
      <w:smallCaps/>
    </w:rPr>
  </w:style>
  <w:style w:type="character" w:customStyle="1" w:styleId="Style1Char">
    <w:name w:val="Style1 Char"/>
    <w:basedOn w:val="Heading1Char"/>
    <w:link w:val="Style1"/>
    <w:locked/>
    <w:rPr>
      <w:rFonts w:ascii="Times New Roman" w:eastAsiaTheme="minorEastAsia" w:hAnsi="Times New Roman" w:cs="Times New Roman"/>
      <w:b/>
      <w:bCs/>
      <w:smallCaps/>
      <w:sz w:val="24"/>
      <w:szCs w:val="24"/>
      <w:lang w:val="ro-RO" w:eastAsia="ro-RO"/>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FooterCoverPageChar">
    <w:name w:val="Footer Cover Page Char"/>
    <w:basedOn w:val="Style1Char"/>
    <w:link w:val="FooterCoverPage"/>
    <w:locked/>
    <w:rPr>
      <w:rFonts w:ascii="Times New Roman" w:eastAsiaTheme="minorEastAsia" w:hAnsi="Times New Roman" w:cs="Times New Roman"/>
      <w:b w:val="0"/>
      <w:bCs w:val="0"/>
      <w:smallCaps w:val="0"/>
      <w:sz w:val="24"/>
      <w:szCs w:val="24"/>
      <w:lang w:val="ro-RO" w:eastAsia="ro-RO"/>
    </w:rPr>
  </w:style>
  <w:style w:type="paragraph" w:customStyle="1" w:styleId="HeaderCoverPage">
    <w:name w:val="Header Cover Page"/>
    <w:basedOn w:val="Normal"/>
    <w:link w:val="HeaderCoverPageChar"/>
    <w:pPr>
      <w:numPr>
        <w:numId w:val="22"/>
      </w:numPr>
      <w:tabs>
        <w:tab w:val="center" w:pos="4535"/>
        <w:tab w:val="right" w:pos="9071"/>
      </w:tabs>
      <w:spacing w:after="120"/>
      <w:ind w:left="0"/>
      <w:jc w:val="both"/>
    </w:pPr>
  </w:style>
  <w:style w:type="character" w:customStyle="1" w:styleId="HeaderCoverPageChar">
    <w:name w:val="Header Cover Page Char"/>
    <w:basedOn w:val="Style1Char"/>
    <w:link w:val="HeaderCoverPage"/>
    <w:locked/>
    <w:rPr>
      <w:rFonts w:ascii="Times New Roman" w:eastAsiaTheme="minorEastAsia" w:hAnsi="Times New Roman" w:cs="Times New Roman"/>
      <w:b w:val="0"/>
      <w:bCs w:val="0"/>
      <w:smallCaps w:val="0"/>
      <w:sz w:val="24"/>
      <w:szCs w:val="24"/>
      <w:lang w:val="ro-RO" w:eastAsia="ro-RO"/>
    </w:rPr>
  </w:style>
  <w:style w:type="paragraph" w:customStyle="1" w:styleId="Titreobjet">
    <w:name w:val="Titre objet"/>
    <w:basedOn w:val="Normal"/>
    <w:next w:val="Normal"/>
    <w:pPr>
      <w:widowControl/>
      <w:autoSpaceDE/>
      <w:autoSpaceDN/>
      <w:adjustRightInd/>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widowControl/>
      <w:autoSpaceDE/>
      <w:autoSpaceDN/>
      <w:adjustRightInd/>
      <w:jc w:val="both"/>
    </w:pPr>
    <w:rPr>
      <w:rFonts w:eastAsiaTheme="minorHAnsi"/>
      <w:szCs w:val="22"/>
    </w:rPr>
  </w:style>
  <w:style w:type="paragraph" w:customStyle="1" w:styleId="HeaderLandscape">
    <w:name w:val="HeaderLandscape"/>
    <w:basedOn w:val="Normal"/>
    <w:pPr>
      <w:widowControl/>
      <w:tabs>
        <w:tab w:val="center" w:pos="7285"/>
        <w:tab w:val="right" w:pos="14003"/>
      </w:tabs>
      <w:autoSpaceDE/>
      <w:autoSpaceDN/>
      <w:adjustRightInd/>
      <w:spacing w:after="120"/>
      <w:jc w:val="both"/>
    </w:pPr>
    <w:rPr>
      <w:rFonts w:eastAsiaTheme="minorHAnsi"/>
      <w:szCs w:val="22"/>
    </w:rPr>
  </w:style>
  <w:style w:type="paragraph" w:customStyle="1" w:styleId="HeaderSensitivity">
    <w:name w:val="Head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after="120"/>
      <w:ind w:left="113" w:right="113"/>
      <w:jc w:val="center"/>
    </w:pPr>
    <w:rPr>
      <w:b/>
      <w:sz w:val="32"/>
    </w:rPr>
  </w:style>
  <w:style w:type="paragraph" w:customStyle="1" w:styleId="FooterLandscape">
    <w:name w:val="FooterLandscape"/>
    <w:basedOn w:val="Normal"/>
    <w:pPr>
      <w:widowControl/>
      <w:tabs>
        <w:tab w:val="center" w:pos="7285"/>
        <w:tab w:val="center" w:pos="10913"/>
        <w:tab w:val="right" w:pos="15137"/>
      </w:tabs>
      <w:autoSpaceDE/>
      <w:autoSpaceDN/>
      <w:adjustRightInd/>
      <w:spacing w:before="360"/>
      <w:ind w:left="-567" w:right="-567"/>
    </w:pPr>
    <w:rPr>
      <w:rFonts w:eastAsiaTheme="minorHAnsi"/>
      <w:szCs w:val="22"/>
    </w:rPr>
  </w:style>
  <w:style w:type="paragraph" w:customStyle="1" w:styleId="FooterSensitivity">
    <w:name w:val="Foot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before="360"/>
      <w:ind w:left="113" w:right="113"/>
      <w:jc w:val="center"/>
    </w:pPr>
    <w:rPr>
      <w:b/>
      <w:sz w:val="32"/>
    </w:rPr>
  </w:style>
  <w:style w:type="paragraph" w:customStyle="1" w:styleId="Point0number">
    <w:name w:val="Point 0 (number)"/>
    <w:basedOn w:val="Normal"/>
    <w:pPr>
      <w:widowControl/>
      <w:numPr>
        <w:numId w:val="43"/>
      </w:numPr>
      <w:autoSpaceDE/>
      <w:autoSpaceDN/>
      <w:adjustRightInd/>
      <w:spacing w:before="120" w:after="120"/>
      <w:jc w:val="both"/>
    </w:pPr>
    <w:rPr>
      <w:rFonts w:eastAsiaTheme="minorHAnsi"/>
      <w:szCs w:val="22"/>
    </w:rPr>
  </w:style>
  <w:style w:type="paragraph" w:customStyle="1" w:styleId="Point1number">
    <w:name w:val="Point 1 (number)"/>
    <w:basedOn w:val="Normal"/>
    <w:pPr>
      <w:widowControl/>
      <w:numPr>
        <w:ilvl w:val="2"/>
        <w:numId w:val="43"/>
      </w:numPr>
      <w:autoSpaceDE/>
      <w:autoSpaceDN/>
      <w:adjustRightInd/>
      <w:spacing w:before="120" w:after="120"/>
      <w:jc w:val="both"/>
    </w:pPr>
    <w:rPr>
      <w:rFonts w:eastAsiaTheme="minorHAnsi"/>
      <w:szCs w:val="22"/>
    </w:rPr>
  </w:style>
  <w:style w:type="paragraph" w:customStyle="1" w:styleId="Point2number">
    <w:name w:val="Point 2 (number)"/>
    <w:basedOn w:val="Normal"/>
    <w:pPr>
      <w:widowControl/>
      <w:numPr>
        <w:ilvl w:val="4"/>
        <w:numId w:val="43"/>
      </w:numPr>
      <w:autoSpaceDE/>
      <w:autoSpaceDN/>
      <w:adjustRightInd/>
      <w:spacing w:before="120" w:after="120"/>
      <w:jc w:val="both"/>
    </w:pPr>
    <w:rPr>
      <w:rFonts w:eastAsiaTheme="minorHAnsi"/>
      <w:szCs w:val="22"/>
    </w:rPr>
  </w:style>
  <w:style w:type="paragraph" w:customStyle="1" w:styleId="Point3number">
    <w:name w:val="Point 3 (number)"/>
    <w:basedOn w:val="Normal"/>
    <w:pPr>
      <w:widowControl/>
      <w:numPr>
        <w:ilvl w:val="6"/>
        <w:numId w:val="43"/>
      </w:numPr>
      <w:autoSpaceDE/>
      <w:autoSpaceDN/>
      <w:adjustRightInd/>
      <w:spacing w:before="120" w:after="120"/>
      <w:jc w:val="both"/>
    </w:pPr>
    <w:rPr>
      <w:rFonts w:eastAsiaTheme="minorHAnsi"/>
      <w:szCs w:val="22"/>
    </w:rPr>
  </w:style>
  <w:style w:type="paragraph" w:customStyle="1" w:styleId="Point0letter">
    <w:name w:val="Point 0 (letter)"/>
    <w:basedOn w:val="Normal"/>
    <w:pPr>
      <w:widowControl/>
      <w:numPr>
        <w:ilvl w:val="1"/>
        <w:numId w:val="43"/>
      </w:numPr>
      <w:autoSpaceDE/>
      <w:autoSpaceDN/>
      <w:adjustRightInd/>
      <w:spacing w:before="120" w:after="120"/>
      <w:jc w:val="both"/>
    </w:pPr>
    <w:rPr>
      <w:rFonts w:eastAsiaTheme="minorHAnsi"/>
      <w:szCs w:val="22"/>
    </w:rPr>
  </w:style>
  <w:style w:type="paragraph" w:customStyle="1" w:styleId="Point1letter">
    <w:name w:val="Point 1 (letter)"/>
    <w:basedOn w:val="Normal"/>
    <w:pPr>
      <w:widowControl/>
      <w:numPr>
        <w:ilvl w:val="3"/>
        <w:numId w:val="43"/>
      </w:numPr>
      <w:autoSpaceDE/>
      <w:autoSpaceDN/>
      <w:adjustRightInd/>
      <w:spacing w:before="120" w:after="120"/>
      <w:jc w:val="both"/>
    </w:pPr>
    <w:rPr>
      <w:rFonts w:eastAsiaTheme="minorHAnsi"/>
      <w:szCs w:val="22"/>
    </w:rPr>
  </w:style>
  <w:style w:type="paragraph" w:customStyle="1" w:styleId="Point2letter">
    <w:name w:val="Point 2 (letter)"/>
    <w:basedOn w:val="Normal"/>
    <w:pPr>
      <w:widowControl/>
      <w:numPr>
        <w:ilvl w:val="5"/>
        <w:numId w:val="43"/>
      </w:numPr>
      <w:autoSpaceDE/>
      <w:autoSpaceDN/>
      <w:adjustRightInd/>
      <w:spacing w:before="120" w:after="120"/>
      <w:jc w:val="both"/>
    </w:pPr>
    <w:rPr>
      <w:rFonts w:eastAsiaTheme="minorHAnsi"/>
      <w:szCs w:val="22"/>
    </w:rPr>
  </w:style>
  <w:style w:type="paragraph" w:customStyle="1" w:styleId="Point3letter">
    <w:name w:val="Point 3 (letter)"/>
    <w:basedOn w:val="Normal"/>
    <w:pPr>
      <w:widowControl/>
      <w:numPr>
        <w:ilvl w:val="7"/>
        <w:numId w:val="43"/>
      </w:numPr>
      <w:autoSpaceDE/>
      <w:autoSpaceDN/>
      <w:adjustRightInd/>
      <w:spacing w:before="120" w:after="120"/>
      <w:jc w:val="both"/>
    </w:pPr>
    <w:rPr>
      <w:rFonts w:eastAsiaTheme="minorHAnsi"/>
      <w:szCs w:val="22"/>
    </w:rPr>
  </w:style>
  <w:style w:type="paragraph" w:customStyle="1" w:styleId="Point4letter">
    <w:name w:val="Point 4 (letter)"/>
    <w:basedOn w:val="Normal"/>
    <w:pPr>
      <w:widowControl/>
      <w:numPr>
        <w:ilvl w:val="8"/>
        <w:numId w:val="43"/>
      </w:numPr>
      <w:autoSpaceDE/>
      <w:autoSpaceDN/>
      <w:adjustRightInd/>
      <w:spacing w:before="120" w:after="120"/>
      <w:jc w:val="both"/>
    </w:pPr>
    <w:rPr>
      <w:rFonts w:eastAsiaTheme="minorHAnsi"/>
      <w:szCs w:val="22"/>
    </w:rPr>
  </w:style>
  <w:style w:type="paragraph" w:customStyle="1" w:styleId="Bullet4">
    <w:name w:val="Bullet 4"/>
    <w:basedOn w:val="Normal"/>
    <w:pPr>
      <w:widowControl/>
      <w:numPr>
        <w:numId w:val="44"/>
      </w:numPr>
      <w:autoSpaceDE/>
      <w:autoSpaceDN/>
      <w:adjustRightInd/>
      <w:spacing w:before="120" w:after="120"/>
      <w:jc w:val="both"/>
    </w:pPr>
    <w:rPr>
      <w:rFonts w:eastAsiaTheme="minorHAnsi"/>
      <w:szCs w:val="22"/>
    </w:rPr>
  </w:style>
  <w:style w:type="paragraph" w:customStyle="1" w:styleId="Text1">
    <w:name w:val="Text 1"/>
    <w:basedOn w:val="Normal"/>
    <w:pPr>
      <w:widowControl/>
      <w:autoSpaceDE/>
      <w:autoSpaceDN/>
      <w:adjustRightInd/>
      <w:spacing w:after="240"/>
      <w:ind w:left="482"/>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8C0F-7795-420D-BB51-C88863D5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1450</Words>
  <Characters>8848</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28</cp:revision>
  <dcterms:created xsi:type="dcterms:W3CDTF">2019-01-25T17:03:00Z</dcterms:created>
  <dcterms:modified xsi:type="dcterms:W3CDTF">2019-01-29T17:33:00Z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