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8A45A67-26C8-46D6-83CE-08B77536CEF7" style="width:450.75pt;height:321pt">
            <v:imagedata r:id="rId9" o:title=""/>
          </v:shape>
        </w:pict>
      </w:r>
    </w:p>
    <w:bookmarkEnd w:id="0"/>
    <w:p>
      <w:pPr>
        <w:tabs>
          <w:tab w:val="left" w:pos="5310"/>
        </w:tabs>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
        </w:numPr>
        <w:rPr>
          <w:rFonts w:ascii="Times New Roman" w:hAnsi="Times New Roman"/>
          <w:b/>
          <w:noProof/>
          <w:sz w:val="24"/>
        </w:rPr>
      </w:pPr>
      <w:bookmarkStart w:id="1" w:name="_GoBack"/>
      <w:bookmarkEnd w:id="1"/>
      <w:r>
        <w:rPr>
          <w:rFonts w:ascii="Times New Roman" w:hAnsi="Times New Roman"/>
          <w:b/>
          <w:noProof/>
          <w:sz w:val="24"/>
        </w:rPr>
        <w:lastRenderedPageBreak/>
        <w:t>ÚVOD</w:t>
      </w:r>
    </w:p>
    <w:p>
      <w:pPr>
        <w:jc w:val="both"/>
        <w:rPr>
          <w:rFonts w:ascii="Times New Roman" w:hAnsi="Times New Roman"/>
          <w:noProof/>
          <w:sz w:val="24"/>
        </w:rPr>
      </w:pPr>
      <w:r>
        <w:rPr>
          <w:rFonts w:ascii="Times New Roman" w:hAnsi="Times New Roman"/>
          <w:noProof/>
          <w:sz w:val="24"/>
        </w:rPr>
        <w:t>Nariadenie o trhoch s finančnými nástrojmi (ďalej len nariadenie MiFIR)</w:t>
      </w:r>
      <w:r>
        <w:rPr>
          <w:rStyle w:val="FootnoteReference"/>
          <w:rFonts w:ascii="Times New Roman" w:hAnsi="Times New Roman"/>
          <w:noProof/>
          <w:sz w:val="24"/>
        </w:rPr>
        <w:footnoteReference w:id="1"/>
      </w:r>
      <w:r>
        <w:rPr>
          <w:rFonts w:ascii="Times New Roman" w:hAnsi="Times New Roman"/>
          <w:noProof/>
          <w:sz w:val="24"/>
        </w:rPr>
        <w:t xml:space="preserve"> a smernica o trhoch s finančnými nástrojmi (smernica MiFID II)</w:t>
      </w:r>
      <w:r>
        <w:rPr>
          <w:rStyle w:val="FootnoteReference"/>
          <w:rFonts w:ascii="Times New Roman" w:hAnsi="Times New Roman"/>
          <w:noProof/>
          <w:sz w:val="24"/>
        </w:rPr>
        <w:footnoteReference w:id="2"/>
      </w:r>
      <w:r>
        <w:rPr>
          <w:rFonts w:ascii="Times New Roman" w:hAnsi="Times New Roman"/>
          <w:noProof/>
          <w:sz w:val="24"/>
        </w:rPr>
        <w:t xml:space="preserve"> boli uverejnené v </w:t>
      </w:r>
      <w:r>
        <w:rPr>
          <w:rFonts w:ascii="Times New Roman" w:hAnsi="Times New Roman"/>
          <w:i/>
          <w:noProof/>
          <w:sz w:val="24"/>
        </w:rPr>
        <w:t>Úradnom vestníku Európskej únie</w:t>
      </w:r>
      <w:r>
        <w:rPr>
          <w:rFonts w:ascii="Times New Roman" w:hAnsi="Times New Roman"/>
          <w:noProof/>
          <w:sz w:val="24"/>
        </w:rPr>
        <w:t xml:space="preserve"> 12. júna 2014, nadobudli účinnosť 2. júla 2014 a uplatňujú sa od 3. januára 2018.</w:t>
      </w:r>
    </w:p>
    <w:p>
      <w:pPr>
        <w:jc w:val="both"/>
        <w:rPr>
          <w:rFonts w:ascii="Times New Roman" w:hAnsi="Times New Roman" w:cs="Times New Roman"/>
          <w:noProof/>
          <w:sz w:val="24"/>
          <w:szCs w:val="24"/>
        </w:rPr>
      </w:pPr>
      <w:r>
        <w:rPr>
          <w:rFonts w:ascii="Times New Roman" w:hAnsi="Times New Roman"/>
          <w:noProof/>
          <w:sz w:val="24"/>
        </w:rPr>
        <w:t>V právnych aktoch MiFID II/MiFIR sa zavádza trhová štruktúra, ktorej cieľom je zabezpečiť, aby sa obchodovanie uskutočňovalo na regulovaných platformách vždy, keď je to vhodné, a aby sa toto obchodovanie uskutočňovalo transparentne v záujme zabezpečenia efektívnej a spravodlivej tvorby cien.</w:t>
      </w:r>
    </w:p>
    <w:p>
      <w:pPr>
        <w:jc w:val="both"/>
        <w:rPr>
          <w:rFonts w:ascii="Times New Roman" w:hAnsi="Times New Roman"/>
          <w:noProof/>
          <w:sz w:val="24"/>
        </w:rPr>
      </w:pPr>
      <w:r>
        <w:rPr>
          <w:rFonts w:ascii="Times New Roman" w:hAnsi="Times New Roman"/>
          <w:noProof/>
          <w:sz w:val="24"/>
        </w:rPr>
        <w:t>V tomto rámci sa v nariadení MiFIR udeľuje výnimka z požiadaviek na predobchodnú a poobchodnú transparentnosť, pokiaľ ide o nekapitálové finančné nástroje pri transakciách, v ktorých je protistrana členom Európskeho systému centrálnych bánk (ESCB) a ak k transakciám dochádza pri vykonávaní menovej a kurzovej politiky a politiky súvisiacej s finančnou stabilitou, ktorú je člen ESCB splnomocnený vykonávať zo zákona, a pokiaľ tento člen svojej protistrane vopred neoznámi, že na transakciu sa vzťahuje výnimka. Nariadenie MiFIR okrem toho Komisiu splnomocňuje rozšíriť rozsah pôsobnosti tejto výnimky na centrálne banky tretích krajín, ak sú splnené požadované podmienky.</w:t>
      </w:r>
    </w:p>
    <w:p>
      <w:pPr>
        <w:jc w:val="both"/>
        <w:rPr>
          <w:rFonts w:ascii="Times New Roman" w:hAnsi="Times New Roman"/>
          <w:noProof/>
          <w:sz w:val="24"/>
        </w:rPr>
      </w:pPr>
      <w:r>
        <w:rPr>
          <w:rFonts w:ascii="Times New Roman" w:hAnsi="Times New Roman"/>
          <w:noProof/>
          <w:sz w:val="24"/>
        </w:rPr>
        <w:t>Na tento účel si Európska komisia nechala od Centra pre európske politické štúdie (CEPS) a univerzity v Bologni vypracovať externú štúdiu „Výnimky pre centrálne banky tretích krajín a ďalšie subjekty v rámci nariadenia o zneužívaní trhu (MAR) a nariadenia o trhoch s finančnými nástrojmi (MiFIR)“ („štúdia“)</w:t>
      </w:r>
      <w:r>
        <w:rPr>
          <w:rStyle w:val="FootnoteReference"/>
          <w:rFonts w:ascii="Times New Roman" w:hAnsi="Times New Roman"/>
          <w:noProof/>
          <w:sz w:val="24"/>
        </w:rPr>
        <w:footnoteReference w:id="3"/>
      </w:r>
      <w:r>
        <w:rPr>
          <w:rFonts w:ascii="Times New Roman" w:hAnsi="Times New Roman"/>
          <w:noProof/>
          <w:sz w:val="24"/>
        </w:rPr>
        <w:t>. Štúdia vychádza z prieskumu a sekundárneho výskumu. Analyzuje pravidlá týkajúce sa predobchodnej a poobchodnej transparentnosti, ktoré sa uplatňujú v prípade, keď centrálne banky tretích krajín obchodujú s nekapitálovými finančnými nástrojmi, ako aj rozsah, v ktorom tieto centrálne banky obchodujú s uvedenými nástrojmi v Únii.</w:t>
      </w:r>
    </w:p>
    <w:p>
      <w:pPr>
        <w:pStyle w:val="ListParagraph"/>
        <w:numPr>
          <w:ilvl w:val="0"/>
          <w:numId w:val="1"/>
        </w:numPr>
        <w:rPr>
          <w:rFonts w:ascii="Times New Roman" w:hAnsi="Times New Roman"/>
          <w:b/>
          <w:noProof/>
          <w:sz w:val="24"/>
        </w:rPr>
      </w:pPr>
      <w:r>
        <w:rPr>
          <w:rFonts w:ascii="Times New Roman" w:hAnsi="Times New Roman"/>
          <w:b/>
          <w:noProof/>
          <w:sz w:val="24"/>
        </w:rPr>
        <w:t>PRÁVNY ZÁKLAD SPRÁVY: ČLÁNOK 1 ODS. 9 NARIADENIA MiFIR</w:t>
      </w:r>
    </w:p>
    <w:p>
      <w:pPr>
        <w:jc w:val="both"/>
        <w:rPr>
          <w:rFonts w:ascii="Times New Roman" w:hAnsi="Times New Roman"/>
          <w:noProof/>
          <w:sz w:val="24"/>
        </w:rPr>
      </w:pPr>
      <w:r>
        <w:rPr>
          <w:rFonts w:ascii="Times New Roman" w:hAnsi="Times New Roman"/>
          <w:noProof/>
          <w:sz w:val="24"/>
        </w:rPr>
        <w:t>Článok 1 ods. 6 nariadenia MiFIR obsahuje výnimku z pravidiel týkajúcich sa predobchodnej a poobchodnej transparentnosti pri transakciách, v ktorých je protistrana členom Európskeho systému centrálnych bánk (ESCB), a ak k transakciám dochádza pri vykonávaní menovej a kurzovej politiky a politiky súvisiacej s finančnou stabilitou, ktorú je člen ESCB splnomocnený vykonávať zo zákona, a pokiaľ tento člen ESCB svojej protistrane vopred neoznámi, že na transakciu sa vzťahuje výnimka.</w:t>
      </w:r>
    </w:p>
    <w:p>
      <w:pPr>
        <w:jc w:val="both"/>
        <w:rPr>
          <w:rFonts w:ascii="Times New Roman" w:hAnsi="Times New Roman" w:cs="Times New Roman"/>
          <w:i/>
          <w:noProof/>
          <w:sz w:val="24"/>
          <w:szCs w:val="24"/>
        </w:rPr>
      </w:pPr>
      <w:r>
        <w:rPr>
          <w:rFonts w:ascii="Times New Roman" w:hAnsi="Times New Roman"/>
          <w:noProof/>
          <w:sz w:val="24"/>
        </w:rPr>
        <w:t xml:space="preserve">V článku 1 ods. 9 nariadenia MiFIR sa okrem toho Komisia splnomocňuje: </w:t>
      </w:r>
      <w:r>
        <w:rPr>
          <w:rFonts w:ascii="Times New Roman" w:hAnsi="Times New Roman"/>
          <w:i/>
          <w:noProof/>
          <w:sz w:val="24"/>
        </w:rPr>
        <w:t>„[…] prijímať v súlade s článkom 50 delegované akty na rozšírenie rozsahu pôsobnosti odseku 6 na iné centrálne banky.</w:t>
      </w:r>
    </w:p>
    <w:p>
      <w:pPr>
        <w:jc w:val="both"/>
        <w:rPr>
          <w:rFonts w:ascii="Times New Roman" w:hAnsi="Times New Roman"/>
          <w:i/>
          <w:noProof/>
          <w:sz w:val="24"/>
        </w:rPr>
      </w:pPr>
      <w:r>
        <w:rPr>
          <w:rFonts w:ascii="Times New Roman" w:hAnsi="Times New Roman"/>
          <w:i/>
          <w:noProof/>
          <w:sz w:val="24"/>
        </w:rPr>
        <w:lastRenderedPageBreak/>
        <w:t>Komisia na tento účel predloží Európskemu parlamentu a Rade do 1. júna 2015 správu, v ktorej vyhodnotí zaobchádzanie s transakciami centrálnych bánk tretích krajín, ktoré na účely tohto odseku zahŕňajú Banku pre medzinárodné zúčtovanie. V správe analyzuje ich štatutárne úlohy a obchodné objemy v Únii. V tejto správe:</w:t>
      </w:r>
    </w:p>
    <w:p>
      <w:pPr>
        <w:jc w:val="both"/>
        <w:rPr>
          <w:rFonts w:ascii="Times New Roman" w:hAnsi="Times New Roman"/>
          <w:i/>
          <w:noProof/>
          <w:sz w:val="24"/>
        </w:rPr>
      </w:pPr>
      <w:r>
        <w:rPr>
          <w:rFonts w:ascii="Times New Roman" w:hAnsi="Times New Roman"/>
          <w:i/>
          <w:noProof/>
          <w:sz w:val="24"/>
        </w:rPr>
        <w:t>a) uvedie ustanovenia uplatniteľné na príslušné tretie krajiny, ktoré sa týkajú regulačného zverejňovania transakcií centrálnych bánk vrátane transakcií, ktoré uskutočňujú členovia ESCB v uvedených tretích krajinách, a</w:t>
      </w:r>
    </w:p>
    <w:p>
      <w:pPr>
        <w:jc w:val="both"/>
        <w:rPr>
          <w:rFonts w:ascii="Times New Roman" w:hAnsi="Times New Roman"/>
          <w:i/>
          <w:noProof/>
          <w:sz w:val="24"/>
        </w:rPr>
      </w:pPr>
      <w:r>
        <w:rPr>
          <w:rFonts w:ascii="Times New Roman" w:hAnsi="Times New Roman"/>
          <w:i/>
          <w:noProof/>
          <w:sz w:val="24"/>
        </w:rPr>
        <w:t>b) posúdi, aký potenciálny vplyv môže mať táto požiadavka regulačného zverejňovania v Únii na transakcie centrálnych bánk tretích krajín.</w:t>
      </w:r>
    </w:p>
    <w:p>
      <w:pPr>
        <w:jc w:val="both"/>
        <w:rPr>
          <w:rFonts w:ascii="Times New Roman" w:hAnsi="Times New Roman"/>
          <w:i/>
          <w:noProof/>
          <w:sz w:val="24"/>
        </w:rPr>
      </w:pPr>
      <w:r>
        <w:rPr>
          <w:rFonts w:ascii="Times New Roman" w:hAnsi="Times New Roman"/>
          <w:i/>
          <w:noProof/>
          <w:sz w:val="24"/>
        </w:rPr>
        <w:t>Ak sa v správe dospeje k záveru, že výnimka stanovená v odseku 6 je potrebná, pokiaľ ide o transakcie, v ktorých je protistranou centrálna banka tretej krajiny, ktorá vykonáva operácie menovej a kurzovej politiky a politiky súvisiacej finančnou stabilitou, Komisia stanoví uplatňovanie tejto výnimky na túto centrálnu banku tretej krajiny.“</w:t>
      </w:r>
    </w:p>
    <w:p>
      <w:pPr>
        <w:jc w:val="both"/>
        <w:rPr>
          <w:rFonts w:ascii="Times New Roman" w:hAnsi="Times New Roman"/>
          <w:noProof/>
          <w:sz w:val="24"/>
        </w:rPr>
      </w:pPr>
      <w:r>
        <w:rPr>
          <w:rFonts w:ascii="Times New Roman" w:hAnsi="Times New Roman"/>
          <w:noProof/>
          <w:sz w:val="24"/>
        </w:rPr>
        <w:t>V správe Komisie</w:t>
      </w:r>
      <w:r>
        <w:rPr>
          <w:noProof/>
          <w:sz w:val="24"/>
          <w:vertAlign w:val="superscript"/>
        </w:rPr>
        <w:footnoteReference w:id="4"/>
      </w:r>
      <w:r>
        <w:rPr>
          <w:rFonts w:ascii="Times New Roman" w:hAnsi="Times New Roman"/>
          <w:noProof/>
          <w:sz w:val="24"/>
        </w:rPr>
        <w:t xml:space="preserve"> prijatej 9. júna 2017 Komisia dospela k záveru, že je vhodné udeliť výnimku z požiadaviek na predobchodnú a poobchodnú transparentnosť podľa nariadenia MiFIR v súlade s článkom 1 ods. 9 nariadenia MiFIR centrálnym bankám tretích krajín z týchto jurisdikcií: Austrália, Brazília, Kanada, Osobitná administratívna oblasť Hongkong, India, Japonsko, Mexiko, Singapur, Kórejská republika, Švajčiarsko, Turecko a Spojené štáty americké; a Banka pre medzinárodné zúčtovanie. V delegovanom nariadení (EÚ) 2017/1799 prijatom 14. júna 2017 sa udeľuje výnimka z požiadaviek na predobchodnú a poobchodnú transparentnosť podľa nariadenia MiFIR v súlade s článkom 1 ods. 9 nariadenia MiFIR centrálnym bankám tretích krajín z vyššie uvedených jurisdikcií.</w:t>
      </w:r>
    </w:p>
    <w:p>
      <w:pPr>
        <w:jc w:val="both"/>
        <w:rPr>
          <w:rFonts w:ascii="Times New Roman" w:hAnsi="Times New Roman"/>
          <w:noProof/>
          <w:sz w:val="24"/>
        </w:rPr>
      </w:pPr>
      <w:r>
        <w:rPr>
          <w:rFonts w:ascii="Times New Roman" w:hAnsi="Times New Roman"/>
          <w:noProof/>
          <w:sz w:val="24"/>
        </w:rPr>
        <w:t>Komisia súčasne posudzuje vhodnosť udelenia výnimky z požiadaviek na predobchodnú a poobchodnú transparentnosť na základe článku 1 ods. 9 MiFIR Čínskej ľudovej banke. Návrh správy a návrh delegovaného nariadenia sa s členskými štátmi konzultuje v rámci expertnej skupiny Európskeho výboru pre cenné papiere.</w:t>
      </w:r>
    </w:p>
    <w:p>
      <w:pPr>
        <w:jc w:val="both"/>
        <w:rPr>
          <w:rFonts w:ascii="Times New Roman" w:hAnsi="Times New Roman" w:cs="Times New Roman"/>
          <w:noProof/>
          <w:sz w:val="24"/>
          <w:szCs w:val="24"/>
        </w:rPr>
      </w:pPr>
      <w:r>
        <w:rPr>
          <w:rFonts w:ascii="Times New Roman" w:hAnsi="Times New Roman"/>
          <w:noProof/>
          <w:sz w:val="24"/>
        </w:rPr>
        <w:t xml:space="preserve">O </w:t>
      </w:r>
      <w:r>
        <w:rPr>
          <w:rFonts w:ascii="Times New Roman" w:hAnsi="Times New Roman"/>
          <w:i/>
          <w:noProof/>
          <w:sz w:val="24"/>
        </w:rPr>
        <w:t>Bank of England</w:t>
      </w:r>
      <w:r>
        <w:rPr>
          <w:rFonts w:ascii="Times New Roman" w:hAnsi="Times New Roman"/>
          <w:noProof/>
          <w:sz w:val="24"/>
        </w:rPr>
        <w:t xml:space="preserve"> sa v uvedenej správe a delegovanom nariadení neuvažovalo z dôvodu jej postavenia centrálnej banky členského štátu EÚ. Vzhľadom na blížiacu sa zmenu štatútu Spojeného kráľovstva na tretiu krajinu je však teraz vhodné predložiť Európskemu parlamentu a Rade správu podľa článku 1 ods. 9 nariadenia MiFIR, v ktorej sa analyzuje vhodnosť rozšírenia výnimky z rozsahu pôsobnosti nariadenia MiFIR na </w:t>
      </w:r>
      <w:r>
        <w:rPr>
          <w:rFonts w:ascii="Times New Roman" w:hAnsi="Times New Roman"/>
          <w:i/>
          <w:noProof/>
          <w:sz w:val="24"/>
        </w:rPr>
        <w:t>Bank of England</w:t>
      </w:r>
      <w:r>
        <w:rPr>
          <w:rFonts w:ascii="Times New Roman" w:hAnsi="Times New Roman"/>
          <w:noProof/>
          <w:sz w:val="24"/>
        </w:rPr>
        <w:t>.</w:t>
      </w:r>
    </w:p>
    <w:p>
      <w:pPr>
        <w:pStyle w:val="ListParagraph"/>
        <w:numPr>
          <w:ilvl w:val="0"/>
          <w:numId w:val="1"/>
        </w:numPr>
        <w:rPr>
          <w:rFonts w:ascii="Times New Roman" w:hAnsi="Times New Roman"/>
          <w:b/>
          <w:noProof/>
          <w:sz w:val="24"/>
        </w:rPr>
      </w:pPr>
      <w:r>
        <w:rPr>
          <w:rFonts w:ascii="Times New Roman" w:hAnsi="Times New Roman"/>
          <w:b/>
          <w:noProof/>
          <w:sz w:val="24"/>
        </w:rPr>
        <w:t xml:space="preserve">ANALÝZA SITUÁCIE V PRÍPADE </w:t>
      </w:r>
      <w:r>
        <w:rPr>
          <w:rFonts w:ascii="Times New Roman" w:hAnsi="Times New Roman"/>
          <w:b/>
          <w:i/>
          <w:noProof/>
          <w:sz w:val="24"/>
        </w:rPr>
        <w:t>BANK OF ENGLAND</w:t>
      </w:r>
    </w:p>
    <w:p>
      <w:pPr>
        <w:spacing w:after="0"/>
        <w:jc w:val="both"/>
        <w:rPr>
          <w:rFonts w:ascii="Times New Roman" w:hAnsi="Times New Roman" w:cs="Times New Roman"/>
          <w:b/>
          <w:bCs/>
          <w:noProof/>
          <w:sz w:val="24"/>
          <w:szCs w:val="24"/>
        </w:rPr>
      </w:pPr>
      <w:r>
        <w:rPr>
          <w:rFonts w:ascii="Times New Roman" w:hAnsi="Times New Roman"/>
          <w:b/>
          <w:noProof/>
          <w:sz w:val="24"/>
        </w:rPr>
        <w:t>Kritériá uplatňované pri posudzovaní</w:t>
      </w:r>
    </w:p>
    <w:p>
      <w:pPr>
        <w:spacing w:before="60"/>
        <w:jc w:val="both"/>
        <w:rPr>
          <w:rFonts w:ascii="Times New Roman" w:hAnsi="Times New Roman"/>
          <w:noProof/>
          <w:sz w:val="24"/>
        </w:rPr>
      </w:pPr>
      <w:r>
        <w:rPr>
          <w:rFonts w:ascii="Times New Roman" w:hAnsi="Times New Roman"/>
          <w:noProof/>
          <w:sz w:val="24"/>
        </w:rPr>
        <w:t>Mandát, ktorý na analýzu uvedených jurisdikcií udeľuje článok 1 ods. 9 nariadenia MiFIR, sa zakladá na dvoch hlavných kritériách, ktoré boli obidve zásadné pre posúdenie Komisie:</w:t>
      </w:r>
    </w:p>
    <w:p>
      <w:pPr>
        <w:pStyle w:val="ListParagraph"/>
        <w:numPr>
          <w:ilvl w:val="1"/>
          <w:numId w:val="1"/>
        </w:numPr>
        <w:spacing w:before="60"/>
        <w:ind w:left="426"/>
        <w:jc w:val="both"/>
        <w:rPr>
          <w:rFonts w:ascii="Times New Roman" w:hAnsi="Times New Roman" w:cs="Times New Roman"/>
          <w:noProof/>
          <w:sz w:val="24"/>
          <w:szCs w:val="24"/>
        </w:rPr>
      </w:pPr>
      <w:r>
        <w:rPr>
          <w:rFonts w:ascii="Times New Roman" w:hAnsi="Times New Roman"/>
          <w:noProof/>
          <w:sz w:val="24"/>
        </w:rPr>
        <w:lastRenderedPageBreak/>
        <w:t>ustanoveniach uplatniteľných na príslušné tretie krajiny, ktoré sa týkajú regulačného zverejňovania transakcií centrálnych bánk vrátane transakcií, ktoré uskutočňuje člen ESCB v uvedených tretích krajinách. To zahŕňa aj režim transparentnosti trhu uplatniteľný na transakcie centrálnych bánk („transparentnosť trhu“) a/alebo transparentnosť operačného rámca centrálnej banky („transparentnosť operácií“); a</w:t>
      </w:r>
    </w:p>
    <w:p>
      <w:pPr>
        <w:pStyle w:val="ListParagraph"/>
        <w:numPr>
          <w:ilvl w:val="1"/>
          <w:numId w:val="1"/>
        </w:numPr>
        <w:spacing w:before="60"/>
        <w:ind w:left="426"/>
        <w:jc w:val="both"/>
        <w:rPr>
          <w:rFonts w:ascii="Times New Roman" w:hAnsi="Times New Roman"/>
          <w:noProof/>
          <w:sz w:val="24"/>
        </w:rPr>
      </w:pPr>
      <w:r>
        <w:rPr>
          <w:rFonts w:ascii="Times New Roman" w:hAnsi="Times New Roman"/>
          <w:noProof/>
          <w:sz w:val="24"/>
        </w:rPr>
        <w:t>potenciálnom vplyve, ktoré môžu mať požiadavky regulačného zverejňovania v Únii na transakcie centrálnych bánk tretích krajín. V tomto kontexte sa posudzuje objem transakcií, ktoré centrálna banka vykonala s protistranami z EÚ alebo pomocou finančných nástrojov kótovaných v EÚ.</w:t>
      </w:r>
    </w:p>
    <w:p>
      <w:pPr>
        <w:spacing w:before="60"/>
        <w:jc w:val="both"/>
        <w:rPr>
          <w:rFonts w:ascii="Times New Roman" w:hAnsi="Times New Roman"/>
          <w:noProof/>
          <w:sz w:val="24"/>
        </w:rPr>
      </w:pPr>
      <w:r>
        <w:rPr>
          <w:rFonts w:ascii="Times New Roman" w:hAnsi="Times New Roman"/>
          <w:noProof/>
          <w:sz w:val="24"/>
        </w:rPr>
        <w:t>Na účely posúdenia sa splnenie týchto dvoch kritérií považovalo za nevyhnutné, pretože zahŕňajú faktory uvedené v článku 1 ods. 9 nariadenia MiFIR. V tejto súvislosti sa „transparentnosť trhu“ vzťahuje na transparentnosť špecifickú pre transakcie a vzťahujúcu sa na jednotlivé cenné papiere, zatiaľ čo „transparentnosť operácií“ sa vzťahuje na širšie pravidlá transparentnosti, ktorými sa riadia operácie centrálnej banky. Preto sa vzhľadom na ciele a rozsah pôsobnosti nariadenia MiFIR považovala analýza regulačných požiadaviek týkajúcich sa transparentnosti trhu pre transakcie a transparentnosti operačného rámca za nevyhnutnú na posúdenie vhodnosti udelenia výnimky centrálnym bankám tretej krajiny v súlade s článkom 1 ods. 9 písm. a) nariadenia MiFIR. Objem transakcií medzi centrálnou bankou príslušnej tretej krajiny a EÚ je navyše dôležitý, keďže je ukazovateľom potenciálneho vplyvu, ktorý môžu mať požiadavky regulačného zverejňovania v Únii na transakcie centrálnej banky tretej krajiny v súlade s článkom 1 ods. 9 písm. b) nariadenia MiFIR.</w:t>
      </w:r>
    </w:p>
    <w:p>
      <w:pPr>
        <w:spacing w:before="60"/>
        <w:jc w:val="both"/>
        <w:rPr>
          <w:rFonts w:ascii="Times New Roman" w:hAnsi="Times New Roman"/>
          <w:noProof/>
          <w:sz w:val="24"/>
        </w:rPr>
      </w:pPr>
      <w:r>
        <w:rPr>
          <w:rFonts w:ascii="Times New Roman" w:hAnsi="Times New Roman"/>
          <w:noProof/>
          <w:sz w:val="24"/>
        </w:rPr>
        <w:t>Okrem toho sa s prihliadnutím na požiadavky a ciele nariadenia MiFIR zvažovali aj tieto kritéria:</w:t>
      </w:r>
    </w:p>
    <w:p>
      <w:pPr>
        <w:spacing w:before="60"/>
        <w:ind w:left="567" w:hanging="567"/>
        <w:jc w:val="both"/>
        <w:rPr>
          <w:rFonts w:ascii="Times New Roman" w:hAnsi="Times New Roman"/>
          <w:noProof/>
          <w:sz w:val="24"/>
        </w:rPr>
      </w:pPr>
      <w:r>
        <w:rPr>
          <w:rFonts w:ascii="Times New Roman" w:hAnsi="Times New Roman"/>
          <w:noProof/>
          <w:sz w:val="24"/>
        </w:rPr>
        <w:t>i)</w:t>
      </w:r>
      <w:r>
        <w:rPr>
          <w:noProof/>
        </w:rPr>
        <w:tab/>
      </w:r>
      <w:r>
        <w:rPr>
          <w:rFonts w:ascii="Times New Roman" w:hAnsi="Times New Roman"/>
          <w:noProof/>
          <w:sz w:val="24"/>
        </w:rPr>
        <w:t>existencia postupu oznamovania, podľa ktorého centrálna banka tretej krajiny oznamuje protistrane z EÚ, že transakcia je vyňatá z uvedeného ustanovenia;</w:t>
      </w:r>
    </w:p>
    <w:p>
      <w:pPr>
        <w:spacing w:before="60"/>
        <w:ind w:left="567" w:hanging="567"/>
        <w:jc w:val="both"/>
        <w:rPr>
          <w:rFonts w:ascii="Times New Roman" w:hAnsi="Times New Roman"/>
          <w:noProof/>
          <w:sz w:val="24"/>
        </w:rPr>
      </w:pPr>
      <w:r>
        <w:rPr>
          <w:rFonts w:ascii="Times New Roman" w:hAnsi="Times New Roman"/>
          <w:noProof/>
          <w:sz w:val="24"/>
        </w:rPr>
        <w:t xml:space="preserve">ii) </w:t>
      </w:r>
      <w:r>
        <w:rPr>
          <w:noProof/>
        </w:rPr>
        <w:tab/>
      </w:r>
      <w:r>
        <w:rPr>
          <w:rFonts w:ascii="Times New Roman" w:hAnsi="Times New Roman"/>
          <w:noProof/>
          <w:sz w:val="24"/>
        </w:rPr>
        <w:t>schopnosť centrálnej banky tretej krajiny rozlišovať medzi transakciami na účely kľúčovej politiky určené v MiFIR a transakciami vykonanými len na „čisto“ investičné účely; a</w:t>
      </w:r>
    </w:p>
    <w:p>
      <w:pPr>
        <w:spacing w:before="60"/>
        <w:ind w:left="567" w:hanging="567"/>
        <w:jc w:val="both"/>
        <w:rPr>
          <w:rFonts w:ascii="Times New Roman" w:hAnsi="Times New Roman" w:cs="Times New Roman"/>
          <w:noProof/>
          <w:sz w:val="24"/>
          <w:szCs w:val="24"/>
        </w:rPr>
      </w:pPr>
      <w:r>
        <w:rPr>
          <w:rFonts w:ascii="Times New Roman" w:hAnsi="Times New Roman"/>
          <w:noProof/>
          <w:sz w:val="24"/>
        </w:rPr>
        <w:t xml:space="preserve">iii) </w:t>
      </w:r>
      <w:r>
        <w:rPr>
          <w:noProof/>
        </w:rPr>
        <w:tab/>
      </w:r>
      <w:r>
        <w:rPr>
          <w:rFonts w:ascii="Times New Roman" w:hAnsi="Times New Roman"/>
          <w:noProof/>
          <w:sz w:val="24"/>
        </w:rPr>
        <w:t>existencia podobnej výnimky dostupná pre centrálne banky tretích krajín v skúmanej jurisdikcii.</w:t>
      </w:r>
    </w:p>
    <w:p>
      <w:pPr>
        <w:spacing w:before="60"/>
        <w:jc w:val="both"/>
        <w:rPr>
          <w:rFonts w:ascii="Times New Roman" w:hAnsi="Times New Roman" w:cs="Times New Roman"/>
          <w:noProof/>
          <w:sz w:val="24"/>
          <w:szCs w:val="24"/>
        </w:rPr>
      </w:pPr>
      <w:r>
        <w:rPr>
          <w:rFonts w:ascii="Times New Roman" w:hAnsi="Times New Roman"/>
          <w:noProof/>
          <w:sz w:val="24"/>
        </w:rPr>
        <w:t>Uvedené ďalšie kritériá sa posudzovali s prihliadnutím na požiadavky a ciele nariadenia MiFIR. V posúdení sa predovšetkým zvažovalo, či centrálna banka tretej krajiny mala zavedený postup na oznámenie protistrane z EÚ, že na transakciu sa vzťahuje výnimka. Podľa nariadenia MiFIR sa nemôžu udeliť výnimky na základe článku 1 ods. 6 nariadenia MiFIR centrálnym bankám, keď vykonávajú operácie na čisto investičné účely. V posúdení sa preto zvažovalo, či centrálne banky tretej krajiny môžu rozlišovať medzi transakciami vykonanými na regulačné a investičné účely. A napokon sa vzhľadom na trhový vplyv požiadaviek zverejňovania a jeho prípadný dosah na účinnosť menových politík posudzuje dostupnosť zákonnej výnimky pre centrálne banky obchodujúce na obchodných miestach tretej krajiny.</w:t>
      </w:r>
    </w:p>
    <w:p>
      <w:pPr>
        <w:spacing w:before="60"/>
        <w:jc w:val="both"/>
        <w:rPr>
          <w:rFonts w:ascii="Times New Roman" w:hAnsi="Times New Roman"/>
          <w:noProof/>
          <w:sz w:val="24"/>
        </w:rPr>
      </w:pPr>
      <w:r>
        <w:rPr>
          <w:rFonts w:ascii="Times New Roman" w:hAnsi="Times New Roman"/>
          <w:noProof/>
          <w:sz w:val="24"/>
        </w:rPr>
        <w:t>Pre podrobný opis kritérií pozri štúdiu CEPS.</w:t>
      </w:r>
    </w:p>
    <w:p>
      <w:pPr>
        <w:spacing w:after="0"/>
        <w:jc w:val="both"/>
        <w:rPr>
          <w:rFonts w:ascii="Times New Roman" w:hAnsi="Times New Roman" w:cs="Times New Roman"/>
          <w:b/>
          <w:bCs/>
          <w:noProof/>
          <w:sz w:val="24"/>
          <w:szCs w:val="24"/>
        </w:rPr>
      </w:pPr>
      <w:bookmarkStart w:id="2" w:name="_Toc413169301"/>
      <w:bookmarkStart w:id="3" w:name="_Toc412950561"/>
      <w:bookmarkStart w:id="4" w:name="_Toc412947399"/>
      <w:bookmarkStart w:id="5" w:name="_Toc412933595"/>
      <w:bookmarkStart w:id="6" w:name="_Toc412835395"/>
      <w:bookmarkStart w:id="7" w:name="_Toc418165659"/>
      <w:r>
        <w:rPr>
          <w:rFonts w:ascii="Times New Roman" w:hAnsi="Times New Roman"/>
          <w:b/>
          <w:noProof/>
          <w:sz w:val="24"/>
        </w:rPr>
        <w:t xml:space="preserve">Zhrnutie analýzy </w:t>
      </w:r>
      <w:bookmarkEnd w:id="2"/>
      <w:bookmarkEnd w:id="3"/>
      <w:bookmarkEnd w:id="4"/>
      <w:bookmarkEnd w:id="5"/>
      <w:bookmarkEnd w:id="6"/>
      <w:bookmarkEnd w:id="7"/>
      <w:r>
        <w:rPr>
          <w:rFonts w:ascii="Times New Roman" w:hAnsi="Times New Roman"/>
          <w:b/>
          <w:i/>
          <w:noProof/>
          <w:sz w:val="24"/>
        </w:rPr>
        <w:t>Bank of England</w:t>
      </w:r>
      <w:r>
        <w:rPr>
          <w:rFonts w:ascii="Times New Roman" w:hAnsi="Times New Roman"/>
          <w:b/>
          <w:noProof/>
          <w:sz w:val="24"/>
        </w:rPr>
        <w:t xml:space="preserve"> (BoE)</w:t>
      </w:r>
    </w:p>
    <w:p>
      <w:pPr>
        <w:spacing w:before="60"/>
        <w:jc w:val="both"/>
        <w:rPr>
          <w:rFonts w:ascii="Times New Roman" w:hAnsi="Times New Roman"/>
          <w:noProof/>
          <w:sz w:val="24"/>
        </w:rPr>
      </w:pPr>
      <w:r>
        <w:rPr>
          <w:rFonts w:ascii="Times" w:hAnsi="Times"/>
          <w:noProof/>
          <w:sz w:val="24"/>
        </w:rPr>
        <w:t>Komisia dospela k záveru,</w:t>
      </w:r>
      <w:r>
        <w:rPr>
          <w:noProof/>
        </w:rPr>
        <w:t xml:space="preserve"> </w:t>
      </w:r>
      <w:r>
        <w:rPr>
          <w:rFonts w:ascii="Times" w:hAnsi="Times"/>
          <w:noProof/>
          <w:sz w:val="24"/>
        </w:rPr>
        <w:t xml:space="preserve">že </w:t>
      </w:r>
      <w:r>
        <w:rPr>
          <w:rFonts w:ascii="Times" w:hAnsi="Times"/>
          <w:i/>
          <w:noProof/>
          <w:sz w:val="24"/>
        </w:rPr>
        <w:t>Bank of England</w:t>
      </w:r>
      <w:r>
        <w:rPr>
          <w:rFonts w:ascii="Times" w:hAnsi="Times"/>
          <w:noProof/>
          <w:sz w:val="24"/>
        </w:rPr>
        <w:t xml:space="preserve"> má zavedený právny rámec, ktorý umožňuje</w:t>
      </w:r>
      <w:r>
        <w:rPr>
          <w:noProof/>
        </w:rPr>
        <w:t xml:space="preserve"> </w:t>
      </w:r>
      <w:r>
        <w:rPr>
          <w:rFonts w:ascii="Times New Roman" w:hAnsi="Times New Roman"/>
          <w:noProof/>
          <w:sz w:val="24"/>
        </w:rPr>
        <w:t>dostatočnú úroveň transparentnosti</w:t>
      </w:r>
      <w:r>
        <w:rPr>
          <w:rStyle w:val="FootnoteReference"/>
          <w:rFonts w:ascii="Times New Roman" w:hAnsi="Times New Roman"/>
          <w:noProof/>
          <w:sz w:val="24"/>
        </w:rPr>
        <w:footnoteReference w:id="5"/>
      </w:r>
      <w:r>
        <w:rPr>
          <w:rFonts w:ascii="Times New Roman" w:hAnsi="Times New Roman"/>
          <w:noProof/>
          <w:sz w:val="24"/>
        </w:rPr>
        <w:t>. Obchodná činnosť v EÚ s pôvodom v Spojenom kráľovstve je navyše dostatočne významná na to, aby oprávnila udelenie výnimky z požiadaviek na predobchodnú a poobchodnú transparentnosť BoE.</w:t>
      </w:r>
    </w:p>
    <w:p>
      <w:pPr>
        <w:spacing w:before="60"/>
        <w:jc w:val="both"/>
        <w:rPr>
          <w:rFonts w:ascii="Times New Roman" w:hAnsi="Times New Roman" w:cs="Times New Roman"/>
          <w:noProof/>
          <w:sz w:val="24"/>
          <w:szCs w:val="24"/>
        </w:rPr>
      </w:pPr>
      <w:r>
        <w:rPr>
          <w:rFonts w:ascii="Times New Roman" w:hAnsi="Times New Roman"/>
          <w:noProof/>
          <w:sz w:val="24"/>
        </w:rPr>
        <w:t>Ďalej v texte sa uvádza zhrnutie analýzy BoE v súvislosti s uvedenými kritériami.</w:t>
      </w:r>
    </w:p>
    <w:p>
      <w:pPr>
        <w:spacing w:after="0"/>
        <w:jc w:val="both"/>
        <w:rPr>
          <w:rFonts w:ascii="Times New Roman" w:hAnsi="Times New Roman" w:cs="Times New Roman"/>
          <w:i/>
          <w:noProof/>
          <w:sz w:val="24"/>
          <w:szCs w:val="24"/>
        </w:rPr>
      </w:pPr>
      <w:r>
        <w:rPr>
          <w:rFonts w:ascii="Times New Roman" w:hAnsi="Times New Roman"/>
          <w:i/>
          <w:noProof/>
          <w:sz w:val="24"/>
        </w:rPr>
        <w:t>Hlavné kritériá</w:t>
      </w:r>
    </w:p>
    <w:p>
      <w:pPr>
        <w:spacing w:before="60"/>
        <w:jc w:val="both"/>
        <w:rPr>
          <w:rFonts w:ascii="Times New Roman" w:hAnsi="Times New Roman"/>
          <w:noProof/>
          <w:sz w:val="24"/>
        </w:rPr>
      </w:pPr>
      <w:r>
        <w:rPr>
          <w:rFonts w:ascii="Times New Roman" w:hAnsi="Times New Roman"/>
          <w:noProof/>
          <w:sz w:val="24"/>
        </w:rPr>
        <w:t>Pokiaľ ide o transparentnosť operácií, BoE poskytuje informácie o položkách vo svojej súvahe, oznamuje svoje každodenné operácie na voľnom trhu a poskytuje súhrnné informácie o svojich transakciách prostredníctvom služieb elektronického spravodajstva po tom, ako sa tieto transakcie uskutočnia</w:t>
      </w:r>
      <w:r>
        <w:rPr>
          <w:rStyle w:val="FootnoteReference"/>
          <w:rFonts w:ascii="Times New Roman" w:hAnsi="Times New Roman"/>
          <w:noProof/>
          <w:sz w:val="24"/>
        </w:rPr>
        <w:footnoteReference w:id="6"/>
      </w:r>
      <w:r>
        <w:rPr>
          <w:rFonts w:ascii="Times New Roman" w:hAnsi="Times New Roman"/>
          <w:noProof/>
          <w:sz w:val="24"/>
        </w:rPr>
        <w:t>.</w:t>
      </w:r>
    </w:p>
    <w:p>
      <w:pPr>
        <w:spacing w:before="60"/>
        <w:jc w:val="both"/>
        <w:rPr>
          <w:rFonts w:ascii="Times New Roman" w:hAnsi="Times New Roman"/>
          <w:noProof/>
          <w:sz w:val="24"/>
        </w:rPr>
      </w:pPr>
      <w:r>
        <w:rPr>
          <w:rFonts w:ascii="Times New Roman" w:hAnsi="Times New Roman"/>
          <w:noProof/>
          <w:sz w:val="24"/>
        </w:rPr>
        <w:t>Európska komisia dostala údaje o obchodnej činnosti BoE na finančných trhoch EÚ a s protistranami z EÚ. Objem obchodovania BoE s protistranami z EÚ je vysoký.</w:t>
      </w:r>
    </w:p>
    <w:p>
      <w:pPr>
        <w:spacing w:after="0"/>
        <w:jc w:val="both"/>
        <w:rPr>
          <w:rFonts w:ascii="Times New Roman" w:hAnsi="Times New Roman" w:cs="Times New Roman"/>
          <w:i/>
          <w:noProof/>
          <w:sz w:val="24"/>
          <w:szCs w:val="24"/>
        </w:rPr>
      </w:pPr>
      <w:r>
        <w:rPr>
          <w:rFonts w:ascii="Times New Roman" w:hAnsi="Times New Roman"/>
          <w:i/>
          <w:noProof/>
          <w:sz w:val="24"/>
        </w:rPr>
        <w:t>Dodatočné kritériá</w:t>
      </w:r>
    </w:p>
    <w:p>
      <w:pPr>
        <w:spacing w:before="60"/>
        <w:jc w:val="both"/>
        <w:rPr>
          <w:rFonts w:ascii="Times New Roman" w:hAnsi="Times New Roman" w:cs="Times New Roman"/>
          <w:noProof/>
          <w:sz w:val="24"/>
          <w:szCs w:val="24"/>
        </w:rPr>
      </w:pPr>
      <w:r>
        <w:rPr>
          <w:rFonts w:ascii="Times New Roman" w:hAnsi="Times New Roman"/>
          <w:noProof/>
          <w:sz w:val="24"/>
        </w:rPr>
        <w:t>Pre zahraničné centrálne banky obchodujúce v Spojenom kráľovstve je dostupná výnimka z požiadaviek na transparentnosť.</w:t>
      </w:r>
    </w:p>
    <w:p>
      <w:pPr>
        <w:spacing w:before="60"/>
        <w:jc w:val="both"/>
        <w:rPr>
          <w:rFonts w:ascii="Times New Roman" w:hAnsi="Times New Roman" w:cs="Times New Roman"/>
          <w:noProof/>
          <w:sz w:val="24"/>
          <w:szCs w:val="24"/>
        </w:rPr>
      </w:pPr>
      <w:r>
        <w:rPr>
          <w:rFonts w:ascii="Times New Roman" w:hAnsi="Times New Roman"/>
          <w:noProof/>
          <w:sz w:val="24"/>
        </w:rPr>
        <w:t>BoE dokáže rozlišovať medzi transakciami na účely politiky a transakciami na iné účely (najmä „investičné“ účely), ktoré majú len okrajový význam.</w:t>
      </w:r>
    </w:p>
    <w:p>
      <w:pPr>
        <w:spacing w:before="60"/>
        <w:jc w:val="both"/>
        <w:rPr>
          <w:rFonts w:ascii="Times New Roman" w:hAnsi="Times New Roman" w:cs="Times New Roman"/>
          <w:noProof/>
          <w:sz w:val="24"/>
          <w:szCs w:val="24"/>
        </w:rPr>
      </w:pPr>
      <w:r>
        <w:rPr>
          <w:rFonts w:ascii="Times New Roman" w:hAnsi="Times New Roman"/>
          <w:noProof/>
          <w:sz w:val="24"/>
        </w:rPr>
        <w:t>A napokon, je zavedený postup oznamovania s cieľom informovať protistrany z EÚ, že transakcie nepodliehajú požiadavkám na transparentnosť.</w:t>
      </w:r>
    </w:p>
    <w:p>
      <w:pPr>
        <w:pStyle w:val="Caption"/>
        <w:keepNext/>
        <w:rPr>
          <w:rFonts w:ascii="Times New Roman" w:hAnsi="Times New Roman" w:cs="Times New Roman"/>
          <w:b/>
          <w:noProof/>
        </w:rPr>
      </w:pPr>
      <w:r>
        <w:rPr>
          <w:rFonts w:ascii="Times New Roman" w:hAnsi="Times New Roman"/>
          <w:b/>
          <w:i w:val="0"/>
          <w:noProof/>
          <w:color w:val="auto"/>
          <w:sz w:val="22"/>
        </w:rPr>
        <w:t>Prehľad kritérií</w:t>
      </w:r>
    </w:p>
    <w:tbl>
      <w:tblPr>
        <w:tblW w:w="8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3596"/>
      </w:tblGrid>
      <w:tr>
        <w:trPr>
          <w:trHeight w:val="502"/>
        </w:trPr>
        <w:tc>
          <w:tcPr>
            <w:tcW w:w="1701" w:type="dxa"/>
            <w:vMerge w:val="restart"/>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Hlavné kritériá</w:t>
            </w: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transparentnosť trhu</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vysoká</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transparentnosť operácií</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vysoká</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nevyhnutnosť</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áno</w:t>
            </w:r>
          </w:p>
        </w:tc>
      </w:tr>
      <w:tr>
        <w:trPr>
          <w:trHeight w:val="502"/>
        </w:trPr>
        <w:tc>
          <w:tcPr>
            <w:tcW w:w="1701" w:type="dxa"/>
            <w:vMerge w:val="restart"/>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Ďalšie kritériá</w:t>
            </w: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rozlíšenie účelu transakcie</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áno</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postup oznamovania</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áno</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výnimka pre zahraničné centrálne banky</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[áno]</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druh vykonávania</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na bilaterálnej úrovni (50 – 100 %) na obchodných miestach (10 – 50 %)</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výnimka</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áno</w:t>
            </w:r>
          </w:p>
        </w:tc>
      </w:tr>
    </w:tbl>
    <w:p>
      <w:pPr>
        <w:spacing w:after="0"/>
        <w:jc w:val="both"/>
        <w:rPr>
          <w:rFonts w:ascii="Times New Roman" w:hAnsi="Times New Roman" w:cs="Times New Roman"/>
          <w:noProof/>
          <w:sz w:val="24"/>
          <w:szCs w:val="24"/>
        </w:rPr>
      </w:pP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ZÁVERY</w:t>
      </w:r>
    </w:p>
    <w:p>
      <w:pPr>
        <w:jc w:val="both"/>
        <w:rPr>
          <w:rFonts w:ascii="Times New Roman" w:hAnsi="Times New Roman" w:cs="Times New Roman"/>
          <w:noProof/>
          <w:sz w:val="24"/>
          <w:szCs w:val="24"/>
        </w:rPr>
      </w:pPr>
      <w:r>
        <w:rPr>
          <w:rFonts w:ascii="Times New Roman" w:hAnsi="Times New Roman"/>
          <w:noProof/>
          <w:sz w:val="24"/>
        </w:rPr>
        <w:t xml:space="preserve">Na základe získaných informácií Komisia dospela k záveru, že je vhodné udeliť výnimku z požiadaviek na predobchodnú a poobchodnú transparentnosť podľa nariadenia MiFIR v súlade s článkom 1 ods. 9 nariadenia MiFIR </w:t>
      </w:r>
      <w:r>
        <w:rPr>
          <w:rFonts w:ascii="Times New Roman" w:hAnsi="Times New Roman"/>
          <w:i/>
          <w:noProof/>
          <w:sz w:val="24"/>
        </w:rPr>
        <w:t>Bank of England</w:t>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 xml:space="preserve">Tento záver platí bez toho, aby boli dotknuté možné zmeny v budúcnosti so zreteľom na nové dôkazy predložené </w:t>
      </w:r>
      <w:r>
        <w:rPr>
          <w:rFonts w:ascii="Times New Roman" w:hAnsi="Times New Roman"/>
          <w:i/>
          <w:noProof/>
          <w:sz w:val="24"/>
        </w:rPr>
        <w:t>Bank of England</w:t>
      </w:r>
      <w:r>
        <w:rPr>
          <w:rFonts w:ascii="Times New Roman" w:hAnsi="Times New Roman"/>
          <w:noProof/>
          <w:sz w:val="24"/>
        </w:rPr>
        <w:t>, na zmeny právnych predpisov v Spojenom kráľovstve alebo na zmenené skutkové okolnosti. Tieto udalosti môžu vyvolať potrebu preskúmania zoznamu centrálnych bánk tretích krajín, na ktoré sa vzťahuje výnimka.</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6361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Nariadenie Európskeho parlamentu a Rady (EÚ) č. 600/2014 z 15. mája 2014 o trhoch s finančnými nástrojmi, ktorým sa mení nariadenie (EÚ) č. 648/2012 (Ú. v. EÚ L 173, 12.6.2014, s. 84).</w:t>
      </w: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Smernica Európskeho parlamentu a Rady 2014/65/EÚ z 15. mája 2014 o trhoch s finančnými nástrojmi, ktorou sa mení smernica 2002/92/ES a smernica 2011/61/EÚ (Ú. v. EÚ L 173, 12.6.2014).</w:t>
      </w:r>
    </w:p>
  </w:footnote>
  <w:footnote w:id="3">
    <w:p>
      <w:pPr>
        <w:pStyle w:val="FootnoteText"/>
        <w:jc w:val="both"/>
      </w:pPr>
      <w:r>
        <w:rPr>
          <w:rStyle w:val="FootnoteReference"/>
        </w:rPr>
        <w:footnoteRef/>
      </w:r>
      <w:r>
        <w:t xml:space="preserve"> </w:t>
      </w:r>
      <w:r>
        <w:rPr>
          <w:rFonts w:ascii="Times New Roman" w:hAnsi="Times New Roman"/>
        </w:rPr>
        <w:t>https://www.ceps.eu/publications/study-exemptions-third-country-central-banks-and-debt-management-offices-under-mifir</w:t>
      </w:r>
    </w:p>
  </w:footnote>
  <w:footnote w:id="4">
    <w:p>
      <w:pPr>
        <w:pStyle w:val="FootnoteText"/>
        <w:jc w:val="both"/>
      </w:pPr>
      <w:r>
        <w:rPr>
          <w:rStyle w:val="FootnoteReference"/>
        </w:rPr>
        <w:footnoteRef/>
      </w:r>
      <w:r>
        <w:t xml:space="preserve"> </w:t>
      </w:r>
      <w:r>
        <w:rPr>
          <w:rFonts w:ascii="Times New Roman" w:hAnsi="Times New Roman"/>
        </w:rPr>
        <w:t>COM(2017) 298 final.</w:t>
      </w:r>
    </w:p>
  </w:footnote>
  <w:footnote w:id="5">
    <w:p>
      <w:pPr>
        <w:pStyle w:val="FootnoteText"/>
        <w:jc w:val="both"/>
      </w:pPr>
      <w:r>
        <w:rPr>
          <w:rStyle w:val="FootnoteReference"/>
          <w:rFonts w:ascii="Times New Roman" w:hAnsi="Times New Roman"/>
        </w:rPr>
        <w:footnoteRef/>
      </w:r>
      <w:r>
        <w:rPr>
          <w:rFonts w:ascii="Times New Roman" w:hAnsi="Times New Roman"/>
        </w:rPr>
        <w:t xml:space="preserve"> Účelom tejto správy nie je posúdiť, či uvedená jurisdikcia má pravidlá obchodnej transparentnosti, ktoré môžu byť považované za rovnocenné s tými, ktoré sa uplatňujú podľa nariadenia MiFIR. Závermi tejto správy nie je dotknuté žiadne takéto posúdenie. </w:t>
      </w:r>
    </w:p>
  </w:footnote>
  <w:footnote w:id="6">
    <w:p>
      <w:pPr>
        <w:pStyle w:val="FootnoteText"/>
        <w:jc w:val="both"/>
      </w:pPr>
      <w:r>
        <w:rPr>
          <w:rStyle w:val="FootnoteReference"/>
        </w:rPr>
        <w:footnoteRef/>
      </w:r>
      <w:r>
        <w:t xml:space="preserve"> </w:t>
      </w:r>
      <w:r>
        <w:rPr>
          <w:rFonts w:ascii="Times New Roman" w:hAnsi="Times New Roman"/>
        </w:rPr>
        <w:t>Údaje v oficiálnych sadzbách a rozpätiach podľa udržiavacieho obdobia a aktívach a záväzkoch menového rámca libry podľa udržiavacieho obdobia sú k dispozícii mesačne od júna 2006. Denné údaje v denných tokoch – operáciách na voľnom trhu sú k dispozícii od mája 2006. Údaje v rámci fondu na nákup aktív (</w:t>
      </w:r>
      <w:r>
        <w:rPr>
          <w:rFonts w:ascii="Times New Roman" w:hAnsi="Times New Roman"/>
          <w:i/>
        </w:rPr>
        <w:t>Asset Purchase Facility</w:t>
      </w:r>
      <w:r>
        <w:rPr>
          <w:rFonts w:ascii="Times New Roman" w:hAnsi="Times New Roman"/>
        </w:rPr>
        <w:t xml:space="preserve">) </w:t>
      </w:r>
      <w:r>
        <w:rPr>
          <w:rFonts w:ascii="Times New Roman" w:hAnsi="Times New Roman"/>
          <w:i/>
        </w:rPr>
        <w:t>Bank of England</w:t>
      </w:r>
      <w:r>
        <w:rPr>
          <w:rFonts w:ascii="Times New Roman" w:hAnsi="Times New Roman"/>
        </w:rPr>
        <w:t xml:space="preserve"> k dispozícii týždenne na konci pracovného dňa vo štvrtok od februára 2009 do 16. septembra 2016 na konci pracovného dňa v stredu od 22. septembra 2016. Údaje v rámci fondu na nákup aktív (</w:t>
      </w:r>
      <w:r>
        <w:rPr>
          <w:rFonts w:ascii="Times New Roman" w:hAnsi="Times New Roman"/>
          <w:i/>
        </w:rPr>
        <w:t>Asset Purchase Facility</w:t>
      </w:r>
      <w:r>
        <w:rPr>
          <w:rFonts w:ascii="Times New Roman" w:hAnsi="Times New Roman"/>
        </w:rPr>
        <w:t xml:space="preserve">) </w:t>
      </w:r>
      <w:r>
        <w:rPr>
          <w:rFonts w:ascii="Times New Roman" w:hAnsi="Times New Roman"/>
          <w:i/>
        </w:rPr>
        <w:t>Bank of England</w:t>
      </w:r>
      <w:r>
        <w:rPr>
          <w:rFonts w:ascii="Times New Roman" w:hAnsi="Times New Roman"/>
        </w:rPr>
        <w:t xml:space="preserve"> – dlhodobý systém financovania (</w:t>
      </w:r>
      <w:r>
        <w:rPr>
          <w:rFonts w:ascii="Times New Roman" w:hAnsi="Times New Roman"/>
          <w:i/>
        </w:rPr>
        <w:t>Term Funding Scheme</w:t>
      </w:r>
      <w:r>
        <w:rPr>
          <w:rFonts w:ascii="Times New Roman" w:hAnsi="Times New Roman"/>
        </w:rPr>
        <w:t>) sú k dispozícii od septembra 2016. Údaje sa budú zvyčajne uverejňovať v pondelok, ktorý nasleduje po rozhodnutí MPC o interaktívnej databáze, a 21. pracovný deň každého kalendárneho mesiaca. Fond na nákup aktív Bank of England a fond na nákup aktív Bank of England – dlhodobý systém financovania sa aktualizujú každý týždeň. Údaje v rámci požičiavacieho nástroja zliav (</w:t>
      </w:r>
      <w:r>
        <w:rPr>
          <w:rFonts w:ascii="Times New Roman" w:hAnsi="Times New Roman"/>
          <w:i/>
        </w:rPr>
        <w:t>Discount Window Facility lending</w:t>
      </w:r>
      <w:r>
        <w:rPr>
          <w:rFonts w:ascii="Times New Roman" w:hAnsi="Times New Roman"/>
        </w:rPr>
        <w:t xml:space="preserve">) </w:t>
      </w:r>
      <w:r>
        <w:rPr>
          <w:rFonts w:ascii="Times New Roman" w:hAnsi="Times New Roman"/>
          <w:i/>
        </w:rPr>
        <w:t>Bank of England</w:t>
      </w:r>
      <w:r>
        <w:rPr>
          <w:rFonts w:ascii="Times New Roman" w:hAnsi="Times New Roman"/>
        </w:rPr>
        <w:t xml:space="preserve"> sa uverejňujú štvrťročne. Dostupné údaje nie sú očistené od sezónnych vplyvov.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E3F98"/>
    <w:multiLevelType w:val="hybridMultilevel"/>
    <w:tmpl w:val="DCD466BA"/>
    <w:lvl w:ilvl="0" w:tplc="E3888B3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8A45A67-26C8-46D6-83CE-08B77536CEF7"/>
    <w:docVar w:name="LW_COVERPAGE_TYPE" w:val="1"/>
    <w:docVar w:name="LW_CROSSREFERENCE" w:val="&lt;UNUSED&gt;"/>
    <w:docVar w:name="LW_DocType" w:val="NORMAL"/>
    <w:docVar w:name="LW_EMISSION" w:val="30. 1. 2019"/>
    <w:docVar w:name="LW_EMISSION_ISODATE" w:val="2019-01-30"/>
    <w:docVar w:name="LW_EMISSION_LOCATION" w:val="BRX"/>
    <w:docVar w:name="LW_EMISSION_PREFIX" w:val="V Bruseli"/>
    <w:docVar w:name="LW_EMISSION_SUFFIX" w:val=" "/>
    <w:docVar w:name="LW_ID_DOCTYPE_NONLW" w:val="CP-006"/>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9) 6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Výnimka pre centrálnu banku Spojeného krá\u318?ovstva (\u8222?Bank of England\u8220?) na základe nariadenia o trhoch s finan\u269?nými nástrojmi (MiFIR)_x000d__x000d__x000d__x000d__x000d__x000d__x000d__x000d__x000d__x000d__x000d__x000d__x000d__x000b_"/>
    <w:docVar w:name="LW_TYPE.DOC.CP" w:val="SPRÁVA KOMISIE EURÓPSKEMU PARLAMENTU A RAD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72A8EDE-DB0F-4042-9AEC-1DB07ED4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1514</Words>
  <Characters>9212</Characters>
  <Application>Microsoft Office Word</Application>
  <DocSecurity>0</DocSecurity>
  <Lines>167</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16</cp:revision>
  <cp:lastPrinted>2018-10-11T07:04:00Z</cp:lastPrinted>
  <dcterms:created xsi:type="dcterms:W3CDTF">2019-01-29T09:41:00Z</dcterms:created>
  <dcterms:modified xsi:type="dcterms:W3CDTF">2019-01-29T17:59:00Z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