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1A9B4D20-1833-46BC-85CD-2A2078F850F0" style="width:450.75pt;height:321pt">
            <v:imagedata r:id="rId9" o:title=""/>
          </v:shape>
        </w:pict>
      </w:r>
    </w:p>
    <w:bookmarkEnd w:id="0"/>
    <w:p>
      <w:pPr>
        <w:tabs>
          <w:tab w:val="left" w:pos="5310"/>
        </w:tabs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BEVEZETÉS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pénzügyi eszközök piacairól szóló rendelet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(MiFIR) és a pénzügyi eszközök piacairól szóló irányelv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(MiFID II) 2014. június 12-én jelent meg a Hivatalos Lapban; a két jogszabály 2014. július 2-án lépett hatályba és 2018. január 3-a óta alkalmazandó.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két jogszabállyal bevezetett piaci szabályozás célja, hogy a kereskedés – ahol helyénvaló – szabályozott platformokon történjen, továbbá a hatékony és tisztességes árképzés érdekében legyen átlátható.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MiFIR ebben a keretben mentességet ad a nem részvényjellegű pénzügyi eszközökre vonatkozó kereskedés előtti és utáni átláthatósági követelmények alól olyan ügyletek esetében, amelyek szerződő fele a Központi Bankok Európai Rendszerének (KBER) tagja, és amelyekre olyan monetáris, devizaműveleti vagy pénzügyi stabilitási politika teljesítése során került sor, amelynek gyakorlására a KBER adott tagja felhatalmazást kapott, és amennyiben az említett tag előzetesen értesítette az adott szerződő felet arról, hogy az ügylet mentességet élvez. A MiFIR emellett felhatalmazza a Bizottságot, hogy az előfeltételek teljesülése esetén a mentességet harmadik országbeli központi bankokra is kiterjessze.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Európai Bizottság ezzel összefüggésben külső tanulmányt készíttetett az Európai Politikai Tanulmányok Központjával (CEPS) és a Bolognai Egyetemmel a piaci visszaélésekről szóló rendelet (MAR) és a pénzügyi eszközök piacairól szóló rendelet (MiFIR) keretében harmadik országbeli központi bankok és más szervezetek számára biztosított mentességekről (Exemptions for third-country central banks and other entities under the Market Abuse Regulation (MAR) and the market in Financial Instrument Regulation (MiFIR)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). A tanulmány egy felmérésen és másodelemzésen alapul. Elemzi a harmadik országbeli központi bankok által nem részvényjellegű pénzügyi eszközökkel folytatott kereskedelemre vonatkozó kereskedés előtti és utáni átláthatósági szabályokat, valamint az e központi bankok által az említett pénzügyi eszközökkel az Unión belül folytatott kereskedelem mértékét.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 JELENTÉS JOGALAPJA: A MIFIR 1. CIKKÉNEK (9) BEKEZDÉSE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MiFIR 1. cikkének (6) bekezdése a kereskedés előtti és kereskedés utáni átláthatósági szabályok alóli mentességről rendelkezik olyan ügyletek esetében, amelyek szerződő fele a Központi Bankok Európai Rendszerének (KBER) tagja, és amelyekre olyan monetáris, devizaműveleti vagy pénzügyi stabilitási politika teljesítése során került sor, amelynek gyakorlására a KBER adott tagja felhatalmazást kapott, és amennyiben az említett tag előzetesen értesítette az adott szerződő felet arról, hogy az ügylet mentességet élvez.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MiFIR 1. cikkének (9) bekezdése felhatalmazza továbbá a Bizottságot arra, hogy </w:t>
      </w:r>
      <w:r>
        <w:rPr>
          <w:rFonts w:ascii="Times New Roman" w:hAnsi="Times New Roman"/>
          <w:i/>
          <w:noProof/>
          <w:sz w:val="24"/>
        </w:rPr>
        <w:t>„(...) az 50. cikknek megfelelően felhatalmazáson alapuló jogi aktust fogadjon el a (6) bekezdés hatályának más központi bankokra történő kiegészítése céljából.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E célból 2015. június 1-jéig a Bizottság az ügyleteknek harmadik országok központi bankjai – amely fogalom e bekezdés alkalmazásában magában foglalja a Nemzetközi Fizetések Bankját is – általi kezelését értékelő jelentést nyújt be az Európai Parlamentnek és a Tanácsnak. A jelentés a jogszabályokban rögzített feladataikra és az Unión belüli kereskedési mennyiségeikre vonatkozó elemzést tartalmaz. A jelentés: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a) azonosítja az érintett harmadik országokra alkalmazandó rendelkezéseket a központi bankok ügyleteinek – köztük a KBER e harmadik országokban lévő tagjai által kötött ügyletek – felügyeleti közzétételére vonatkozóan, és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b) értékeli, hogy milyen hatást gyakorolhatnak az Unión belüli, felügyeleti közzétételi követelmények harmadik országok központi bankjaira.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Amennyiben a jelentés megállapítja, hogy szükség van a (6) bekezdésben meghatározott mentességre az olyan ügyletek esetében, ahol a szerződő fél monetáris politikai, deviza- és pénzügyi stabilitással kapcsolatos műveleteket végző, harmadik országbeli központi bank, a Bizottság rendelkezhet úgy, hogy e mentesség vonatkozik e harmadik országbeli központi bankra.”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Bizottság 2017. június 9-i jelentésében</w:t>
      </w:r>
      <w:r>
        <w:rPr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megállapította, hogy a MiFIR 1. cikkének (9) bekezdésével összhangban helyénvaló mentességet adni a MiFIR kereskedés előtti és utáni átláthatósági követelményei alól a következő harmadik országbeli joghatóságokban található központi bankok számára: Ausztrália, Brazília, Kanada, Hongkong Különleges Közigazgatási Terület, India, Japán, Mexikó, Szingapúr, Koreai Köztársaság, Svájc, Törökország és az Egyesült Államok, valamint a Nemzetközi Fizetések Bankja (BIS). A 2017. június 14-én elfogadott (EU) 2017/1799 felhatalmazáson alapuló rendelet a MiFIR 1. cikke (9) bekezdésének megfelelően mentességet adott a MiFIR kereskedés előtti és utáni átláthatósági követelményei alól az említett harmadik országbeli központi bankok számára.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Bizottság ezzel párhuzamosan értékeli, hogy helyénvaló-e mentességet adni a Kínai Népköztársaság Központi Bankja számára a MiFIR kereskedés előtti és utáni átláthatósági követelményei alól a MiFIR 1. cikke (9) bekezdésének megfelelően. A tagállamokkal az Európai Értékpapír-bizottság szakértői csoportjában folyik konzultáció a jelentés tervezetéről és a felhatalmazáson alapuló rendelet tervezetéről.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Bank of Englandet uniós tagállami központi banki jogállásából adódóan nem érintette a fent említett jelentés és a felhatalmazáson alapuló rendelet. Tekintettel azonban arra, hogy az Egyesült Királyság rövidesen harmadik ország jogállásúvá válik, helyénvaló a MiFIR 1. cikkének (9) bekezdése szerinti jelentést benyújtani az Európai Parlamentnek és a Tanácsnak, és abban megvizsgálni, hogy indokolt-e a MiFIR hatálya alóli mentesség kiterjesztése a Bank of Englandre.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 BANK OF ENGLANDRE VONATKOZÓ ELEMZÉS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Az értékelés során alkalmazott kritériumok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MiFIR 1. cikkének (9) bekezdése szerinti megbízatás (az azonosított joghatóságok elemzése) alapján a Bizottság két fő értékelési kritériumot vizsgált: 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érintett harmadik országokra alkalmazandó rendelkezések a központi bankok ügyleteinek – köztük a KBER e harmadik országokban lévő tagjai által kötött ügyletek – felügyeleti közzétételére vonatkozóan. Idetartozik a központi bank ügyleteire vonatkozó piaci átláthatósági szabályozás (a piaci átláthatóság) és/vagy a központi bank működési keretének átláthatósága (a működési átláthatóság); valamint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Az Unión belüli, felügyeleti közzétételi követelmények harmadik országok központi bankjaira gyakorolt potenciális hatása. Ebben az összefüggésben a központi bank által uniós szerződő féllel vagy EU-ban jegyzett pénzügyi eszközzel végrehajtott ügyletek volumenét értékelik.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Az értékeléshez e két kritérium teljesítése alapvető volt, mivel ezek képezik le a MiFIR 1. cikkének (9) bekezdésében előírt tényezőket. E tekintetben a piaci átláthatóság az egyes értékpapírokkal kapcsolatos ügyletspecifikus átláthatóságra utal, a működési átláthatóság pedig a központi bank működését szabályozó tágabb átláthatósági szabályokra. A MiFIR célkitűzéseit és hatályát figyelembe véve ezért ahhoz, hogy a MiFIR 1. cikke (9) bekezdésének a) pontjával összefüggésben értékelni lehessen a mentesség harmadik országbeli központi bankok számára való megadásának helyénvalóságát, elemezni kell az ügyletek piaci átláthatóságára vonatkozó szabályozási követelményeket és a működési keret átláthatóságát. Emellett az uniós felügyeleti közzétételi követelmények által az érintett harmadik ország központi bankjának ügyleteire gyakorolt esetleges hatás vizsgálata szempontjából – amelyet a MiFIR 1. cikke (9) bekezdésének b) pontja ír elő – az adott harmadik ország és az EU közötti ügyleti volumen is fontos mutató.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MiFIR követelményeire és célkitűzéseire tekintettel a Bizottság a következő további kritériumokat is figyelembe vette: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a harmadik országbeli központi bank értesíti-e az uniós szerződő felet az adott ügylet mentességéről;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ii.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a harmadik országbeli központi bank tud-e különbséget tenni a MiFIR szerinti fő szakpolitikai célokból és a pusztán befektetési célokból végrehajtott ügyletek között; valamint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iii.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a vizsgált joghatóság ad-e hasonló mentességet más harmadik országbeli központi bankoknak.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említett további kritériumokat a Bizottság a MiFIR követelményeinek és célkitűzéseinek figyelembevételével értékelte. Az értékelés megvizsgálta mindenekelőtt azt, hogy a harmadik országbeli központi bank rendelkezik-e olyan eljárással, amelynek keretében értesíti az uniós szerződő felét az adott ügylet mentességéről. A MiFIR 1. cikkének (6) bekezdése szerinti mentesség a MiFIR értelmében nem adható meg a központi bankoknak, ha azok pusztán befektetési célokból hajtanak végre ügyleteket. Az értékelés ezért megvizsgálta, hogy a harmadik országbeli központi bankok megkülönböztetik-e a szabályozási célú és a befektetési célú ügyleteket. Végül, a közzétételi követelmények piacra gyakorolt hatását, továbbá ennek a monetáris politikák hatékonyságát érintő potenciális következményeit figyelembe véve az értékelés foglalkozik a harmadik országbeli kereskedési helyszíneken kereskedő központi bankok törvényben előírt mentességének lehetőségével.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 kritériumok részletes ismertetése a CEPS által készített tanulmányban található.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_Toc413169301"/>
      <w:bookmarkStart w:id="3" w:name="_Toc412950561"/>
      <w:bookmarkStart w:id="4" w:name="_Toc412947399"/>
      <w:bookmarkStart w:id="5" w:name="_Toc412933595"/>
      <w:bookmarkStart w:id="6" w:name="_Toc412835395"/>
      <w:bookmarkStart w:id="7" w:name="_Toc418165659"/>
      <w:r>
        <w:rPr>
          <w:rFonts w:ascii="Times New Roman" w:hAnsi="Times New Roman"/>
          <w:b/>
          <w:noProof/>
          <w:sz w:val="24"/>
        </w:rPr>
        <w:t>A Bank of England (BoE) elemzésének összefoglalója</w:t>
      </w:r>
      <w:bookmarkEnd w:id="2"/>
      <w:bookmarkEnd w:id="3"/>
      <w:bookmarkEnd w:id="4"/>
      <w:bookmarkEnd w:id="5"/>
      <w:bookmarkEnd w:id="6"/>
      <w:bookmarkEnd w:id="7"/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" w:hAnsi="Times"/>
          <w:noProof/>
          <w:sz w:val="24"/>
        </w:rPr>
        <w:t>A Bizottság megállapította,</w:t>
      </w:r>
      <w:r>
        <w:rPr>
          <w:noProof/>
        </w:rPr>
        <w:t xml:space="preserve"> </w:t>
      </w:r>
      <w:r>
        <w:rPr>
          <w:rFonts w:ascii="Times" w:hAnsi="Times"/>
          <w:noProof/>
          <w:sz w:val="24"/>
        </w:rPr>
        <w:t>hogy a Bank of England olyan jogi kerettel rendelkezik, amely</w:t>
      </w:r>
      <w:r>
        <w:rPr>
          <w:rFonts w:ascii="Times New Roman" w:hAnsi="Times New Roman"/>
          <w:noProof/>
          <w:sz w:val="24"/>
        </w:rPr>
        <w:t xml:space="preserve"> megfelelő szintű átláthatóságot biztosít.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Emellett az Egyesült Királyság által az Unióban folytatott kereskedési tevékenység volumene elég jelentős ahhoz, hogy indokolja a kereskedés előtti és utáni átláthatósági követelmények alóli mentesség megadását a Bank of England számára.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alábbiakban röviden összefoglaljuk a Bank of England említett kritériumok szerinti elemzését.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Fő kritériumok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Ami a működési átláthatóságot illeti, a Bank of England tájékoztatást ad a mérlegében szereplő tételekről, bejelenti napi nyíltpiaci műveleteit, továbbá elektronikus hírközlő eszközök útján összesített információkat közöl végrehajtott ügyleteiről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Az Európai Bizottság tájékoztatást kapott a Bank of England által az uniós pénzügyi piacokon vagy az uniós szerződő felekkel folytatott kereskedésről. A Bank of England által uniós szerződő felekkel bonyolított kereskedés volumene jelentős. 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További kritériumok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 Egyesült Királyságban kereskedést folytató külföldi központi bankok mentesülnek az átláthatósági követelmények alól.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Bank of England megkülönbözteti a szakpolitikai célokból és a más (befektetési) célokból végrehajtott ügyleteket, utóbbiak szerepe azonban jelentéktelen.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Végül, az Egyesült Királyság rendelkezik olyan eljárással, amelynek keretében értesíti az uniós szerződő feleket arról, hogy az ügyletek nem tartoznak átláthatósági követelmények hatálya alá.</w:t>
      </w:r>
    </w:p>
    <w:p>
      <w:pPr>
        <w:pStyle w:val="Caption"/>
        <w:keepNext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i w:val="0"/>
          <w:noProof/>
          <w:color w:val="auto"/>
          <w:sz w:val="22"/>
        </w:rPr>
        <w:t>A kritériumok áttekintése</w:t>
      </w:r>
    </w:p>
    <w:tbl>
      <w:tblPr>
        <w:tblW w:w="8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96"/>
      </w:tblGrid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Fő kritériumok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Piaci átláthatóság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Magas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Működési átláthatóság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Magas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Szükségesség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Igen</w:t>
            </w:r>
          </w:p>
        </w:tc>
      </w:tr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Egyéb kritériumok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Ügyletcél szerinti különbségtétel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Igen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Értesítési eljárás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Igen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Külföldi központi bankok mentessége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[Igen]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 végrehajtás típusa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Kétoldalú (50–100 %), Helyszín (10–50 %)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Mentesség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Igen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KÖVETKEZTETÉSEK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 Bizottság a kapott információk alapján megállapítja, hogy a MiFIR 1. cikkének (9) bekezdésével összhangban helyénvaló a Bank of England számára mentességet adni a MiFIR kereskedés előtti és utáni átláthatósági követelményei alól.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Ez a következtetés nem érinti azon esetleges jövőbeli változásokat, amelyek a Bank of England által benyújtott új bizonyítékokra, az Egyesült Királyság jogszabályainak módosulására vagy a ténybeli körülmények megváltozására vezethetők vissza. Az ilyen események szükségessé tehetik a mentességben részesülő harmadik országbeli központi bankok listájának felülvizsgálatát.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361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Az Európai Parlament és a Tanács 600/2014/EU rendelete (2014. május 15.) a pénzügyi eszközök piacairól és a 648/2012/EU rendelet módosításáról (HL L 173., 2014.6.12., 84. o.)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Az Európai Parlament és a Tanács 2014/65/EU irányelve (2014. május 15.) a pénzügyi eszközök piacairól, valamint a 2002/92/EK irányelv és a 2011/61/EU irányelv módosításáról (HL L 173., 2014.6.12.).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https://www.ceps.eu/publications/study-exemptions-third-country-central-banks-and-debt-management-offices-under-mifir</w:t>
      </w:r>
    </w:p>
  </w:footnote>
  <w:footnote w:id="4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COM(2017) 298 final.</w:t>
      </w:r>
    </w:p>
  </w:footnote>
  <w:footnote w:id="5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 jelentés nem azt értékeli, hogy a szóban forgó joghatóság átláthatósági szabályai egyenértékűnek tekinthetők-e a MiFIR szerint előírtakkal. Következtetései nem irányadók egy ilyen értékelésre nézve. </w:t>
      </w:r>
    </w:p>
  </w:footnote>
  <w:footnote w:id="6">
    <w:p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2006 júniusa óta havi szinten állnak rendelkezésre az „Official Rates and Ranges by Maintenance Period” (hivatalos ráták és tartományok tartalékolási időszakonként), valamint a „Sterling Monetary Framework assets and liabilities by Maintenance Period” (sterling monetáris keret eszközei és kötelezettségei tartalékolási időszakonként) adatok. A „Daily Flows – Open Market Operations by Maintenance Period” (napi áramlások – nyílt piaci műveletek tartalékolási időszakonként) napi adatai 2006 májusától kezdődően állnak rendelkezésre. A „Bank of England Asset Purchase Facility” eszközvásárlási program adatai heti rendszerességgel állnak rendelkezésre csütörtöki üzletzárás szerint 2009 februárjától 2016. szeptember 16-ig, és szerdai üzletzárás szerint 2016. szeptember 22-től. A „Bank of England Asset Purchase Facility – Term Funding Scheme” adatai 2016 szeptemberétől állnak rendelkezésre. Az adatok közzétételére szokásosan a monetáris politikai bizottság (MPC) interaktív adatbázisra vonatkozó döntését követő hétfőn, és minden naptári hónap 21. munkanapján kerül sor. A „Bank of England Asset Purchase Facility” és „Bank of England Asset Purchase Facility – Term Funding Scheme” programot hetente aktualizálják. A „Bank of England Discount Window Facility” (leszámítolási hitelkonstrukció) adatait negyedévente teszik közzé. A rendelkezésre álló adatok nem szezonálisan kiigazítottak.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F98"/>
    <w:multiLevelType w:val="hybridMultilevel"/>
    <w:tmpl w:val="85D82CB0"/>
    <w:lvl w:ilvl="0" w:tplc="E388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8AC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A9B4D20-1833-46BC-85CD-2A2078F850F0"/>
    <w:docVar w:name="LW_COVERPAGE_TYPE" w:val="1"/>
    <w:docVar w:name="LW_CROSSREFERENCE" w:val="&lt;UNUSED&gt;"/>
    <w:docVar w:name="LW_DocType" w:val="NORMAL"/>
    <w:docVar w:name="LW_EMISSION" w:val="2019.1.30."/>
    <w:docVar w:name="LW_EMISSION_ISODATE" w:val="2019-01-30"/>
    <w:docVar w:name="LW_EMISSION_LOCATION" w:val="BRX"/>
    <w:docVar w:name="LW_EMISSION_PREFIX" w:val="Brüsszel, "/>
    <w:docVar w:name="LW_EMISSION_SUFFIX" w:val=" "/>
    <w:docVar w:name="LW_ID_DOCTYPE_NONLW" w:val="CP-006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z Egyesült Királyság központi bankjának (Bank of England) a pénzügyi eszközök piacairól szóló rendelet (MiFIR) szerinti mentesítése_x000d__x000d__x000d__x000d__x000d__x000d__x000d__x000d__x000d__x000d__x000d__x000b_"/>
    <w:docVar w:name="LW_TYPE.DOC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FA5DFE-E746-4E47-B1E8-3F53C907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1474</Words>
  <Characters>10115</Characters>
  <Application>Microsoft Office Word</Application>
  <DocSecurity>0</DocSecurity>
  <Lines>177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21</cp:revision>
  <cp:lastPrinted>2018-10-11T07:04:00Z</cp:lastPrinted>
  <dcterms:created xsi:type="dcterms:W3CDTF">2019-01-25T11:22:00Z</dcterms:created>
  <dcterms:modified xsi:type="dcterms:W3CDTF">2019-01-29T17:59:00Z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