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C1C04B2-DBF1-40A6-80B2-797EF526377F"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 xml:space="preserve">UVOD </w:t>
      </w:r>
    </w:p>
    <w:p>
      <w:pPr>
        <w:jc w:val="both"/>
        <w:rPr>
          <w:rFonts w:ascii="Times New Roman" w:hAnsi="Times New Roman" w:cs="Times New Roman"/>
          <w:noProof/>
          <w:sz w:val="24"/>
          <w:szCs w:val="24"/>
        </w:rPr>
      </w:pPr>
      <w:r>
        <w:rPr>
          <w:rFonts w:ascii="Times New Roman" w:hAnsi="Times New Roman"/>
          <w:noProof/>
          <w:sz w:val="24"/>
        </w:rPr>
        <w:t>S členom 6(1) Uredbe (EU) št. 596/2014 o zlorabi trga (v nadaljnjem besedilu: uredba o zlorabi trga)</w:t>
      </w:r>
      <w:r>
        <w:rPr>
          <w:rStyle w:val="FootnoteReference"/>
          <w:rFonts w:ascii="Times New Roman" w:hAnsi="Times New Roman"/>
          <w:noProof/>
          <w:sz w:val="24"/>
        </w:rPr>
        <w:footnoteReference w:id="1"/>
      </w:r>
      <w:r>
        <w:rPr>
          <w:rFonts w:ascii="Times New Roman" w:hAnsi="Times New Roman"/>
          <w:noProof/>
          <w:sz w:val="24"/>
        </w:rPr>
        <w:t xml:space="preserve"> so države članice, vključno s članicami, ki sestavljajo zvezo, v primeru države članice, ki je zvezna država, članice Evropskega sistema centralnih bank (ESCB), ministrstva in druge agencije ter pravne osebe s posebnim namenom listinjenja ene ali več držav članic ali katera koli oseba, ki deluje v njihovem imenu, izvzete iz uporabe uredbe o zlorabi trga za posle, naročila ali ravnanja, ki jih izvajajo pri vodenju monetarne politike, politike deviznega tečaja ali politike upravljanja javnega dolga.</w:t>
      </w:r>
    </w:p>
    <w:p>
      <w:pPr>
        <w:jc w:val="both"/>
        <w:rPr>
          <w:rFonts w:ascii="Times New Roman" w:hAnsi="Times New Roman" w:cs="Times New Roman"/>
          <w:noProof/>
          <w:sz w:val="24"/>
          <w:szCs w:val="24"/>
        </w:rPr>
      </w:pPr>
      <w:r>
        <w:rPr>
          <w:rFonts w:ascii="Times New Roman" w:hAnsi="Times New Roman"/>
          <w:noProof/>
          <w:sz w:val="24"/>
        </w:rPr>
        <w:t>V skladu s členom 6(5) uredbe o zlorabi trga se lahko tako izvzetje s področja uporabe navedene uredbe za dejavnosti, ki se izvajajo v javnem interesu, razširi na nekatere javne organe in centralne banke tretjih držav z delegiranim aktom, ki ga Komisija sprejme v skladu s členom 35 navedene uredbe. Komisija je morala v tem okviru in v skladu z drugim odstavkom člena 6(5) uredbe o zlorabi trga do 3. januarja 2016 pripraviti in Evropskemu parlamentu in Svetu predstaviti poročilo, v katerem je ocenila mednarodno obravnavo javnih organov, ki so zadolženi za upravljanje javnega dolga ali pri tem posredujejo, in centralnih bank tretjih držav.</w:t>
      </w:r>
    </w:p>
    <w:p>
      <w:pPr>
        <w:jc w:val="both"/>
        <w:rPr>
          <w:rFonts w:ascii="Times New Roman" w:hAnsi="Times New Roman" w:cs="Times New Roman"/>
          <w:noProof/>
          <w:sz w:val="24"/>
          <w:szCs w:val="24"/>
        </w:rPr>
      </w:pPr>
      <w:r>
        <w:rPr>
          <w:rFonts w:ascii="Times New Roman" w:hAnsi="Times New Roman"/>
          <w:noProof/>
          <w:sz w:val="24"/>
        </w:rPr>
        <w:t>Evropska komisija je v ta namen pri Centru za evropske politične študije (CEPS) in Univerzi v Bologni naročila zunanjo študijo o „izvzetju centralnih bank tretjih držav in drugih subjektov na podlagi uredbe o zlorabi trga in uredbe o trgih finančnih instrumentov“</w:t>
      </w:r>
      <w:r>
        <w:rPr>
          <w:rStyle w:val="FootnoteReference"/>
          <w:rFonts w:ascii="Times New Roman" w:hAnsi="Times New Roman"/>
          <w:noProof/>
          <w:sz w:val="24"/>
        </w:rPr>
        <w:footnoteReference w:id="2"/>
      </w:r>
      <w:r>
        <w:rPr>
          <w:noProof/>
        </w:rPr>
        <w:t>.</w:t>
      </w:r>
      <w:r>
        <w:rPr>
          <w:rFonts w:ascii="Times New Roman" w:hAnsi="Times New Roman"/>
          <w:noProof/>
          <w:sz w:val="24"/>
        </w:rPr>
        <w:t xml:space="preserve"> Študija temelji na anketnem zbiranju podatkov in teoretičnih raziskavah. V njej so analizirani okviri za zlorabo trga in standardi za obvladovanje tveganj, ki se uporabljajo za centralne banke in urade za upravljanje dolga 13 jurisdikcij tretjih držav. Te jurisdikcije so bile izbrane prednostno na podlagi več meril, med drugim njihovega statusa kot jurisdikcije s sistemsko pomembnim finančnim sektorjem. Da bi se ocenila potrebnost in ustreznost izvzetja v skladu s členom 6(5) uredbe o zlorabi trga, je v študiji ovrednoten niz pravil o zlorabi trga in standardov za obvladovanje tveganj glede na „evropsko referenčno merilo“, ki temelji na ustrezajočih pravilih in standardih, ki veljajo v Evropski uniji in njenih državah članicah.</w:t>
      </w:r>
    </w:p>
    <w:p>
      <w:pPr>
        <w:jc w:val="both"/>
        <w:rPr>
          <w:rFonts w:ascii="Times New Roman" w:hAnsi="Times New Roman" w:cs="Times New Roman"/>
          <w:noProof/>
          <w:sz w:val="24"/>
          <w:szCs w:val="24"/>
        </w:rPr>
      </w:pPr>
      <w:r>
        <w:rPr>
          <w:rFonts w:ascii="Times New Roman" w:hAnsi="Times New Roman"/>
          <w:noProof/>
          <w:sz w:val="24"/>
        </w:rPr>
        <w:t>Komisija je svoje poročilo, ki se zahteva v skladu s členom 6(5) uredbe o zlorabi trga</w:t>
      </w:r>
      <w:r>
        <w:rPr>
          <w:rStyle w:val="FootnoteReference"/>
          <w:rFonts w:ascii="Times New Roman" w:hAnsi="Times New Roman"/>
          <w:noProof/>
          <w:sz w:val="24"/>
        </w:rPr>
        <w:footnoteReference w:id="3"/>
      </w:r>
      <w:r>
        <w:rPr>
          <w:rFonts w:ascii="Times New Roman" w:hAnsi="Times New Roman"/>
          <w:noProof/>
          <w:sz w:val="24"/>
        </w:rPr>
        <w:t>, sozakonodajalcema predstavila 16. decembra 2015. V skladu z ugotovitvami iz tega poročila je Komisija 17. decembra 2015 sprejela Delegirano uredbo (EU) 2016/522</w:t>
      </w:r>
      <w:r>
        <w:rPr>
          <w:rStyle w:val="FootnoteReference"/>
          <w:rFonts w:ascii="Times New Roman" w:hAnsi="Times New Roman"/>
          <w:noProof/>
          <w:sz w:val="24"/>
        </w:rPr>
        <w:footnoteReference w:id="4"/>
      </w:r>
      <w:r>
        <w:rPr>
          <w:rFonts w:ascii="Times New Roman" w:hAnsi="Times New Roman"/>
          <w:noProof/>
          <w:sz w:val="24"/>
        </w:rPr>
        <w:t xml:space="preserve">, s katero je </w:t>
      </w:r>
      <w:r>
        <w:rPr>
          <w:rFonts w:ascii="Times New Roman" w:hAnsi="Times New Roman"/>
          <w:noProof/>
          <w:sz w:val="24"/>
        </w:rPr>
        <w:lastRenderedPageBreak/>
        <w:t>izvzetje s področja uporabe uredbe o zlorabi trga razširila na določene javne organe in centralne banke jurisdikcij tretjih držav, analiziranih v poročilu.</w:t>
      </w:r>
    </w:p>
    <w:p>
      <w:pPr>
        <w:pStyle w:val="ListParagraph"/>
        <w:numPr>
          <w:ilvl w:val="0"/>
          <w:numId w:val="1"/>
        </w:numPr>
        <w:jc w:val="both"/>
        <w:rPr>
          <w:rFonts w:ascii="Times New Roman" w:hAnsi="Times New Roman" w:cs="Times New Roman"/>
          <w:noProof/>
          <w:sz w:val="24"/>
          <w:szCs w:val="24"/>
        </w:rPr>
      </w:pPr>
      <w:r>
        <w:rPr>
          <w:rFonts w:ascii="Times New Roman" w:hAnsi="Times New Roman"/>
          <w:b/>
          <w:noProof/>
          <w:sz w:val="24"/>
        </w:rPr>
        <w:t>PRAVNA PODLAGA POROČILA: ČLEN 6(5) UREDBE O ZLORABI TRGA</w:t>
      </w:r>
    </w:p>
    <w:p>
      <w:pPr>
        <w:jc w:val="both"/>
        <w:rPr>
          <w:rFonts w:ascii="Times New Roman" w:hAnsi="Times New Roman" w:cs="Times New Roman"/>
          <w:noProof/>
          <w:sz w:val="24"/>
          <w:szCs w:val="24"/>
        </w:rPr>
      </w:pPr>
      <w:r>
        <w:rPr>
          <w:rFonts w:ascii="Times New Roman" w:hAnsi="Times New Roman"/>
          <w:noProof/>
          <w:sz w:val="24"/>
        </w:rPr>
        <w:t>Komisija je morala v skladu z drugim pododstavkom člena 6(5) uredbe o zlorabi trga do 3. januarja 2016 pripraviti in Evropskemu parlamentu in Svetu predstaviti poročilo, v katerem je ocenila mednarodno obravnavo javnih organov, ki so zadolženi za upravljanje javnega dolga ali pri tem posredujejo, in centralnih bank tretjih držav.</w:t>
      </w:r>
    </w:p>
    <w:p>
      <w:pPr>
        <w:jc w:val="both"/>
        <w:rPr>
          <w:rFonts w:ascii="Times New Roman" w:hAnsi="Times New Roman" w:cs="Times New Roman"/>
          <w:noProof/>
          <w:sz w:val="24"/>
          <w:szCs w:val="24"/>
        </w:rPr>
      </w:pPr>
      <w:r>
        <w:rPr>
          <w:rFonts w:ascii="Times New Roman" w:hAnsi="Times New Roman"/>
          <w:noProof/>
          <w:sz w:val="24"/>
        </w:rPr>
        <w:t>Kar zadeva vsebino poročila, je v tretjem pododstavku člena 6(5) uredbe o zlorabi trga določeno, da mora poročilo Komisije vsebovati primerjalno analizo obravnavanja javnih organov, ki so zadolženi za upravljanje javnega dolga ali pri tem posredujejo, in centralnih bank znotraj pravnega okvira tretjih držav in standarde za obvladovanje tveganj, ki se uporabljajo za posle, ki jih sklepajo ti organi in centralne banke. Poleg tega mora Komisija v skladu s tretjim pododstavkom člena 6(5) uredbe o zlorabi trga, če se v poročilu ugotovi, predvsem kar zadeva primerjalno analizo, da je treba centralne banke teh tretjih držav pri obveznostih poročanja in prepovedi iz te uredbe oprostiti monetarnih obveznosti, navedeno izvzetje razširiti tudi na centralne banke teh tretjih držav.</w:t>
      </w:r>
    </w:p>
    <w:p>
      <w:pPr>
        <w:jc w:val="both"/>
        <w:rPr>
          <w:rFonts w:ascii="Times New Roman" w:hAnsi="Times New Roman" w:cs="Times New Roman"/>
          <w:noProof/>
          <w:sz w:val="24"/>
          <w:szCs w:val="24"/>
        </w:rPr>
      </w:pPr>
      <w:r>
        <w:rPr>
          <w:rFonts w:ascii="Times New Roman" w:hAnsi="Times New Roman"/>
          <w:noProof/>
          <w:sz w:val="24"/>
        </w:rPr>
        <w:t>Komisija je decembra 2016 sprejela poročilo, ki se zahteva v skladu s členom 6(5) uredbe o zlorabi trga, in Delegirano uredbo 2016/522, v kateri so navedeni subjekti, ki jih zajema razširitev izvzetja s področja uporabe uredbe o zlorabi trga.</w:t>
      </w:r>
    </w:p>
    <w:p>
      <w:pPr>
        <w:jc w:val="both"/>
        <w:rPr>
          <w:rFonts w:ascii="Times New Roman" w:hAnsi="Times New Roman" w:cs="Times New Roman"/>
          <w:noProof/>
          <w:sz w:val="24"/>
          <w:szCs w:val="24"/>
        </w:rPr>
      </w:pPr>
      <w:r>
        <w:rPr>
          <w:rFonts w:ascii="Times New Roman" w:hAnsi="Times New Roman"/>
          <w:noProof/>
          <w:sz w:val="24"/>
        </w:rPr>
        <w:t>V navedenem poročilu in delegirani uredbi ni bilo obravnavano, kako Združeno kraljestvo v svojem pravnem okviru obravnava urade za upravljanje dolga in centralne banke niti kateri standardi za obvladovanje tveganj se uporabljajo za posle, ki jih sklepajo ti subjekti, ker je bilo Združeno kraljestvo država članica. Vendar je zaradi dejstva, da bo Združeno kraljestvo kmalu postalo tretja država, zdaj primerno, da se Evropskemu parlamentu in Svetu predstavi poročilo v skladu s členom 6(5) uredbe o zlorabi trga, v katerem je analizirana primernost razširitve izvzetja s področja uporabe navedene uredbe na zadevne subjekte te države.</w:t>
      </w:r>
    </w:p>
    <w:p>
      <w:pPr>
        <w:rPr>
          <w:rFonts w:ascii="Times New Roman" w:hAnsi="Times New Roman" w:cs="Times New Roman"/>
          <w:noProof/>
          <w:sz w:val="24"/>
          <w:szCs w:val="24"/>
        </w:rPr>
      </w:pPr>
      <w:r>
        <w:rPr>
          <w:noProof/>
        </w:rPr>
        <w:br w:type="page"/>
      </w:r>
    </w:p>
    <w:p>
      <w:pPr>
        <w:pStyle w:val="ListParagraph"/>
        <w:numPr>
          <w:ilvl w:val="0"/>
          <w:numId w:val="1"/>
        </w:numPr>
        <w:spacing w:after="120"/>
        <w:ind w:left="357" w:hanging="357"/>
        <w:contextualSpacing w:val="0"/>
        <w:jc w:val="both"/>
        <w:rPr>
          <w:rFonts w:ascii="Times New Roman" w:hAnsi="Times New Roman" w:cs="Times New Roman"/>
          <w:noProof/>
          <w:sz w:val="24"/>
          <w:szCs w:val="24"/>
        </w:rPr>
      </w:pPr>
      <w:r>
        <w:rPr>
          <w:rFonts w:ascii="Times New Roman" w:hAnsi="Times New Roman"/>
          <w:b/>
          <w:noProof/>
          <w:sz w:val="24"/>
        </w:rPr>
        <w:lastRenderedPageBreak/>
        <w:t>ANALIZA PRIMERNOSTI RAZŠIRITVE IZVZETJA NA ZDRUŽENO KRALJESTVO</w:t>
      </w:r>
    </w:p>
    <w:p>
      <w:pPr>
        <w:pStyle w:val="ListParagraph"/>
        <w:numPr>
          <w:ilvl w:val="1"/>
          <w:numId w:val="1"/>
        </w:numPr>
        <w:ind w:left="426"/>
        <w:jc w:val="both"/>
        <w:rPr>
          <w:rFonts w:ascii="Times New Roman" w:hAnsi="Times New Roman" w:cs="Times New Roman"/>
          <w:noProof/>
          <w:sz w:val="24"/>
          <w:szCs w:val="24"/>
        </w:rPr>
      </w:pPr>
      <w:r>
        <w:rPr>
          <w:rFonts w:ascii="Times New Roman" w:hAnsi="Times New Roman"/>
          <w:b/>
          <w:noProof/>
          <w:sz w:val="24"/>
        </w:rPr>
        <w:t>Merila, uporabljena pri ocenjevanju</w:t>
      </w:r>
    </w:p>
    <w:p>
      <w:pPr>
        <w:jc w:val="both"/>
        <w:rPr>
          <w:rFonts w:ascii="Times New Roman" w:hAnsi="Times New Roman" w:cs="Times New Roman"/>
          <w:noProof/>
          <w:sz w:val="24"/>
          <w:szCs w:val="24"/>
        </w:rPr>
      </w:pPr>
      <w:r>
        <w:rPr>
          <w:rFonts w:ascii="Times New Roman" w:hAnsi="Times New Roman"/>
          <w:noProof/>
          <w:sz w:val="24"/>
        </w:rPr>
        <w:t>Zaradi velikega obsega poslov, ki spadajo na področje uporabe uredbe o zlorabi trga in izvirajo iz Združenega kraljestva, obstaja trden argument v prid oceni primernosti razširitve izvzetja iz člena 6 na njegovo centralno banko in po potrebi njegove javne organe, ki so zadolženi za upravljanje javnega dolga ali pri tem posredujejo. Subjekta, ki jasno spadata na področje uporabe te ocene, sta centralna banka (Bank of England) in urad za upravljanje dolga Združenega kraljestva (United Kingdom Debt Management Office).</w:t>
      </w:r>
    </w:p>
    <w:p>
      <w:pPr>
        <w:spacing w:after="120"/>
        <w:jc w:val="both"/>
        <w:rPr>
          <w:rFonts w:ascii="Times New Roman" w:hAnsi="Times New Roman" w:cs="Times New Roman"/>
          <w:noProof/>
          <w:sz w:val="24"/>
          <w:szCs w:val="24"/>
        </w:rPr>
      </w:pPr>
      <w:r>
        <w:rPr>
          <w:rFonts w:ascii="Times New Roman" w:hAnsi="Times New Roman"/>
          <w:noProof/>
          <w:sz w:val="24"/>
        </w:rPr>
        <w:t>Analiza v prvem koraku temelji na oceni niza pravil o zlorabi trga, ki veljajo v Združenem kraljestvu. Ta zlasti vključujejo pravila o:</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 xml:space="preserve">trgovanju z notranjimi informacijami in protipravnem razkrivanju informacij; </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 xml:space="preserve">(ii) </w:t>
      </w:r>
      <w:r>
        <w:rPr>
          <w:noProof/>
        </w:rPr>
        <w:tab/>
      </w:r>
      <w:r>
        <w:rPr>
          <w:rFonts w:ascii="Times New Roman" w:hAnsi="Times New Roman"/>
          <w:noProof/>
          <w:sz w:val="24"/>
        </w:rPr>
        <w:t>tržni manipulaciji;</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 xml:space="preserve">(iii) </w:t>
      </w:r>
      <w:r>
        <w:rPr>
          <w:noProof/>
        </w:rPr>
        <w:tab/>
      </w:r>
      <w:r>
        <w:rPr>
          <w:rFonts w:ascii="Times New Roman" w:hAnsi="Times New Roman"/>
          <w:noProof/>
          <w:sz w:val="24"/>
        </w:rPr>
        <w:t>izvzetjih iz uredbe o zlorabi trga.</w:t>
      </w:r>
    </w:p>
    <w:p>
      <w:pPr>
        <w:jc w:val="both"/>
        <w:rPr>
          <w:rFonts w:ascii="Times New Roman" w:hAnsi="Times New Roman" w:cs="Times New Roman"/>
          <w:noProof/>
          <w:sz w:val="24"/>
          <w:szCs w:val="24"/>
        </w:rPr>
      </w:pPr>
      <w:r>
        <w:rPr>
          <w:rFonts w:ascii="Times New Roman" w:hAnsi="Times New Roman"/>
          <w:noProof/>
          <w:sz w:val="24"/>
        </w:rPr>
        <w:t>Drugič, analiza vključuje oceno standardov za obvladovanje tveganj, ki vključujejo notranje ureditve, sisteme in postopke za preprečevanje, da bi uslužbenci neposredno ali posredno izvajali posle ali naročila ali ravnali za svoj račun. Ti med drugim vključujejo pravila ravnanja v zvezi z naslednjimi zadevami:</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 xml:space="preserve">uporabo zaupnih informacij s strani uslužbencev; </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posli s sredstvi in finančnimi instrumenti s strani uslužbencev;</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(iii)</w:t>
      </w:r>
      <w:r>
        <w:rPr>
          <w:noProof/>
        </w:rPr>
        <w:tab/>
      </w:r>
      <w:r>
        <w:rPr>
          <w:rFonts w:ascii="Times New Roman" w:hAnsi="Times New Roman"/>
          <w:noProof/>
          <w:sz w:val="24"/>
        </w:rPr>
        <w:t>neodvisnostjo uslužbencev in nasprotji interesov;</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(iv)</w:t>
      </w:r>
      <w:r>
        <w:rPr>
          <w:noProof/>
        </w:rPr>
        <w:tab/>
      </w:r>
      <w:r>
        <w:rPr>
          <w:rFonts w:ascii="Times New Roman" w:hAnsi="Times New Roman"/>
          <w:noProof/>
          <w:sz w:val="24"/>
        </w:rPr>
        <w:t>uveljavljanjem pravil ravnanja.</w:t>
      </w:r>
    </w:p>
    <w:p>
      <w:pPr>
        <w:jc w:val="both"/>
        <w:rPr>
          <w:rFonts w:ascii="Times New Roman" w:hAnsi="Times New Roman" w:cs="Times New Roman"/>
          <w:noProof/>
          <w:sz w:val="24"/>
          <w:szCs w:val="24"/>
        </w:rPr>
      </w:pPr>
      <w:r>
        <w:rPr>
          <w:rFonts w:ascii="Times New Roman" w:hAnsi="Times New Roman"/>
          <w:noProof/>
          <w:sz w:val="24"/>
        </w:rPr>
        <w:t>V analizi so upoštevane ugotovitve študije, ki jo je izvedel Center za evropske politične študije (CEPS). Čeprav so v študiji preučena zgoraj omenjena pravila, ki veljajo v Združenem kraljestvu v okviru njegovega statusa države članice, vsebuje tudi vse informacije, ki so potrebne za celovito oceno primernosti razširitve izvzetja iz člena 6(1) na centralno banko in urad za upravljanje dolga Združenega kraljestva.</w:t>
      </w:r>
    </w:p>
    <w:p>
      <w:pPr>
        <w:jc w:val="both"/>
        <w:rPr>
          <w:rFonts w:ascii="Times New Roman" w:hAnsi="Times New Roman" w:cs="Times New Roman"/>
          <w:noProof/>
          <w:sz w:val="24"/>
          <w:szCs w:val="24"/>
        </w:rPr>
      </w:pPr>
      <w:r>
        <w:rPr>
          <w:rFonts w:ascii="Times New Roman" w:hAnsi="Times New Roman"/>
          <w:noProof/>
          <w:sz w:val="24"/>
        </w:rPr>
        <w:t>Za podroben opis vseh elementov, obravnavanih v analizi, glejte študijo CEPS.</w:t>
      </w:r>
    </w:p>
    <w:p>
      <w:pPr>
        <w:pStyle w:val="ListParagraph"/>
        <w:numPr>
          <w:ilvl w:val="1"/>
          <w:numId w:val="1"/>
        </w:numPr>
        <w:ind w:left="426"/>
        <w:jc w:val="both"/>
        <w:rPr>
          <w:rFonts w:ascii="Times New Roman" w:hAnsi="Times New Roman" w:cs="Times New Roman"/>
          <w:noProof/>
          <w:sz w:val="24"/>
          <w:szCs w:val="24"/>
        </w:rPr>
      </w:pPr>
      <w:r>
        <w:rPr>
          <w:rFonts w:ascii="Times New Roman" w:hAnsi="Times New Roman"/>
          <w:b/>
          <w:noProof/>
          <w:sz w:val="24"/>
        </w:rPr>
        <w:t>Povzetek analize za Združeno kraljestvo</w:t>
      </w:r>
    </w:p>
    <w:p>
      <w:pPr>
        <w:jc w:val="both"/>
        <w:rPr>
          <w:rFonts w:ascii="Times New Roman" w:hAnsi="Times New Roman" w:cs="Times New Roman"/>
          <w:noProof/>
          <w:sz w:val="24"/>
          <w:szCs w:val="24"/>
          <w:u w:val="single"/>
        </w:rPr>
      </w:pPr>
      <w:r>
        <w:rPr>
          <w:rFonts w:ascii="Times New Roman" w:hAnsi="Times New Roman"/>
          <w:noProof/>
          <w:sz w:val="24"/>
          <w:u w:val="single"/>
        </w:rPr>
        <w:t>Ureditev v zvezi z zlorabo trga</w:t>
      </w:r>
    </w:p>
    <w:p>
      <w:pPr>
        <w:jc w:val="both"/>
        <w:rPr>
          <w:rFonts w:ascii="Times New Roman" w:hAnsi="Times New Roman" w:cs="Times New Roman"/>
          <w:noProof/>
          <w:sz w:val="24"/>
          <w:szCs w:val="24"/>
        </w:rPr>
      </w:pPr>
      <w:r>
        <w:rPr>
          <w:rFonts w:ascii="Times New Roman" w:hAnsi="Times New Roman"/>
          <w:noProof/>
          <w:sz w:val="24"/>
        </w:rPr>
        <w:t xml:space="preserve">Pravila uredbe o zlorabi trga se neposredno uporabljajo v Združenem kraljestvu, ker je država članica. Ker je uredba o zlorabi trga osrednji element okvira Unije za zlorabo trga, to pomeni, da Združeno kraljestvo uporablja ustrezna pravila o trgovanju z notranjimi informacijami, njihovem protipravnem razkrivanju in vseh oblikah tržne manipulacije kot tudi o izvzetjih iz ureditve v zvezi z zlorabo trga. Ker pa je Združeno kraljestvo v postopku izstopa iz Evropske unije, je primerno obravnavati predvidljive prihodnje spremembe njegove ureditve v zvezi z zlorabo trga. V zvezi s tem je iz obrazložitvenih informacij, priloženih osnutku zakonskega </w:t>
      </w:r>
      <w:r>
        <w:rPr>
          <w:rFonts w:ascii="Times New Roman" w:hAnsi="Times New Roman"/>
          <w:noProof/>
          <w:sz w:val="24"/>
        </w:rPr>
        <w:lastRenderedPageBreak/>
        <w:t>instrumenta „The Market Abuse (Amendment) (EU Exit) Regulations 2018“</w:t>
      </w:r>
      <w:r>
        <w:rPr>
          <w:rStyle w:val="FootnoteReference"/>
          <w:rFonts w:ascii="Times New Roman" w:hAnsi="Times New Roman"/>
          <w:noProof/>
          <w:sz w:val="24"/>
        </w:rPr>
        <w:footnoteReference w:id="5"/>
      </w:r>
      <w:r>
        <w:rPr>
          <w:rFonts w:ascii="Times New Roman" w:hAnsi="Times New Roman"/>
          <w:noProof/>
          <w:sz w:val="24"/>
        </w:rPr>
        <w:t>, razvidno, da Združeno kraljestvo v bližnji prihodnosti očitno ne namerava spreminjati politik glede ureditve v zvezi z zlorabo trga, kot je bila vzpostavljena z uredbo o zlorabi trga, razen če je to ustrezno zaradi novega statusa države kot nečlanice EU in lažjega prehoda.</w:t>
      </w:r>
    </w:p>
    <w:p>
      <w:pPr>
        <w:jc w:val="both"/>
        <w:rPr>
          <w:rFonts w:ascii="Times New Roman" w:hAnsi="Times New Roman" w:cs="Times New Roman"/>
          <w:noProof/>
          <w:sz w:val="24"/>
          <w:szCs w:val="24"/>
          <w:u w:val="single"/>
        </w:rPr>
      </w:pPr>
      <w:r>
        <w:rPr>
          <w:rFonts w:ascii="Times New Roman" w:hAnsi="Times New Roman"/>
          <w:noProof/>
          <w:sz w:val="24"/>
          <w:u w:val="single"/>
        </w:rPr>
        <w:t>Standardi za obvladovanje tveganj</w:t>
      </w:r>
    </w:p>
    <w:p>
      <w:pPr>
        <w:jc w:val="both"/>
        <w:rPr>
          <w:rFonts w:ascii="Times New Roman" w:hAnsi="Times New Roman" w:cs="Times New Roman"/>
          <w:noProof/>
          <w:sz w:val="24"/>
          <w:szCs w:val="24"/>
        </w:rPr>
      </w:pPr>
      <w:r>
        <w:rPr>
          <w:rFonts w:ascii="Times New Roman" w:hAnsi="Times New Roman"/>
          <w:noProof/>
          <w:sz w:val="24"/>
        </w:rPr>
        <w:t>Centralna banka Združenega kraljestva pri izvajanju monetarne politike, politike deviznega tečaja ter politike upravljanja javnega dolga uporablja obsežna pravila za obvladovanje tveganj v zvezi s posli, naročili ali ravnanjem. Ta pravila uslužbence zavezujejo k varovanju poklicne skrivnosti in prepovedujejo razkrivanje notranjih informacij ter njihovo uporabo v osebno korist. Poleg tega se uporabljajo notranja pravila o ravnanju, ki določajo omejitve glede poslov s sredstvi in finančnimi instrumenti s strani uslužbencev, pravila, ki urejajo nasprotja interesov, ter jasna pravila o hierarhiji poročanja v primeru izvajanja pravil o ravnanju. Nazadnje, centralna banka Združenega kraljestva ima vzpostavljene disciplinske postopke za kaznovanje nespoštovanja navedenih pravil.</w:t>
      </w:r>
    </w:p>
    <w:p>
      <w:pPr>
        <w:jc w:val="both"/>
        <w:rPr>
          <w:rFonts w:ascii="Times New Roman" w:hAnsi="Times New Roman" w:cs="Times New Roman"/>
          <w:noProof/>
          <w:sz w:val="24"/>
          <w:szCs w:val="24"/>
        </w:rPr>
      </w:pPr>
      <w:r>
        <w:rPr>
          <w:rFonts w:ascii="Times New Roman" w:hAnsi="Times New Roman"/>
          <w:noProof/>
          <w:sz w:val="24"/>
        </w:rPr>
        <w:t>Urad za upravljanje dolga Združenega kraljestva ima vzpostavljen zanesljiv sistem pravil o ravnanju, ki se uporablja za uslužbence. Večina teh pravil je določenih v kodeksu za upravljanje v javni upravi. Tako kot drugi javni uslužbenci, so uslužbenci urada zavezani k varovanju poklicne skrivnosti in ne smejo uporabljati notranjih informacij v korist svojih zasebnih finančnih interesov. Uslužbenci ne smejo vlagati v delnice in druge vrednostne papirje, če so take naložbe v nasprotju z naravo njihovega dela. Poleg tega jim pravila o nasprotju interesov preprečujejo, da bi bili vpleteni v odločitve, ki bi lahko vplivale na vrednost njihovih naložb. Urad ima vzpostavljene disciplinske postopke za kršitve kadrovskih predpisov in druge razmere, v katerih dejanja uslužbencev ovirajo delovanje ali okrnijo ugled organizacije.</w:t>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SKLEPNE UGOTOVITVE</w:t>
      </w:r>
    </w:p>
    <w:p>
      <w:pPr>
        <w:jc w:val="both"/>
        <w:rPr>
          <w:rFonts w:ascii="Times New Roman" w:hAnsi="Times New Roman" w:cs="Times New Roman"/>
          <w:noProof/>
          <w:sz w:val="24"/>
          <w:szCs w:val="24"/>
        </w:rPr>
      </w:pPr>
      <w:r>
        <w:rPr>
          <w:rFonts w:ascii="Times New Roman" w:hAnsi="Times New Roman"/>
          <w:noProof/>
          <w:sz w:val="24"/>
        </w:rPr>
        <w:t>Na podlagi pridobljenih informacij in opravljene analize Komisija ugotavlja, da je primerno, da se centralni banki in uradu za upravljanje dolga Združenega kraljestva, tj. Bank of England in United Kingdom Debt Management Office, odobri izvzetje iz zahtev uredbe o zlorabi trga, ko Združeno kraljestvo postane tretja država.</w:t>
      </w:r>
    </w:p>
    <w:p>
      <w:pPr>
        <w:jc w:val="both"/>
        <w:rPr>
          <w:rFonts w:ascii="Times New Roman" w:hAnsi="Times New Roman" w:cs="Times New Roman"/>
          <w:noProof/>
          <w:sz w:val="24"/>
          <w:szCs w:val="24"/>
        </w:rPr>
      </w:pPr>
      <w:r>
        <w:rPr>
          <w:rFonts w:ascii="Times New Roman" w:hAnsi="Times New Roman"/>
          <w:noProof/>
          <w:sz w:val="24"/>
        </w:rPr>
        <w:t>Ta ugotovitev ne vpliva na morebitne prihodnje spremembe ob upoštevanju sprememb zakonodaje tretjih držav ali spremenjenih stvarnih okoliščin, zaradi katerih bo morda potreben ponovni pregled seznama izvzetih centralnih bank in uradov za upravljanje dolga tretjih držav.</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361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Uredba (EU) št. 596/2014 Evropskega parlamenta in Sveta z dne 16. aprila 2014 o zlorabi trga (uredba o zlorabi trga) ter razveljavitvi Direktive 2003/6/ES Evropskega parlamenta in Sveta ter direktiv Komisije 2003/124/ES, 2003/125/ES in 2004/72/ES (UL L 173, 12.6.2014, str. 1).</w:t>
      </w:r>
    </w:p>
  </w:footnote>
  <w:footnote w:id="2">
    <w:p>
      <w:pPr>
        <w:pStyle w:val="FootnoteText"/>
      </w:pPr>
      <w:r>
        <w:rPr>
          <w:rStyle w:val="FootnoteReference"/>
        </w:rPr>
        <w:footnoteRef/>
      </w:r>
      <w:r>
        <w:t xml:space="preserve"> </w:t>
      </w:r>
      <w:hyperlink r:id="rId1">
        <w:r>
          <w:rPr>
            <w:rStyle w:val="Hyperlink"/>
          </w:rPr>
          <w:t>https://www.ceps.eu/publications/study-exemptions-third-country-central-banks-and-debt-management-offices-under-mifir</w:t>
        </w:r>
      </w:hyperlink>
      <w:r>
        <w:t xml:space="preserve"> </w:t>
      </w:r>
    </w:p>
  </w:footnote>
  <w:footnote w:id="3">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Poročilo Komisije Evropskemu parlamentu in Svetu „Mednarodna obravnava javnih organov, ki so zadolženi za upravljanje javnega dolga ali pri tem posredujejo, in centralnih bank tretjih držav na podlagi Uredbe (EU) št. 596/2014 o zlorabi trga“ [COM(2015) 647 final].</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Delegirana uredba Komisije (EU) 2016/522 z dne 17. decembra 2015 o dopolnitvi Uredbe (EU) št. 596/2014 Evropskega parlamenta in Sveta v zvezi z izvzetjem nekaterih javnih organov in centralnih bank tretjih držav, kazalniki tržne manipulacije, pragovi za razkritje, pristojnim organom za obveščanje o odložitvah, dovoljenjem za trgovanje v zaprtem obdobju in vrstami poslov vodilnih delavcev, o katerih je treba poročati (UL L 88, 5.4.2016, str. 1).</w:t>
      </w:r>
    </w:p>
  </w:footnote>
  <w:footnote w:id="5">
    <w:p>
      <w:pPr>
        <w:pStyle w:val="FootnoteText"/>
      </w:pPr>
      <w:r>
        <w:rPr>
          <w:rStyle w:val="FootnoteReference"/>
        </w:rPr>
        <w:footnoteRef/>
      </w:r>
      <w:r>
        <w:t xml:space="preserve"> </w:t>
      </w:r>
      <w:hyperlink r:id="rId2">
        <w:r>
          <w:rPr>
            <w:rStyle w:val="Hyperlink"/>
          </w:rPr>
          <w:t>https://www.gov.uk/government/publications/draft-market-abuse-amendment-eu-exit-regulations-2018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2F4"/>
    <w:multiLevelType w:val="hybridMultilevel"/>
    <w:tmpl w:val="89D425A2"/>
    <w:lvl w:ilvl="0" w:tplc="0980BF76">
      <w:start w:val="1"/>
      <w:numFmt w:val="lowerRoman"/>
      <w:lvlText w:val="(%1)"/>
      <w:lvlJc w:val="right"/>
      <w:pPr>
        <w:ind w:left="720" w:hanging="360"/>
      </w:pPr>
      <w:rPr>
        <w:rFonts w:ascii="Times New Roman" w:eastAsiaTheme="minorHAnsi" w:hAnsi="Times New Roman"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77C432A"/>
    <w:multiLevelType w:val="multilevel"/>
    <w:tmpl w:val="45F08D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BCE3F98"/>
    <w:multiLevelType w:val="multilevel"/>
    <w:tmpl w:val="45F08D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1A20AC"/>
    <w:multiLevelType w:val="hybridMultilevel"/>
    <w:tmpl w:val="C31E0122"/>
    <w:lvl w:ilvl="0" w:tplc="C2D0445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2C474B"/>
    <w:multiLevelType w:val="hybridMultilevel"/>
    <w:tmpl w:val="97E82F0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72CA70B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A780E4D"/>
    <w:multiLevelType w:val="hybridMultilevel"/>
    <w:tmpl w:val="1FBE43D2"/>
    <w:lvl w:ilvl="0" w:tplc="2DBC05FC">
      <w:start w:val="1"/>
      <w:numFmt w:val="lowerRoman"/>
      <w:lvlText w:val="(%1)"/>
      <w:lvlJc w:val="right"/>
      <w:pPr>
        <w:ind w:left="720" w:hanging="360"/>
      </w:pPr>
      <w:rPr>
        <w:rFonts w:ascii="Times New Roman" w:eastAsiaTheme="minorHAnsi" w:hAnsi="Times New Roman"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C1C04B2-DBF1-40A6-80B2-797EF526377F"/>
    <w:docVar w:name="LW_COVERPAGE_TYPE" w:val="1"/>
    <w:docVar w:name="LW_CROSSREFERENCE" w:val="&lt;UNUSED&gt;"/>
    <w:docVar w:name="LW_DocType" w:val="NORMAL"/>
    <w:docVar w:name="LW_EMISSION" w:val="30.1.2019"/>
    <w:docVar w:name="LW_EMISSION_ISODATE" w:val="2019-01-30"/>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Izvzetje centralne banke in urada za upravljanje dolga Zdru\u382?enega kraljestva iz uporabe uredbe o zlorabi trga_x000d__x000d__x000d__x000d__x000d__x000d__x000d__x000d__x000b_"/>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7083">
      <w:bodyDiv w:val="1"/>
      <w:marLeft w:val="0"/>
      <w:marRight w:val="0"/>
      <w:marTop w:val="0"/>
      <w:marBottom w:val="0"/>
      <w:divBdr>
        <w:top w:val="none" w:sz="0" w:space="0" w:color="auto"/>
        <w:left w:val="none" w:sz="0" w:space="0" w:color="auto"/>
        <w:bottom w:val="none" w:sz="0" w:space="0" w:color="auto"/>
        <w:right w:val="none" w:sz="0" w:space="0" w:color="auto"/>
      </w:divBdr>
    </w:div>
    <w:div w:id="702171720">
      <w:bodyDiv w:val="1"/>
      <w:marLeft w:val="0"/>
      <w:marRight w:val="0"/>
      <w:marTop w:val="0"/>
      <w:marBottom w:val="0"/>
      <w:divBdr>
        <w:top w:val="none" w:sz="0" w:space="0" w:color="auto"/>
        <w:left w:val="none" w:sz="0" w:space="0" w:color="auto"/>
        <w:bottom w:val="none" w:sz="0" w:space="0" w:color="auto"/>
        <w:right w:val="none" w:sz="0" w:space="0" w:color="auto"/>
      </w:divBdr>
    </w:div>
    <w:div w:id="742488318">
      <w:bodyDiv w:val="1"/>
      <w:marLeft w:val="0"/>
      <w:marRight w:val="0"/>
      <w:marTop w:val="0"/>
      <w:marBottom w:val="0"/>
      <w:divBdr>
        <w:top w:val="none" w:sz="0" w:space="0" w:color="auto"/>
        <w:left w:val="none" w:sz="0" w:space="0" w:color="auto"/>
        <w:bottom w:val="none" w:sz="0" w:space="0" w:color="auto"/>
        <w:right w:val="none" w:sz="0" w:space="0" w:color="auto"/>
      </w:divBdr>
    </w:div>
    <w:div w:id="818426016">
      <w:bodyDiv w:val="1"/>
      <w:marLeft w:val="0"/>
      <w:marRight w:val="0"/>
      <w:marTop w:val="0"/>
      <w:marBottom w:val="0"/>
      <w:divBdr>
        <w:top w:val="none" w:sz="0" w:space="0" w:color="auto"/>
        <w:left w:val="none" w:sz="0" w:space="0" w:color="auto"/>
        <w:bottom w:val="none" w:sz="0" w:space="0" w:color="auto"/>
        <w:right w:val="none" w:sz="0" w:space="0" w:color="auto"/>
      </w:divBdr>
    </w:div>
    <w:div w:id="952635949">
      <w:bodyDiv w:val="1"/>
      <w:marLeft w:val="0"/>
      <w:marRight w:val="0"/>
      <w:marTop w:val="0"/>
      <w:marBottom w:val="0"/>
      <w:divBdr>
        <w:top w:val="none" w:sz="0" w:space="0" w:color="auto"/>
        <w:left w:val="none" w:sz="0" w:space="0" w:color="auto"/>
        <w:bottom w:val="none" w:sz="0" w:space="0" w:color="auto"/>
        <w:right w:val="none" w:sz="0" w:space="0" w:color="auto"/>
      </w:divBdr>
    </w:div>
    <w:div w:id="1015499575">
      <w:bodyDiv w:val="1"/>
      <w:marLeft w:val="0"/>
      <w:marRight w:val="0"/>
      <w:marTop w:val="0"/>
      <w:marBottom w:val="0"/>
      <w:divBdr>
        <w:top w:val="none" w:sz="0" w:space="0" w:color="auto"/>
        <w:left w:val="none" w:sz="0" w:space="0" w:color="auto"/>
        <w:bottom w:val="none" w:sz="0" w:space="0" w:color="auto"/>
        <w:right w:val="none" w:sz="0" w:space="0" w:color="auto"/>
      </w:divBdr>
    </w:div>
    <w:div w:id="1089423914">
      <w:bodyDiv w:val="1"/>
      <w:marLeft w:val="0"/>
      <w:marRight w:val="0"/>
      <w:marTop w:val="0"/>
      <w:marBottom w:val="0"/>
      <w:divBdr>
        <w:top w:val="none" w:sz="0" w:space="0" w:color="auto"/>
        <w:left w:val="none" w:sz="0" w:space="0" w:color="auto"/>
        <w:bottom w:val="none" w:sz="0" w:space="0" w:color="auto"/>
        <w:right w:val="none" w:sz="0" w:space="0" w:color="auto"/>
      </w:divBdr>
    </w:div>
    <w:div w:id="1243369618">
      <w:bodyDiv w:val="1"/>
      <w:marLeft w:val="0"/>
      <w:marRight w:val="0"/>
      <w:marTop w:val="0"/>
      <w:marBottom w:val="0"/>
      <w:divBdr>
        <w:top w:val="none" w:sz="0" w:space="0" w:color="auto"/>
        <w:left w:val="none" w:sz="0" w:space="0" w:color="auto"/>
        <w:bottom w:val="none" w:sz="0" w:space="0" w:color="auto"/>
        <w:right w:val="none" w:sz="0" w:space="0" w:color="auto"/>
      </w:divBdr>
    </w:div>
    <w:div w:id="1455830351">
      <w:bodyDiv w:val="1"/>
      <w:marLeft w:val="0"/>
      <w:marRight w:val="0"/>
      <w:marTop w:val="0"/>
      <w:marBottom w:val="0"/>
      <w:divBdr>
        <w:top w:val="none" w:sz="0" w:space="0" w:color="auto"/>
        <w:left w:val="none" w:sz="0" w:space="0" w:color="auto"/>
        <w:bottom w:val="none" w:sz="0" w:space="0" w:color="auto"/>
        <w:right w:val="none" w:sz="0" w:space="0" w:color="auto"/>
      </w:divBdr>
    </w:div>
    <w:div w:id="1526869530">
      <w:bodyDiv w:val="1"/>
      <w:marLeft w:val="0"/>
      <w:marRight w:val="0"/>
      <w:marTop w:val="0"/>
      <w:marBottom w:val="0"/>
      <w:divBdr>
        <w:top w:val="none" w:sz="0" w:space="0" w:color="auto"/>
        <w:left w:val="none" w:sz="0" w:space="0" w:color="auto"/>
        <w:bottom w:val="none" w:sz="0" w:space="0" w:color="auto"/>
        <w:right w:val="none" w:sz="0" w:space="0" w:color="auto"/>
      </w:divBdr>
    </w:div>
    <w:div w:id="20130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draft-market-abuse-amendment-eu-exit-regulations-2018" TargetMode="External"/><Relationship Id="rId1" Type="http://schemas.openxmlformats.org/officeDocument/2006/relationships/hyperlink" Target="https://www.ceps.eu/publications/study-exemptions-third-country-central-banks-and-debt-management-offices-under-mif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4150765-7FAE-4602-B665-B7BC51F6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1465</Words>
  <Characters>8528</Characters>
  <Application>Microsoft Office Word</Application>
  <DocSecurity>0</DocSecurity>
  <Lines>129</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2018-10-11T07:04:00Z</cp:lastPrinted>
  <dcterms:created xsi:type="dcterms:W3CDTF">2019-01-25T11:21:00Z</dcterms:created>
  <dcterms:modified xsi:type="dcterms:W3CDTF">2019-01-29T18:02:00Z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