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EBFA5E-5699-49C0-8A0C-8C936A3D193F" style="width:450.6pt;height:393.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color w:val="000000"/>
          <w:u w:color="000000"/>
          <w:bdr w:val="nil"/>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 xml:space="preserve">V souladu s článkem 5 Protokolu o schengenském </w:t>
      </w:r>
      <w:r>
        <w:rPr>
          <w:i/>
          <w:noProof/>
        </w:rPr>
        <w:t>acquis</w:t>
      </w:r>
      <w:r>
        <w:rPr>
          <w:noProof/>
        </w:rPr>
        <w:t xml:space="preserve"> začleněném do rámce Evropské unie, připojeného ke Smlouvě o Evropské unii a ke Smlouvě o založení Evropského společenství, a v souladu s čl. 8 odst. 2 rozhodnutí Rady 2000/365/ES ze dne 29. května 2000 o žádosti Spojeného království Velké Británie a Severního Irska, aby se na ně vztahovala některá ustanovení schengenského </w:t>
      </w:r>
      <w:r>
        <w:rPr>
          <w:i/>
          <w:noProof/>
        </w:rPr>
        <w:t>acquis</w:t>
      </w:r>
      <w:r>
        <w:rPr>
          <w:rStyle w:val="FootnoteReference"/>
          <w:noProof/>
        </w:rPr>
        <w:footnoteReference w:id="1"/>
      </w:r>
      <w:r>
        <w:rPr>
          <w:noProof/>
        </w:rPr>
        <w:t>, se Spojené království účastnilo nařízení Rady (ES) č. 377/2004 ze dne 19. února 2004 o vytvoření sítě styčných úředníků pro přistěhovalectví ve znění nařízení Evropského parlamentu a Rady (EU) č. 493/2011 ze dne 5. dubna 2011.</w:t>
      </w:r>
    </w:p>
    <w:p>
      <w:pPr>
        <w:pBdr>
          <w:top w:val="nil"/>
          <w:left w:val="nil"/>
          <w:bottom w:val="nil"/>
          <w:right w:val="nil"/>
          <w:between w:val="nil"/>
          <w:bar w:val="nil"/>
        </w:pBdr>
        <w:spacing w:before="0" w:after="240"/>
        <w:rPr>
          <w:noProof/>
        </w:rPr>
      </w:pPr>
      <w:r>
        <w:rPr>
          <w:noProof/>
        </w:rPr>
        <w:t>Dne 16. května 2018 Komise navrhla další změnu nařízení č. 377/2004 v podobě přepracovaného znění</w:t>
      </w:r>
      <w:r>
        <w:rPr>
          <w:rStyle w:val="FootnoteReference"/>
          <w:noProof/>
        </w:rPr>
        <w:footnoteReference w:id="2"/>
      </w:r>
      <w:r>
        <w:rPr>
          <w:noProof/>
        </w:rPr>
        <w:t>. Rada obdržela tento návrh ve všech požadovaných jazycích dne 2. července 2018.</w:t>
      </w:r>
    </w:p>
    <w:p>
      <w:pPr>
        <w:pBdr>
          <w:top w:val="nil"/>
          <w:left w:val="nil"/>
          <w:bottom w:val="nil"/>
          <w:right w:val="nil"/>
          <w:between w:val="nil"/>
          <w:bar w:val="nil"/>
        </w:pBdr>
        <w:spacing w:before="0" w:after="240"/>
        <w:rPr>
          <w:noProof/>
        </w:rPr>
      </w:pPr>
      <w:r>
        <w:rPr>
          <w:noProof/>
        </w:rPr>
        <w:t xml:space="preserve">Dne 1. října 2018 v souladu s postupem stanoveným v čl. 5 odst. 2 Protokolu (č. 19) o schengenském </w:t>
      </w:r>
      <w:r>
        <w:rPr>
          <w:i/>
          <w:noProof/>
        </w:rPr>
        <w:t>acquis</w:t>
      </w:r>
      <w:r>
        <w:rPr>
          <w:noProof/>
        </w:rPr>
        <w:t xml:space="preserve"> začleněném do rámce Evropské unie, připojeného ke Smlouvě o Evropské unii a ke Smlouvě o fungování Evropské unie, Spojené království oznámilo předsedovi Rady své přání neúčastnit se návrhu přepracovaného znění ze dne 16. května 2018. V důsledku toho se Spojené království již neúčastní přijímání tohoto návrhu. </w:t>
      </w:r>
    </w:p>
    <w:p>
      <w:pPr>
        <w:pBdr>
          <w:top w:val="nil"/>
          <w:left w:val="nil"/>
          <w:bottom w:val="nil"/>
          <w:right w:val="nil"/>
          <w:between w:val="nil"/>
          <w:bar w:val="nil"/>
        </w:pBdr>
        <w:spacing w:before="0" w:after="240"/>
        <w:rPr>
          <w:noProof/>
        </w:rPr>
      </w:pPr>
      <w:r>
        <w:rPr>
          <w:noProof/>
        </w:rPr>
        <w:t>Vzhledem k tomu, že síťový charakter sítě styčných úředníků pro přistěhovalectví znemožňuje, aby členský stát zůstal součástí této sítě, pokud se na tento členský stát nevztahují pozměněné právní předpisy, které tuto síť zřizují, bude dalším důsledkem výše uvedeného oznámení to, že se Spojené království přestane účastnit sítě styčných úředníků pro přistěhovalectví od data vstupu přepracovaného návrhu týkajícího se této sítě v platnost.</w:t>
      </w:r>
    </w:p>
    <w:p>
      <w:pPr>
        <w:pBdr>
          <w:top w:val="nil"/>
          <w:left w:val="nil"/>
          <w:bottom w:val="nil"/>
          <w:right w:val="nil"/>
          <w:between w:val="nil"/>
          <w:bar w:val="nil"/>
        </w:pBdr>
        <w:spacing w:before="0" w:after="240"/>
        <w:rPr>
          <w:noProof/>
        </w:rPr>
      </w:pPr>
      <w:r>
        <w:rPr>
          <w:noProof/>
        </w:rPr>
        <w:t xml:space="preserve">V souladu s čl. 5 odst. 3 Protokolu (č. 19) o schengenském </w:t>
      </w:r>
      <w:r>
        <w:rPr>
          <w:i/>
          <w:noProof/>
        </w:rPr>
        <w:t>acquis</w:t>
      </w:r>
      <w:r>
        <w:rPr>
          <w:noProof/>
        </w:rPr>
        <w:t xml:space="preserve"> Rada určuje rozsah a podmínky, za nichž se Spojené království přestane účastnit částí schengenského </w:t>
      </w:r>
      <w:r>
        <w:rPr>
          <w:i/>
          <w:noProof/>
        </w:rPr>
        <w:t>acquis</w:t>
      </w:r>
      <w:r>
        <w:rPr>
          <w:noProof/>
        </w:rPr>
        <w:t xml:space="preserve">, kterých se výše uvedené oznámení týká. Rada přijímá rozhodnutí kvalifikovanou většinou na návrh Komise. </w:t>
      </w:r>
    </w:p>
    <w:p>
      <w:pPr>
        <w:pBdr>
          <w:top w:val="nil"/>
          <w:left w:val="nil"/>
          <w:bottom w:val="nil"/>
          <w:right w:val="nil"/>
          <w:between w:val="nil"/>
          <w:bar w:val="nil"/>
        </w:pBdr>
        <w:spacing w:before="0" w:after="240"/>
        <w:rPr>
          <w:noProof/>
        </w:rPr>
      </w:pPr>
      <w:r>
        <w:rPr>
          <w:noProof/>
        </w:rPr>
        <w:t xml:space="preserve">Rozhodnutí Rady podle čl. 5 odst. 3 Protokolu (č. 19) o schengenském </w:t>
      </w:r>
      <w:r>
        <w:rPr>
          <w:i/>
          <w:noProof/>
        </w:rPr>
        <w:t>acquis</w:t>
      </w:r>
      <w:r>
        <w:rPr>
          <w:noProof/>
        </w:rPr>
        <w:t xml:space="preserve"> zohledňuje tato kritéria: potřebu zachovat co nejširší účast oznamujícího členského státu na schengenském </w:t>
      </w:r>
      <w:r>
        <w:rPr>
          <w:i/>
          <w:noProof/>
        </w:rPr>
        <w:t>acquis</w:t>
      </w:r>
      <w:r>
        <w:rPr>
          <w:noProof/>
        </w:rPr>
        <w:t>, aniž by došlo k vážnému narušení jeho praktické funkčnosti, a současně respektovat jeho soudržnost.</w:t>
      </w:r>
    </w:p>
    <w:p>
      <w:pPr>
        <w:pBdr>
          <w:top w:val="nil"/>
          <w:left w:val="nil"/>
          <w:bottom w:val="nil"/>
          <w:right w:val="nil"/>
          <w:between w:val="nil"/>
          <w:bar w:val="nil"/>
        </w:pBdr>
        <w:spacing w:before="0" w:after="240"/>
        <w:rPr>
          <w:noProof/>
        </w:rPr>
      </w:pPr>
      <w:r>
        <w:rPr>
          <w:noProof/>
        </w:rPr>
        <w:t>Návrh přepracovaného znění ze dne 16. května 2018 má za cíl zvýšit koordinaci a optimalizovat využívání styčných úředníků pro přistěhovalectví, včetně nových evropských styčných úředníků vyslaných do třetích zemí, aby se efektivněji reagovalo na priority EU v oblasti migrace.</w:t>
      </w:r>
    </w:p>
    <w:p>
      <w:pPr>
        <w:pBdr>
          <w:top w:val="nil"/>
          <w:left w:val="nil"/>
          <w:bottom w:val="nil"/>
          <w:right w:val="nil"/>
          <w:between w:val="nil"/>
          <w:bar w:val="nil"/>
        </w:pBdr>
        <w:spacing w:before="0" w:after="240"/>
        <w:rPr>
          <w:noProof/>
        </w:rPr>
      </w:pPr>
      <w:r>
        <w:rPr>
          <w:noProof/>
        </w:rPr>
        <w:t xml:space="preserve">Návrh přepracovaného znění ze dne 16. května 2018 sleduje stejné cíle jako nařízení (ES) č. 377/2004 ve znění nařízení (EU) č. 493/2011, jelikož se zaměřuje na posílení spolupráce a koordinace mezi styčnými úředníky pro přistěhovalectví vyslanými do třetích zemí, zejména </w:t>
      </w:r>
      <w:r>
        <w:rPr>
          <w:noProof/>
        </w:rPr>
        <w:lastRenderedPageBreak/>
        <w:t xml:space="preserve">stanovením povinnosti zřídit místní nebo regionální sítě styčných úředníků pro přistěhovalectví, jakož i podporou využívání specializovaného elektronického nástroje pro pravidelnou výměnu informací v rámci místních sítí a zavedením systému podávání zpráv o činnosti sítí styčných úředníků pro přistěhovalectví, aniž by však byla dotčena zvláštní operativní interakce s jinými systémy nebo právními nástroji v rámci schengenského </w:t>
      </w:r>
      <w:r>
        <w:rPr>
          <w:i/>
          <w:noProof/>
        </w:rPr>
        <w:t>acquis</w:t>
      </w:r>
      <w:r>
        <w:rPr>
          <w:noProof/>
        </w:rPr>
        <w:t>.</w:t>
      </w:r>
    </w:p>
    <w:p>
      <w:pPr>
        <w:pBdr>
          <w:top w:val="nil"/>
          <w:left w:val="nil"/>
          <w:bottom w:val="nil"/>
          <w:right w:val="nil"/>
          <w:between w:val="nil"/>
          <w:bar w:val="nil"/>
        </w:pBdr>
        <w:spacing w:before="0" w:after="240"/>
        <w:rPr>
          <w:noProof/>
        </w:rPr>
      </w:pPr>
      <w:r>
        <w:rPr>
          <w:noProof/>
        </w:rPr>
        <w:t xml:space="preserve">Z povahy návrhu přepracovaného znění ze dne 16. května 2018, jakož i ze stávajícího nařízení (ES) č. 377/2004 ve znění nařízení (EU) č. 493/2011 vyplývá, že představují samostatné opatření v rámci schengenského </w:t>
      </w:r>
      <w:r>
        <w:rPr>
          <w:i/>
          <w:noProof/>
        </w:rPr>
        <w:t>acquis</w:t>
      </w:r>
      <w:r>
        <w:rPr>
          <w:noProof/>
        </w:rPr>
        <w:t xml:space="preserve">, které není v operativní interakci s jinými právními nástroji, jež jsou součástí schengenského </w:t>
      </w:r>
      <w:r>
        <w:rPr>
          <w:i/>
          <w:noProof/>
        </w:rPr>
        <w:t>acquis</w:t>
      </w:r>
      <w:r>
        <w:rPr>
          <w:noProof/>
        </w:rPr>
        <w:t xml:space="preserve">. </w:t>
      </w:r>
    </w:p>
    <w:p>
      <w:pPr>
        <w:pBdr>
          <w:top w:val="nil"/>
          <w:left w:val="nil"/>
          <w:bottom w:val="nil"/>
          <w:right w:val="nil"/>
          <w:between w:val="nil"/>
          <w:bar w:val="nil"/>
        </w:pBdr>
        <w:spacing w:before="0" w:after="240"/>
        <w:rPr>
          <w:noProof/>
        </w:rPr>
      </w:pPr>
      <w:r>
        <w:rPr>
          <w:noProof/>
        </w:rPr>
        <w:t xml:space="preserve">Proto lze v tomto velmi výjimečném případě mít za to, že i přes ukončení účasti Spojeného království na nařízení (ES) č. 377/2004 ve znění nařízení (EU) č. 493/2011 slouží pokračující účast Spojeného království na zbytku schengenského </w:t>
      </w:r>
      <w:r>
        <w:rPr>
          <w:i/>
          <w:noProof/>
        </w:rPr>
        <w:t>acquis</w:t>
      </w:r>
      <w:r>
        <w:rPr>
          <w:noProof/>
        </w:rPr>
        <w:t xml:space="preserve">, jehož se v současné době účastní, k zajištění co nejširší účasti Spojeného království na tomto </w:t>
      </w:r>
      <w:r>
        <w:rPr>
          <w:i/>
          <w:noProof/>
        </w:rPr>
        <w:t>acquis</w:t>
      </w:r>
      <w:r>
        <w:rPr>
          <w:noProof/>
        </w:rPr>
        <w:t xml:space="preserve">, aniž by došlo k vážnému narušení praktické funkčnosti schengenského </w:t>
      </w:r>
      <w:r>
        <w:rPr>
          <w:i/>
          <w:noProof/>
        </w:rPr>
        <w:t>acquis</w:t>
      </w:r>
      <w:r>
        <w:rPr>
          <w:noProof/>
        </w:rPr>
        <w:t>, a současně respektuje jeho soudržnost.</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rPr>
        <w:t xml:space="preserve">Nevztahuje se na tento návrh. </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u w:color="000000"/>
          <w:bdr w:val="nil"/>
        </w:rPr>
      </w:pPr>
      <w:r>
        <w:rPr>
          <w:noProof/>
        </w:rPr>
        <w:t xml:space="preserve">Tento návrh vychází z čl. 5 odst. 3 Protokolu (č. 19) o schengenském </w:t>
      </w:r>
      <w:r>
        <w:rPr>
          <w:i/>
          <w:noProof/>
        </w:rPr>
        <w:t>acquis</w:t>
      </w:r>
      <w:r>
        <w:rPr>
          <w:noProof/>
        </w:rPr>
        <w:t xml:space="preserve"> začleněném do rámce Evropské unie.</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noProof/>
        </w:rPr>
      </w:pPr>
      <w:r>
        <w:rPr>
          <w:noProof/>
        </w:rPr>
        <w:t xml:space="preserve">Nevztahuje se na tento návrh. </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Proporcionalita</w:t>
      </w:r>
    </w:p>
    <w:p>
      <w:pPr>
        <w:pBdr>
          <w:top w:val="nil"/>
          <w:left w:val="nil"/>
          <w:bottom w:val="nil"/>
          <w:right w:val="nil"/>
          <w:between w:val="nil"/>
          <w:bar w:val="nil"/>
        </w:pBdr>
        <w:spacing w:before="0" w:after="240"/>
        <w:rPr>
          <w:noProof/>
        </w:rPr>
      </w:pPr>
      <w:r>
        <w:rPr>
          <w:noProof/>
        </w:rPr>
        <w:t>Nevztahuje se na tento návrh.</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 xml:space="preserve">Protokol (č. 19) o schengenském </w:t>
      </w:r>
      <w:r>
        <w:rPr>
          <w:i/>
          <w:noProof/>
        </w:rPr>
        <w:t>acquis</w:t>
      </w:r>
      <w:r>
        <w:rPr>
          <w:noProof/>
        </w:rPr>
        <w:t xml:space="preserve"> začleněném do rámce Evropské unie stanoví postupy, jimiž se řídí účast Spojeného království na opatřeních vycházejících ze schengenského </w:t>
      </w:r>
      <w:r>
        <w:rPr>
          <w:i/>
          <w:noProof/>
        </w:rPr>
        <w:t>acquis</w:t>
      </w:r>
      <w:r>
        <w:rPr>
          <w:noProof/>
        </w:rPr>
        <w:t>.</w:t>
      </w:r>
    </w:p>
    <w:p>
      <w:pPr>
        <w:pBdr>
          <w:top w:val="nil"/>
          <w:left w:val="nil"/>
          <w:bottom w:val="nil"/>
          <w:right w:val="nil"/>
          <w:between w:val="nil"/>
          <w:bar w:val="nil"/>
        </w:pBdr>
        <w:spacing w:before="0" w:after="240"/>
        <w:rPr>
          <w:noProof/>
        </w:rPr>
      </w:pPr>
      <w:r>
        <w:rPr>
          <w:b/>
          <w:noProof/>
        </w:rPr>
        <w:t>3.</w:t>
      </w:r>
      <w:r>
        <w:rPr>
          <w:noProof/>
        </w:rPr>
        <w:tab/>
      </w:r>
      <w:r>
        <w:rPr>
          <w:b/>
          <w:noProof/>
        </w:rPr>
        <w:t xml:space="preserve">VÝSLEDKY HODNOCENÍ </w:t>
      </w:r>
      <w:r>
        <w:rPr>
          <w:b/>
          <w:i/>
          <w:noProof/>
        </w:rPr>
        <w:t>EX POST</w:t>
      </w:r>
      <w:r>
        <w:rPr>
          <w:b/>
          <w:noProof/>
        </w:rPr>
        <w:t>, KONZULTACÍ SE ZÚČASTNĚNÝMI STRANAMI A POSOUZENÍ DOPADŮ</w:t>
      </w:r>
    </w:p>
    <w:p>
      <w:pPr>
        <w:rPr>
          <w:rFonts w:eastAsia="Arial Unicode MS"/>
          <w:noProof/>
        </w:rPr>
      </w:pPr>
      <w:r>
        <w:rPr>
          <w:noProof/>
        </w:rPr>
        <w:t xml:space="preserve">Vzhledem k povaze a oblasti působnosti tohoto návrhu nejsou nezbytné žádné hodnocení </w:t>
      </w:r>
      <w:r>
        <w:rPr>
          <w:i/>
          <w:noProof/>
        </w:rPr>
        <w:t>ex post</w:t>
      </w:r>
      <w:r>
        <w:rPr>
          <w:noProof/>
        </w:rPr>
        <w:t xml:space="preserve">, konzultace se zúčastněnými stranami ani posouzení dopadů. </w:t>
      </w:r>
      <w:r>
        <w:rPr>
          <w:noProof/>
        </w:rPr>
        <w:tab/>
      </w:r>
    </w:p>
    <w:p>
      <w:pPr>
        <w:pStyle w:val="ManualHeading1"/>
        <w:rPr>
          <w:noProof/>
        </w:rPr>
      </w:pPr>
      <w:r>
        <w:rPr>
          <w:noProof/>
        </w:rPr>
        <w:t>4.</w:t>
      </w:r>
      <w:r>
        <w:rPr>
          <w:noProof/>
        </w:rPr>
        <w:tab/>
        <w:t>ROZPOČTOVÉ DŮSLEDKY</w:t>
      </w:r>
    </w:p>
    <w:p>
      <w:pPr>
        <w:rPr>
          <w:noProof/>
        </w:rPr>
      </w:pPr>
      <w:r>
        <w:rPr>
          <w:noProof/>
        </w:rPr>
        <w:t>Návrh nemá žádné rozpočtové důsledky.</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2019/0011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 xml:space="preserve">o oznámení Spojeného království Velké Británie a Severního Irska, že si již nepřeje účastnit se některých ustanovení schengenského </w:t>
      </w:r>
      <w:r>
        <w:rPr>
          <w:i/>
          <w:noProof/>
        </w:rPr>
        <w:t>acquis</w:t>
      </w:r>
      <w:r>
        <w:rPr>
          <w:noProof/>
        </w:rPr>
        <w:t xml:space="preserve"> obsažených v nařízení Rady (ES) č. 377/2004 ze dne 19. února 2004 o vytvoření sítě styčných úředníků pro přistěhovalectví</w:t>
      </w:r>
      <w:r>
        <w:rPr>
          <w:noProof/>
        </w:rPr>
        <w:br/>
      </w:r>
    </w:p>
    <w:p>
      <w:pPr>
        <w:pStyle w:val="Institutionquiagit"/>
        <w:rPr>
          <w:noProof/>
        </w:rPr>
      </w:pPr>
      <w:r>
        <w:rPr>
          <w:noProof/>
        </w:rPr>
        <w:t>RADA EVROPSKÉ UNIE,</w:t>
      </w:r>
    </w:p>
    <w:p>
      <w:pPr>
        <w:rPr>
          <w:noProof/>
        </w:rPr>
      </w:pPr>
      <w:r>
        <w:rPr>
          <w:noProof/>
        </w:rPr>
        <w:t xml:space="preserve">s ohledem na Smlouvu o Evropské unii, </w:t>
      </w:r>
    </w:p>
    <w:p>
      <w:pPr>
        <w:rPr>
          <w:noProof/>
        </w:rPr>
      </w:pPr>
      <w:r>
        <w:rPr>
          <w:noProof/>
        </w:rPr>
        <w:t xml:space="preserve">s ohledem na Smlouvu o fungování Evropské unie, </w:t>
      </w:r>
    </w:p>
    <w:p>
      <w:pPr>
        <w:rPr>
          <w:noProof/>
        </w:rPr>
      </w:pPr>
      <w:r>
        <w:rPr>
          <w:noProof/>
        </w:rPr>
        <w:t>s ohledem na návrh Evropské komise,</w:t>
      </w:r>
    </w:p>
    <w:p>
      <w:pPr>
        <w:rPr>
          <w:noProof/>
        </w:rPr>
      </w:pPr>
      <w:r>
        <w:rPr>
          <w:noProof/>
        </w:rPr>
        <w:t xml:space="preserve">s ohledem na Protokol (č. 19) o schengenském </w:t>
      </w:r>
      <w:r>
        <w:rPr>
          <w:i/>
          <w:noProof/>
        </w:rPr>
        <w:t>acquis</w:t>
      </w:r>
      <w:r>
        <w:rPr>
          <w:noProof/>
        </w:rPr>
        <w:t xml:space="preserve"> začleněném do rámce Evropské unie (dále jen „schengenský protokol“), připojený ke Smlouvě o Evropské unii a Smlouvě o fungování Evropské unie, a zejména na čl. 5 odst. 3 tohoto protokolu,</w:t>
      </w:r>
    </w:p>
    <w:p>
      <w:pPr>
        <w:rPr>
          <w:noProof/>
        </w:rPr>
      </w:pPr>
      <w:r>
        <w:rPr>
          <w:noProof/>
        </w:rPr>
        <w:t xml:space="preserve">s ohledem na oznámení podle čl. 5 odst. 2 Protokolu (č. 19) o schengenském </w:t>
      </w:r>
      <w:r>
        <w:rPr>
          <w:i/>
          <w:noProof/>
        </w:rPr>
        <w:t>acquis</w:t>
      </w:r>
      <w:r>
        <w:rPr>
          <w:noProof/>
        </w:rPr>
        <w:t xml:space="preserve"> začleněném do rámce Evropské unie, které učinila vláda Spojeného království Velké Británie a Severního Irska dopisem předsedovi Rady ze dne 1. října 2018 o svém přání neúčastnit se návrhu nařízení Evropského parlamentu a Rady o vytvoření evropské sítě styčných úředníků pro přistěhovalectví,</w:t>
      </w:r>
      <w:r>
        <w:rPr>
          <w:rStyle w:val="FootnoteReference"/>
          <w:noProof/>
        </w:rPr>
        <w:t xml:space="preserve"> </w:t>
      </w:r>
      <w:r>
        <w:rPr>
          <w:rStyle w:val="FootnoteReference"/>
          <w:noProof/>
        </w:rPr>
        <w:footnoteReference w:id="3"/>
      </w:r>
    </w:p>
    <w:p>
      <w:pPr>
        <w:rPr>
          <w:noProof/>
        </w:rPr>
      </w:pPr>
      <w:r>
        <w:rPr>
          <w:noProof/>
        </w:rPr>
        <w:t>vzhledem k těmto důvodům:</w:t>
      </w:r>
    </w:p>
    <w:p>
      <w:pPr>
        <w:pStyle w:val="ManualConsidrant"/>
        <w:rPr>
          <w:noProof/>
        </w:rPr>
      </w:pPr>
      <w:r>
        <w:t>(1)</w:t>
      </w:r>
      <w:r>
        <w:tab/>
      </w:r>
      <w:r>
        <w:rPr>
          <w:noProof/>
        </w:rPr>
        <w:t>Spojené království se účastnilo nařízení Rady (ES) č. 377/2004</w:t>
      </w:r>
      <w:r>
        <w:rPr>
          <w:rStyle w:val="FootnoteReference"/>
          <w:noProof/>
        </w:rPr>
        <w:footnoteReference w:id="4"/>
      </w:r>
      <w:r>
        <w:rPr>
          <w:noProof/>
        </w:rPr>
        <w:t xml:space="preserve"> ve znění nařízení Evropského parlamentu a Rady (EU) č. 493/2011 ze dne 5. dubna 2011</w:t>
      </w:r>
      <w:r>
        <w:rPr>
          <w:rStyle w:val="FootnoteReference"/>
          <w:noProof/>
        </w:rPr>
        <w:footnoteReference w:id="5"/>
      </w:r>
      <w:r>
        <w:rPr>
          <w:noProof/>
        </w:rPr>
        <w:t>.</w:t>
      </w:r>
    </w:p>
    <w:p>
      <w:pPr>
        <w:pStyle w:val="ManualConsidrant"/>
        <w:rPr>
          <w:noProof/>
        </w:rPr>
      </w:pPr>
      <w:r>
        <w:t>(2)</w:t>
      </w:r>
      <w:r>
        <w:tab/>
      </w:r>
      <w:r>
        <w:rPr>
          <w:noProof/>
        </w:rPr>
        <w:t>Spojené království dne 1. října 2018 v požadované tříměsíční lhůtě oznámilo předsedovi Rady své přání neúčastnit se přijetí přepracovaného nařízení o vytvoření evropské sítě styčných úředníků pro přistěhovalectví, které Komise navrhla dne 16. května 2018 a které Rada obdržela ve všech požadovaných jazycích dne 2. července 2018.</w:t>
      </w:r>
    </w:p>
    <w:p>
      <w:pPr>
        <w:pStyle w:val="ManualConsidrant"/>
        <w:rPr>
          <w:noProof/>
        </w:rPr>
      </w:pPr>
      <w:r>
        <w:t>(3)</w:t>
      </w:r>
      <w:r>
        <w:tab/>
      </w:r>
      <w:r>
        <w:rPr>
          <w:noProof/>
        </w:rPr>
        <w:t xml:space="preserve">Cílem nařízení (ES) č. 377/2004 je posílit spolupráci mezi styčnými úředníky pro přistěhovalectví vyslanými do třetích zemí, zejména stanovením povinnosti zřídit místní nebo regionální sítě mezi styčnými úředníky pro přistěhovalectví, jakož i podporou využívání specializovaného elektronického nástroje pro pravidelnou výměnu informací v rámci místních sítí a zavedením systému podávání zpráv o činnosti sítí styčných úředníků pro přistěhovalectví, a to prostřednictvím dvouletých </w:t>
      </w:r>
      <w:r>
        <w:rPr>
          <w:noProof/>
        </w:rPr>
        <w:lastRenderedPageBreak/>
        <w:t xml:space="preserve">zpráv předsednictví, aniž by bylo nutné využívání jakýchkoli operačních systémů nebo přímá interakce s jinými právními nástroji, které jsou součástí schengenského </w:t>
      </w:r>
      <w:r>
        <w:rPr>
          <w:i/>
          <w:noProof/>
        </w:rPr>
        <w:t>acquis</w:t>
      </w:r>
      <w:r>
        <w:rPr>
          <w:noProof/>
        </w:rPr>
        <w:t>.</w:t>
      </w:r>
    </w:p>
    <w:p>
      <w:pPr>
        <w:pStyle w:val="ManualConsidrant"/>
        <w:rPr>
          <w:noProof/>
        </w:rPr>
      </w:pPr>
      <w:r>
        <w:t>(4)</w:t>
      </w:r>
      <w:r>
        <w:tab/>
      </w:r>
      <w:r>
        <w:rPr>
          <w:noProof/>
        </w:rPr>
        <w:t xml:space="preserve">Návrh přepracovaného nařízení o vytvoření evropské sítě styčných úředníků pro přistěhovalectví ze dne 16. května 2018, jehož cílem je posílit koordinaci a optimalizovat využívání styčných úředníků pro přistěhovalectví, včetně nových evropských styčných důstojníků vyslaných do třetích zemí, aby se účinněji reagovalo na priority EU v oblasti migrace, se neodchyluje od povahy stávajícího nařízení (ES) č. 377/2004 ve znění nařízení (EU) č. 493/2011, pokud jde o konkrétní interakci s jinými částmi schengenského </w:t>
      </w:r>
      <w:r>
        <w:rPr>
          <w:i/>
          <w:noProof/>
        </w:rPr>
        <w:t>acquis</w:t>
      </w:r>
      <w:r>
        <w:rPr>
          <w:noProof/>
        </w:rPr>
        <w:t>.</w:t>
      </w:r>
    </w:p>
    <w:p>
      <w:pPr>
        <w:pStyle w:val="ManualConsidrant"/>
        <w:rPr>
          <w:noProof/>
        </w:rPr>
      </w:pPr>
      <w:r>
        <w:t>(5)</w:t>
      </w:r>
      <w:r>
        <w:tab/>
      </w:r>
      <w:r>
        <w:rPr>
          <w:noProof/>
        </w:rPr>
        <w:t xml:space="preserve">Návrh přepracovaného znění nařízení o vytvoření evropské sítě styčných úředníků pro přistěhovalectví, stejně jako nařízení (ES) č. 377/2004 ve znění nařízení (EU) č. 493/2011, lze proto považovat za samostatné opatření v rámci schengenského </w:t>
      </w:r>
      <w:r>
        <w:rPr>
          <w:i/>
          <w:noProof/>
        </w:rPr>
        <w:t>acquis</w:t>
      </w:r>
      <w:r>
        <w:rPr>
          <w:noProof/>
        </w:rPr>
        <w:t xml:space="preserve">, které není v operativní interakci s jinými právními nástroji, jež jsou součástí schengenského </w:t>
      </w:r>
      <w:r>
        <w:rPr>
          <w:i/>
          <w:noProof/>
        </w:rPr>
        <w:t>acquis</w:t>
      </w:r>
      <w:r>
        <w:rPr>
          <w:noProof/>
        </w:rPr>
        <w:t>.</w:t>
      </w:r>
    </w:p>
    <w:p>
      <w:pPr>
        <w:pStyle w:val="ManualConsidrant"/>
        <w:rPr>
          <w:noProof/>
        </w:rPr>
      </w:pPr>
      <w:r>
        <w:t>(6)</w:t>
      </w:r>
      <w:r>
        <w:tab/>
      </w:r>
      <w:r>
        <w:rPr>
          <w:noProof/>
        </w:rPr>
        <w:t xml:space="preserve">V tomto výjimečném případě a s ohledem na samostatnou povahu nařízení (ES) č. 377/2004 ve znění nařízení (EU) č. 493/2011 v rámci schengenského </w:t>
      </w:r>
      <w:r>
        <w:rPr>
          <w:i/>
          <w:noProof/>
        </w:rPr>
        <w:t>acquis</w:t>
      </w:r>
      <w:r>
        <w:rPr>
          <w:noProof/>
        </w:rPr>
        <w:t xml:space="preserve"> lze mít za to, že pokud se Spojené království již nebude účastnit tohoto nařízení ani jeho dalších změn, avšak bude se i nadále účastnit stávajícího schengenského </w:t>
      </w:r>
      <w:r>
        <w:rPr>
          <w:i/>
          <w:noProof/>
        </w:rPr>
        <w:t>acquis</w:t>
      </w:r>
      <w:r>
        <w:rPr>
          <w:noProof/>
        </w:rPr>
        <w:t>, jehož se v současné době účastní na základě rozhodnutí Rady 2000/365/ES</w:t>
      </w:r>
      <w:r>
        <w:rPr>
          <w:rStyle w:val="FootnoteReference"/>
          <w:noProof/>
        </w:rPr>
        <w:footnoteReference w:id="6"/>
      </w:r>
      <w:r>
        <w:rPr>
          <w:noProof/>
        </w:rPr>
        <w:t xml:space="preserve">, zajistilo by to co nejširší účast Spojeného království, aniž by došlo k vážnému narušení praktické funkčnosti ostatních částí schengenského </w:t>
      </w:r>
      <w:r>
        <w:rPr>
          <w:i/>
          <w:noProof/>
        </w:rPr>
        <w:t>acquis</w:t>
      </w:r>
      <w:r>
        <w:rPr>
          <w:noProof/>
        </w:rPr>
        <w:t>, a současně by to respektovalo jejich soudržnost.</w:t>
      </w:r>
    </w:p>
    <w:p>
      <w:pPr>
        <w:pStyle w:val="ManualConsidrant"/>
        <w:rPr>
          <w:noProof/>
        </w:rPr>
      </w:pPr>
      <w:r>
        <w:t>(7)</w:t>
      </w:r>
      <w:r>
        <w:tab/>
      </w:r>
      <w:r>
        <w:rPr>
          <w:noProof/>
        </w:rPr>
        <w:t xml:space="preserve">Ustanovení čl. 8 odst. 2 rozhodnutí 2000/365/ES by proto v souladu s čl. 5 odst. 3 Protokolu (č. 19) o schengenském </w:t>
      </w:r>
      <w:r>
        <w:rPr>
          <w:i/>
          <w:noProof/>
        </w:rPr>
        <w:t>acquis</w:t>
      </w:r>
      <w:r>
        <w:rPr>
          <w:noProof/>
        </w:rPr>
        <w:t xml:space="preserve"> začleněném do rámce Evropské unie a od vstupu návrhu přepracovaného znění nařízení (ES) č. 377/2004 v platnost přestalo platit pro Spojené království Velké Británie a Severního Irska, pokud jde o nařízení (ES) č. 377/2004 ve znění nařízení (EU) č. 493/2011 a veškeré další změny tohoto nařízení, včetně návrhu přepracovaného znění nařízení (ES) č. 377/2004. </w:t>
      </w:r>
    </w:p>
    <w:p>
      <w:pPr>
        <w:pStyle w:val="ManualConsidrant"/>
        <w:rPr>
          <w:noProof/>
        </w:rPr>
      </w:pPr>
      <w:r>
        <w:t>(8)</w:t>
      </w:r>
      <w:r>
        <w:tab/>
      </w:r>
      <w:r>
        <w:rPr>
          <w:noProof/>
        </w:rPr>
        <w:t>V důsledku toho by bod 6 přílohy I rozhodnutí Rady 2004/926/ES</w:t>
      </w:r>
      <w:r>
        <w:rPr>
          <w:rStyle w:val="FootnoteReference"/>
          <w:noProof/>
        </w:rPr>
        <w:footnoteReference w:id="7"/>
      </w:r>
      <w:r>
        <w:rPr>
          <w:noProof/>
        </w:rPr>
        <w:t>, pokud jde o nařízení (ES) č. 377/2004, měl v souladu s čl. 5 odst. 3 uvedeného protokolu přestat platit od vstupu navrhovaného přepracovaného znění v platnost,</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Rozhodnutí 2000/365/ES, jakož i bod 6 přílohy I rozhodnutí 2004/926/ES pozbývají platnosti pro Spojené království Velké Británie a Severního Irska, pokud jde o nařízení Rady (ES) č. 377/2004 o vytvoření sítě styčných úředníků pro přistěhovalectví ve znění nařízení (EU) č. 493/2011 a veškeré další změny tohoto nařízení ode dne vstupu navrhovaného přepracovaného znění nařízení Evropského parlamentu a Rady o vytvoření evropské sítě styčných úředníků pro přistěhovalectví v platnost.</w:t>
      </w:r>
    </w:p>
    <w:p>
      <w:pPr>
        <w:pStyle w:val="Titrearticle"/>
        <w:rPr>
          <w:noProof/>
        </w:rPr>
      </w:pPr>
      <w:r>
        <w:rPr>
          <w:noProof/>
        </w:rPr>
        <w:lastRenderedPageBreak/>
        <w:t>Článek 2</w:t>
      </w:r>
    </w:p>
    <w:p>
      <w:pPr>
        <w:keepLines/>
        <w:rPr>
          <w:noProof/>
        </w:rPr>
      </w:pPr>
      <w:r>
        <w:rPr>
          <w:noProof/>
        </w:rPr>
        <w:t xml:space="preserve">Toto rozhodnutí vstupuje v platnost prvním dnem po vyhlášení v </w:t>
      </w:r>
      <w:r>
        <w:rPr>
          <w:i/>
          <w:noProof/>
        </w:rPr>
        <w:t>Úředním věstníku Evropské unie</w:t>
      </w:r>
      <w:r>
        <w:rPr>
          <w:noProof/>
        </w:rPr>
        <w:t>.</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131, 1.6.2000, s. 43.</w:t>
      </w:r>
    </w:p>
  </w:footnote>
  <w:footnote w:id="2">
    <w:p>
      <w:pPr>
        <w:pStyle w:val="FootnoteText"/>
      </w:pPr>
      <w:r>
        <w:rPr>
          <w:rStyle w:val="FootnoteReference"/>
        </w:rPr>
        <w:footnoteRef/>
      </w:r>
      <w:r>
        <w:tab/>
        <w:t>Návrh nařízení Evropského parlamentu a Rady o vytvoření evropské sítě styčných úředníků pro přistěhovalectví (přepracované znění)*, COM(2018) 303 final.</w:t>
      </w:r>
    </w:p>
  </w:footnote>
  <w:footnote w:id="3">
    <w:p>
      <w:pPr>
        <w:pStyle w:val="FootnoteText"/>
      </w:pPr>
      <w:r>
        <w:rPr>
          <w:rStyle w:val="FootnoteReference"/>
        </w:rPr>
        <w:footnoteRef/>
      </w:r>
      <w:r>
        <w:tab/>
        <w:t>COM(2018) 303 final.</w:t>
      </w:r>
    </w:p>
  </w:footnote>
  <w:footnote w:id="4">
    <w:p>
      <w:pPr>
        <w:pStyle w:val="FootnoteText"/>
      </w:pPr>
      <w:r>
        <w:rPr>
          <w:rStyle w:val="FootnoteReference"/>
        </w:rPr>
        <w:footnoteRef/>
      </w:r>
      <w:r>
        <w:tab/>
        <w:t>Nařízení Rady (ES) č. 377/2004 ze dne 19. února 2004 o vytvoření sítě styčných úředníků pro přistěhovalectví (Úř. věst. L 64, 2.3.2004, s. 1).</w:t>
      </w:r>
    </w:p>
  </w:footnote>
  <w:footnote w:id="5">
    <w:p>
      <w:pPr>
        <w:pStyle w:val="FootnoteText"/>
      </w:pPr>
      <w:r>
        <w:rPr>
          <w:rStyle w:val="FootnoteReference"/>
        </w:rPr>
        <w:footnoteRef/>
      </w:r>
      <w:r>
        <w:tab/>
        <w:t>Nařízení Evropského parlamentu a Rady (EU) č. 493/2011 ze dne 5. dubna 2011, kterým se mění nařízení Rady (ES) č. 377/2004 ze dne 19. února 2004 o vytvoření sítě styčných úředníků pro přistěhovalectví (Úř. věst. L 141, 27.5.2011, s. 13).</w:t>
      </w:r>
    </w:p>
  </w:footnote>
  <w:footnote w:id="6">
    <w:p>
      <w:pPr>
        <w:pStyle w:val="FootnoteText"/>
        <w:rPr>
          <w:lang w:val="sk-SK"/>
        </w:rPr>
      </w:pPr>
      <w:r>
        <w:rPr>
          <w:rStyle w:val="FootnoteReference"/>
        </w:rPr>
        <w:footnoteRef/>
      </w:r>
      <w:r>
        <w:tab/>
        <w:t xml:space="preserve">Rozhodnutí Rady 2000/365/ES ze dne 29. května 2000 o žádosti Spojeného království Velké Británie a Severního Irska, aby se na ně vztahovala některá ustanovení schengenského </w:t>
      </w:r>
      <w:r>
        <w:rPr>
          <w:i/>
        </w:rPr>
        <w:t>acquis</w:t>
      </w:r>
      <w:r>
        <w:t xml:space="preserve"> (Úř. věst. L 131, 1.6.2000, s. 43).</w:t>
      </w:r>
    </w:p>
  </w:footnote>
  <w:footnote w:id="7">
    <w:p>
      <w:pPr>
        <w:pStyle w:val="FootnoteText"/>
      </w:pPr>
      <w:r>
        <w:rPr>
          <w:rStyle w:val="FootnoteReference"/>
        </w:rPr>
        <w:footnoteRef/>
      </w:r>
      <w:r>
        <w:tab/>
        <w:t xml:space="preserve">Rozhodnutí Rady 2004/926/ES ze dne 22. prosince 2004 o uvedení v platnost částí schengenského </w:t>
      </w:r>
      <w:r>
        <w:rPr>
          <w:i/>
        </w:rPr>
        <w:t>acquis</w:t>
      </w:r>
      <w:r>
        <w:t xml:space="preserve"> pro Spojené království Velké Británie a Severního Irska (Úř. věst. L 395, 31.12.2004, s.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CB9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28A4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DE1E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ECB7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841F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0674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8D4E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B7326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1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5EBFA5E-5699-49C0-8A0C-8C936A3D193F"/>
    <w:docVar w:name="LW_COVERPAGE_TYPE" w:val="1"/>
    <w:docVar w:name="LW_CROSSREFERENCE" w:val="&lt;UNUSED&gt;"/>
    <w:docVar w:name="LW_DocType" w:val="COM"/>
    <w:docVar w:name="LW_EMISSION" w:val="31.1.2019"/>
    <w:docVar w:name="LW_EMISSION_ISODATE" w:val="2019-01-31"/>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11"/>
    <w:docVar w:name="LW_REF.II.NEW.CP_YEAR" w:val="2019"/>
    <w:docVar w:name="LW_REF.INST.NEW" w:val="COM"/>
    <w:docVar w:name="LW_REF.INST.NEW_ADOPTED" w:val="final"/>
    <w:docVar w:name="LW_REF.INST.NEW_TEXT" w:val="(2019)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oznámení Spojeného království Velké Británie a Severního Irska, \u382?e si ji\u382? nep\u345?eje ú\u269?astnit se n\u283?kterých ustanovení schengenského &lt;FMT:Italic&gt;acquis&lt;/FMT&gt; obsa\u382?ených v na\u345?ízení Rady (ES) \u269?. 377/2004 ze dne 19. února 2004 o vytvo\u345?ení sít\u283? sty\u269?ných ú\u345?edník\u367? pro p\u345?ist\u283?hovalectví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489">
      <w:bodyDiv w:val="1"/>
      <w:marLeft w:val="0"/>
      <w:marRight w:val="0"/>
      <w:marTop w:val="0"/>
      <w:marBottom w:val="0"/>
      <w:divBdr>
        <w:top w:val="none" w:sz="0" w:space="0" w:color="auto"/>
        <w:left w:val="none" w:sz="0" w:space="0" w:color="auto"/>
        <w:bottom w:val="none" w:sz="0" w:space="0" w:color="auto"/>
        <w:right w:val="none" w:sz="0" w:space="0" w:color="auto"/>
      </w:divBdr>
    </w:div>
    <w:div w:id="1993946932">
      <w:bodyDiv w:val="1"/>
      <w:marLeft w:val="0"/>
      <w:marRight w:val="0"/>
      <w:marTop w:val="0"/>
      <w:marBottom w:val="0"/>
      <w:divBdr>
        <w:top w:val="none" w:sz="0" w:space="0" w:color="auto"/>
        <w:left w:val="none" w:sz="0" w:space="0" w:color="auto"/>
        <w:bottom w:val="none" w:sz="0" w:space="0" w:color="auto"/>
        <w:right w:val="none" w:sz="0" w:space="0" w:color="auto"/>
      </w:divBdr>
      <w:divsChild>
        <w:div w:id="500394591">
          <w:marLeft w:val="0"/>
          <w:marRight w:val="0"/>
          <w:marTop w:val="0"/>
          <w:marBottom w:val="0"/>
          <w:divBdr>
            <w:top w:val="none" w:sz="0" w:space="0" w:color="auto"/>
            <w:left w:val="none" w:sz="0" w:space="0" w:color="auto"/>
            <w:bottom w:val="none" w:sz="0" w:space="0" w:color="auto"/>
            <w:right w:val="none" w:sz="0" w:space="0" w:color="auto"/>
          </w:divBdr>
        </w:div>
        <w:div w:id="158487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8BB4-1860-466F-B91B-8F342BE7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1469</Words>
  <Characters>8551</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2018-10-24T15:44:00Z</cp:lastPrinted>
  <dcterms:created xsi:type="dcterms:W3CDTF">2019-01-25T14:40:00Z</dcterms:created>
  <dcterms:modified xsi:type="dcterms:W3CDTF">2019-01-28T10:14:00Z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