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DCBB858-D387-4EFE-A0D4-84C3E7DCA2C3"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color w:val="000000"/>
          <w:u w:color="000000"/>
          <w:bdr w:val="nil"/>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noProof/>
        </w:rPr>
      </w:pPr>
      <w:r>
        <w:rPr>
          <w:noProof/>
        </w:rPr>
        <w:t>I overensstemmelse med artikel 5 i protokol om Schengenreglerne som integreret i Den Europæiske Union, der er knyttet som bilag til traktaten om Den Europæiske Union og traktaten om oprettelse af Det Europæiske Fællesskab, og artikel 8, stk. 2, i Rådets afgørelse 2000/365/EF af 29. maj 2000 om anmodningen fra Det Forenede Kongerige Storbritannien og Nordirland om at deltage i visse bestemmelser i Schengenreglerne</w:t>
      </w:r>
      <w:r>
        <w:rPr>
          <w:rStyle w:val="FootnoteReference"/>
          <w:noProof/>
        </w:rPr>
        <w:footnoteReference w:id="1"/>
      </w:r>
      <w:r>
        <w:rPr>
          <w:noProof/>
        </w:rPr>
        <w:t xml:space="preserve"> deltog Det Forenede Kongerige i Rådets forordning (EF) nr. 377/2004 af 19. februar 2004 om oprettelse af et netværk af indvandringsforbindelsesofficerer som ændret ved Europa-Parlamentets og Rådets forordning (EU) nr. 493/2011 af 5. april 2011.</w:t>
      </w:r>
    </w:p>
    <w:p>
      <w:pPr>
        <w:pBdr>
          <w:top w:val="nil"/>
          <w:left w:val="nil"/>
          <w:bottom w:val="nil"/>
          <w:right w:val="nil"/>
          <w:between w:val="nil"/>
          <w:bar w:val="nil"/>
        </w:pBdr>
        <w:spacing w:before="0" w:after="240"/>
        <w:rPr>
          <w:noProof/>
        </w:rPr>
      </w:pPr>
      <w:r>
        <w:rPr>
          <w:noProof/>
        </w:rPr>
        <w:t>Den 16. maj 2018 foreslog Kommissionen en yderligere ændring af forordning nr. 377/2004 i form af en omarbejdning</w:t>
      </w:r>
      <w:r>
        <w:rPr>
          <w:rStyle w:val="FootnoteReference"/>
          <w:noProof/>
        </w:rPr>
        <w:footnoteReference w:id="2"/>
      </w:r>
      <w:r>
        <w:rPr>
          <w:noProof/>
        </w:rPr>
        <w:t>. Rådet modtog nævnte forslag i alle de nødvendige sprogudgaver den 2. juli 2018.</w:t>
      </w:r>
    </w:p>
    <w:p>
      <w:pPr>
        <w:pBdr>
          <w:top w:val="nil"/>
          <w:left w:val="nil"/>
          <w:bottom w:val="nil"/>
          <w:right w:val="nil"/>
          <w:between w:val="nil"/>
          <w:bar w:val="nil"/>
        </w:pBdr>
        <w:spacing w:before="0" w:after="240"/>
        <w:rPr>
          <w:noProof/>
        </w:rPr>
      </w:pPr>
      <w:r>
        <w:rPr>
          <w:noProof/>
        </w:rPr>
        <w:t xml:space="preserve">I overensstemmelse med proceduren i artikel 5, stk. 2, i protokol (nr. 19) om Schengenreglerne som integreret i Den Europæiske Union, der er knyttet som bilag til traktaten om Den Europæiske Union og til traktaten om Den Europæiske Unions funktionsmåde, meddelte Det Forenede Kongerige den 1. oktober 2018 formanden for Rådet, at det ikke ønsker at deltage i forslaget til omarbejdning af 16. maj 2018. Det Forenede Kongerige deltager følgelig ikke længere i vedtagelsen af dette forslag. </w:t>
      </w:r>
    </w:p>
    <w:p>
      <w:pPr>
        <w:pBdr>
          <w:top w:val="nil"/>
          <w:left w:val="nil"/>
          <w:bottom w:val="nil"/>
          <w:right w:val="nil"/>
          <w:between w:val="nil"/>
          <w:bar w:val="nil"/>
        </w:pBdr>
        <w:spacing w:before="0" w:after="240"/>
        <w:rPr>
          <w:noProof/>
        </w:rPr>
      </w:pPr>
      <w:r>
        <w:rPr>
          <w:noProof/>
        </w:rPr>
        <w:t>Som følge af den netværksmæssige karakter af netværket af indvandringsforbindelsesofficerer kan en medlemsstat ikke fortsat udgøre en del af nævnte netværk, hvis den ændrede lovgivning om dettes oprettelse ikke finder anvendelse på den pågældende medlemsstat; ovennævnte meddelelse vil derfor have den yderligere konsekvens, at Det Forenede Kongerige ophører med at deltage i netværket af indvandringsforbindelsesofficerer fra den dato, hvor forslaget til omarbejdning af lovgivningen vedrørende dette netværk træder i kraft.</w:t>
      </w:r>
    </w:p>
    <w:p>
      <w:pPr>
        <w:pBdr>
          <w:top w:val="nil"/>
          <w:left w:val="nil"/>
          <w:bottom w:val="nil"/>
          <w:right w:val="nil"/>
          <w:between w:val="nil"/>
          <w:bar w:val="nil"/>
        </w:pBdr>
        <w:spacing w:before="0" w:after="240"/>
        <w:rPr>
          <w:noProof/>
        </w:rPr>
      </w:pPr>
      <w:r>
        <w:rPr>
          <w:noProof/>
        </w:rPr>
        <w:t xml:space="preserve">I overensstemmelse med artikel 5, stk. 3, i protokol (nr. 19) om Schengenreglerne fastlægger Rådet, i hvilket omfang og på hvilke betingelser Det Forenede Kongerige ophører med at deltage i de dele af Schengenreglerne, som er berørt af ovennævnte meddelelse. Rådet handler i form af en afgørelse vedtaget med kvalificeret flertal på forslag af Kommissionen. </w:t>
      </w:r>
    </w:p>
    <w:p>
      <w:pPr>
        <w:pBdr>
          <w:top w:val="nil"/>
          <w:left w:val="nil"/>
          <w:bottom w:val="nil"/>
          <w:right w:val="nil"/>
          <w:between w:val="nil"/>
          <w:bar w:val="nil"/>
        </w:pBdr>
        <w:spacing w:before="0" w:after="240"/>
        <w:rPr>
          <w:noProof/>
        </w:rPr>
      </w:pPr>
      <w:r>
        <w:rPr>
          <w:noProof/>
        </w:rPr>
        <w:t>Rådets afgørelse i henhold til artikel 5, stk. 3, i protokol (nr. 19) om Schengenreglerne tager hensyn til følgende kriterier: nødvendigheden af at opretholde den videst mulige deltagelse i Schengenreglerne for den medlemsstat, som har givet meddelelse, uden at det alvorligt berører den praktiske gennemførelse af reglerne, og samtidig med at sammenhængen mellem disses forskellige dele respekteres.</w:t>
      </w:r>
    </w:p>
    <w:p>
      <w:pPr>
        <w:pBdr>
          <w:top w:val="nil"/>
          <w:left w:val="nil"/>
          <w:bottom w:val="nil"/>
          <w:right w:val="nil"/>
          <w:between w:val="nil"/>
          <w:bar w:val="nil"/>
        </w:pBdr>
        <w:spacing w:before="0" w:after="240"/>
        <w:rPr>
          <w:noProof/>
        </w:rPr>
      </w:pPr>
      <w:r>
        <w:rPr>
          <w:noProof/>
        </w:rPr>
        <w:t>Forslaget til omarbejdning af 16. maj 2018 skal styrke koordineringen og optimere anvendelsen af indvandringsforbindelsesofficerer, herunder de nye europæiske forbindelsesofficerer, der er indsat i tredjelande, for at kunne reagere mere effektivt på Unionens prioriteter på migrationsområdet.</w:t>
      </w:r>
    </w:p>
    <w:p>
      <w:pPr>
        <w:pBdr>
          <w:top w:val="nil"/>
          <w:left w:val="nil"/>
          <w:bottom w:val="nil"/>
          <w:right w:val="nil"/>
          <w:between w:val="nil"/>
          <w:bar w:val="nil"/>
        </w:pBdr>
        <w:spacing w:before="0" w:after="240"/>
        <w:rPr>
          <w:noProof/>
        </w:rPr>
      </w:pPr>
      <w:r>
        <w:rPr>
          <w:noProof/>
        </w:rPr>
        <w:lastRenderedPageBreak/>
        <w:t>Forslaget til omarbejdning af 16. maj 2018 har de samme målsætninger som forordning (EF) nr. 377/2004 som ændret ved forordning (EU) nr. 493/2011, idet der fokuseres på et forbedret samarbejde og en forbedret koordinering mellem indvandringsforbindelsesofficerer, der er udsendt til tredjelande, navnlig gennem en forpligtelse til at oprette lokale eller regionale netværk mellem indvandringsforbindelsesofficerer, gennem bestemmelser, som skal fremme anvendelsen af et særligt e-værktøj til regelmæssig udveksling af oplysninger inden for de lokale netværk, og gennem etablering af et system til rapportering om aktiviteter inden for netværk af indvandringsforbindelsesofficerer, uden at der dog kræves noget bestemt operationelt samspil med andre systemer eller retlige instrumenter, som indgår i Schengenreglerne.</w:t>
      </w:r>
    </w:p>
    <w:p>
      <w:pPr>
        <w:pBdr>
          <w:top w:val="nil"/>
          <w:left w:val="nil"/>
          <w:bottom w:val="nil"/>
          <w:right w:val="nil"/>
          <w:between w:val="nil"/>
          <w:bar w:val="nil"/>
        </w:pBdr>
        <w:spacing w:before="0" w:after="240"/>
        <w:rPr>
          <w:noProof/>
        </w:rPr>
      </w:pPr>
      <w:r>
        <w:rPr>
          <w:noProof/>
        </w:rPr>
        <w:t xml:space="preserve">Forslaget til omarbejdning af 16. maj 2018 og den gældende forordning (EF) nr. 377/2004 som ændret ved forordning (EU) nr. 493/2011 er af en sådan art, at de udgør en selvstændig foranstaltning inden for Schengenreglerne uden nogen form for operationelt samspil med andre retlige instrumenter, som indgår i disse regler. </w:t>
      </w:r>
    </w:p>
    <w:p>
      <w:pPr>
        <w:pBdr>
          <w:top w:val="nil"/>
          <w:left w:val="nil"/>
          <w:bottom w:val="nil"/>
          <w:right w:val="nil"/>
          <w:between w:val="nil"/>
          <w:bar w:val="nil"/>
        </w:pBdr>
        <w:spacing w:before="0" w:after="240"/>
        <w:rPr>
          <w:noProof/>
        </w:rPr>
      </w:pPr>
      <w:r>
        <w:rPr>
          <w:noProof/>
        </w:rPr>
        <w:t>Selv om Det Forenede Kongeriges deltagelse i forordning (EF) nr. 377/2004 som ændret ved forordning (EU) nr. 493/2011 ophører, kan Det Forenede Kongeriges fortsatte deltagelse i den øvrige del af de Schengenregler, hvori det på nuværende tidspunkt deltager, derfor i denne helt særlige situation anses for at have til formål at sikre Det Forenede Kongeriges videst mulige deltagelse i sådanne regler, uden at det alvorligt berører den praktiske gennemførelse af Schengenreglerne, og samtidig med at sammenhængen mellem disses forskellige dele respekteres.</w:t>
      </w:r>
    </w:p>
    <w:p>
      <w:pPr>
        <w:pStyle w:val="ManualHeading2"/>
        <w:rPr>
          <w:rFonts w:eastAsia="Arial Unicode MS"/>
          <w:noProof/>
        </w:rPr>
      </w:pPr>
      <w:r>
        <w:rPr>
          <w:noProof/>
          <w:color w:val="000000"/>
          <w:u w:color="000000"/>
          <w:bdr w:val="nil"/>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 xml:space="preserve">Ikke relevant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u w:color="000000"/>
          <w:bdr w:val="nil"/>
        </w:rPr>
      </w:pPr>
      <w:r>
        <w:rPr>
          <w:noProof/>
        </w:rPr>
        <w:t>Dette forslag er baseret på artikel 5, stk. 3, i protokol (nr. 19) om Schengenreglerne som integreret i Den Europæiske Union.</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 xml:space="preserve">Ikke relevant </w:t>
      </w:r>
    </w:p>
    <w:p>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u w:color="000000"/>
          <w:bdr w:val="nil"/>
        </w:rPr>
        <w:t>Proportionalitetsprincippet</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noProof/>
        </w:rPr>
      </w:pPr>
      <w:r>
        <w:rPr>
          <w:noProof/>
        </w:rPr>
        <w:t>I protokol (nr. 19) om Schengenreglerne som integreret i Den Europæiske Union fastsættes proceduren vedrørende Det Forenede Kongeriges deltagelse i foranstaltninger, som bygger på Schengenreglerne.</w:t>
      </w:r>
    </w:p>
    <w:p>
      <w:pPr>
        <w:pBdr>
          <w:top w:val="nil"/>
          <w:left w:val="nil"/>
          <w:bottom w:val="nil"/>
          <w:right w:val="nil"/>
          <w:between w:val="nil"/>
          <w:bar w:val="nil"/>
        </w:pBdr>
        <w:spacing w:before="0" w:after="240"/>
        <w:rPr>
          <w:noProof/>
        </w:rPr>
      </w:pPr>
      <w:r>
        <w:rPr>
          <w:b/>
          <w:noProof/>
        </w:rPr>
        <w:t>3.</w:t>
      </w:r>
      <w:r>
        <w:rPr>
          <w:noProof/>
        </w:rPr>
        <w:tab/>
      </w:r>
      <w:r>
        <w:rPr>
          <w:b/>
          <w:noProof/>
        </w:rPr>
        <w:t>RESULTATER AF EFTERFØLGENDE EVALUERINGER, HØRINGER AF INTERESSEREDE PARTER OG KONSEKVENSANALYSER</w:t>
      </w:r>
    </w:p>
    <w:p>
      <w:pPr>
        <w:rPr>
          <w:rFonts w:eastAsia="Arial Unicode MS"/>
          <w:noProof/>
        </w:rPr>
      </w:pPr>
      <w:r>
        <w:rPr>
          <w:noProof/>
        </w:rPr>
        <w:t>På grund af dette forslags art og anvendelsesområde er en efterfølgende evaluering, en høring af interesserede parter eller en konsekvensanalyse ikke påkrævet.</w:t>
      </w:r>
      <w:r>
        <w:rPr>
          <w:noProof/>
        </w:rPr>
        <w:tab/>
      </w:r>
    </w:p>
    <w:p>
      <w:pPr>
        <w:pStyle w:val="ManualHeading1"/>
        <w:rPr>
          <w:noProof/>
        </w:rPr>
      </w:pPr>
      <w:r>
        <w:rPr>
          <w:noProof/>
        </w:rPr>
        <w:t>4.</w:t>
      </w:r>
      <w:r>
        <w:rPr>
          <w:noProof/>
        </w:rPr>
        <w:tab/>
        <w:t>VIRKNINGER FOR BUDGETTET</w:t>
      </w:r>
    </w:p>
    <w:p>
      <w:pPr>
        <w:rPr>
          <w:noProof/>
        </w:rPr>
      </w:pPr>
      <w:r>
        <w:rPr>
          <w:noProof/>
        </w:rPr>
        <w:t>Forslaget har ingen virkninger for budgettet.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meddelelse fra Det Forenede Kongerige Storbritannien og Nordirland om, at det ikke længere ønsker at deltage i visse bestemmelser i Schengenreglerne som fastsat i Rådets forordning (EF) nr. 377/2004 af 19. februar 2004 om oprettelse af et netværk af indvandringsforbindelsesofficerer</w:t>
      </w:r>
      <w:r>
        <w:rPr>
          <w:noProof/>
        </w:rPr>
        <w:br/>
      </w:r>
    </w:p>
    <w:p>
      <w:pPr>
        <w:pStyle w:val="Institutionquiagit"/>
        <w:rPr>
          <w:noProof/>
        </w:rPr>
      </w:pPr>
      <w:r>
        <w:rPr>
          <w:noProof/>
        </w:rPr>
        <w:t>RÅDET FOR DEN EUROPÆISKE UNION HAR —</w:t>
      </w:r>
    </w:p>
    <w:p>
      <w:pPr>
        <w:rPr>
          <w:noProof/>
        </w:rPr>
      </w:pPr>
      <w:r>
        <w:rPr>
          <w:noProof/>
        </w:rPr>
        <w:t xml:space="preserve">under henvisning til traktaten om Den Europæiske Union, </w:t>
      </w:r>
    </w:p>
    <w:p>
      <w:pPr>
        <w:rPr>
          <w:noProof/>
        </w:rPr>
      </w:pPr>
      <w:r>
        <w:rPr>
          <w:noProof/>
        </w:rPr>
        <w:t xml:space="preserve">under henvisning til traktaten om Den Europæiske Unions funktionsmåde, </w:t>
      </w:r>
    </w:p>
    <w:p>
      <w:pPr>
        <w:rPr>
          <w:noProof/>
        </w:rPr>
      </w:pPr>
      <w:r>
        <w:rPr>
          <w:noProof/>
        </w:rPr>
        <w:t>under henvisning til forslag fra Europa-Kommissionen,</w:t>
      </w:r>
    </w:p>
    <w:p>
      <w:pPr>
        <w:rPr>
          <w:noProof/>
        </w:rPr>
      </w:pPr>
      <w:r>
        <w:rPr>
          <w:noProof/>
        </w:rPr>
        <w:t>under henvisning til protokol (nr. 19) om Schengenreglerne som integreret i Den Europæiske Union, der er knyttet som bilag til traktaten om Den Europæiske Union og til traktaten om Den Europæiske Unions funktionsmåde, særlig artikel 5, stk. 3,</w:t>
      </w:r>
    </w:p>
    <w:p>
      <w:pPr>
        <w:rPr>
          <w:noProof/>
        </w:rPr>
      </w:pPr>
      <w:r>
        <w:rPr>
          <w:noProof/>
        </w:rPr>
        <w:t>under henvisning til meddelelse i henhold til artikel 5, stk. 2, i protokol (nr. 19) om Schengenreglerne som integreret i Den Europæiske Union i form af skrivelse fra regeringen for Det Forenede Kongerige Storbritannien og Nordirland af 1. oktober 2018 til formanden for Rådet om, at Det Forenede Kongerige Storbritannien og Nordirland ikke ønsker at deltage i forslag til Europa-Parlamentets og Rådets forordning om oprettelse af et europæisk netværk af indvandringsforbindelsesofficerer, og</w:t>
      </w:r>
      <w:r>
        <w:rPr>
          <w:rStyle w:val="FootnoteReference"/>
          <w:noProof/>
        </w:rPr>
        <w:t xml:space="preserve"> </w:t>
      </w:r>
      <w:r>
        <w:rPr>
          <w:rStyle w:val="FootnoteReference"/>
          <w:noProof/>
        </w:rPr>
        <w:footnoteReference w:id="3"/>
      </w:r>
    </w:p>
    <w:p>
      <w:pPr>
        <w:rPr>
          <w:noProof/>
        </w:rPr>
      </w:pPr>
      <w:r>
        <w:rPr>
          <w:noProof/>
        </w:rPr>
        <w:t>ud fra følgende betragtninger:</w:t>
      </w:r>
    </w:p>
    <w:p>
      <w:pPr>
        <w:pStyle w:val="ManualConsidrant"/>
        <w:rPr>
          <w:noProof/>
        </w:rPr>
      </w:pPr>
      <w:r>
        <w:t>(1)</w:t>
      </w:r>
      <w:r>
        <w:tab/>
      </w:r>
      <w:r>
        <w:rPr>
          <w:noProof/>
        </w:rPr>
        <w:t>Det Forenede Kongerige deltog i Rådets forordning (EF) nr. 377/2004</w:t>
      </w:r>
      <w:r>
        <w:rPr>
          <w:rStyle w:val="FootnoteReference"/>
          <w:noProof/>
        </w:rPr>
        <w:footnoteReference w:id="4"/>
      </w:r>
      <w:r>
        <w:rPr>
          <w:noProof/>
        </w:rPr>
        <w:t xml:space="preserve"> som ændret ved Europa-Parlamentets og Rådets forordning (EU) nr. 493/2011 af 5. april 2011</w:t>
      </w:r>
      <w:r>
        <w:rPr>
          <w:rStyle w:val="FootnoteReference"/>
          <w:noProof/>
        </w:rPr>
        <w:footnoteReference w:id="5"/>
      </w:r>
      <w:r>
        <w:rPr>
          <w:noProof/>
        </w:rPr>
        <w:t>.</w:t>
      </w:r>
    </w:p>
    <w:p>
      <w:pPr>
        <w:pStyle w:val="ManualConsidrant"/>
        <w:rPr>
          <w:noProof/>
        </w:rPr>
      </w:pPr>
      <w:r>
        <w:t>(2)</w:t>
      </w:r>
      <w:r>
        <w:tab/>
      </w:r>
      <w:r>
        <w:rPr>
          <w:noProof/>
        </w:rPr>
        <w:t>Den 1. oktober 2018 meddelte Det Forenede Kongerige inden for den påkrævede frist på tre måneder formanden for Rådet, at det ikke ønsker at deltage i vedtagelsen af det forslag til omarbejdet forordning om oprettelse af et europæisk netværk af indvandringsforbindelsesofficerer, som Kommissionen fremsatte den 16. maj 2018, og som Rådet modtog i alle de nødvendige sprogudgaver den 2. juli 2018.</w:t>
      </w:r>
    </w:p>
    <w:p>
      <w:pPr>
        <w:pStyle w:val="ManualConsidrant"/>
        <w:rPr>
          <w:noProof/>
        </w:rPr>
      </w:pPr>
      <w:r>
        <w:t>(3)</w:t>
      </w:r>
      <w:r>
        <w:tab/>
      </w:r>
      <w:r>
        <w:rPr>
          <w:noProof/>
        </w:rPr>
        <w:t>Forordning (EF) nr. 377/2004 har til formål at forbedre samarbejdet mellem indvandringsforbindelsesofficerer, der er udsendt til tredjelande, navnlig gennem en forpligtelse til at oprette lokale eller regionale netværk mellem indvandringsforbindelsesofficerer, gennem bestemmelser, som skal fremme anvendelsen af et særligt e-værktøj til regelmæssig udveksling af oplysninger inden for de lokale netværk, og gennem etablering af et system til rapportering om aktiviteter inden for netværk af indvandringsforbindelsesofficerer i form af halvårlige rapporter til formandskabet, uden at der kræves anvendelse af operationelle systemer eller direkte samspil med bestemmelser i andre retlige instrumenter, som indgår i Schengenreglerne.</w:t>
      </w:r>
    </w:p>
    <w:p>
      <w:pPr>
        <w:pStyle w:val="ManualConsidrant"/>
        <w:rPr>
          <w:noProof/>
        </w:rPr>
      </w:pPr>
      <w:r>
        <w:t>(4)</w:t>
      </w:r>
      <w:r>
        <w:tab/>
      </w:r>
      <w:r>
        <w:rPr>
          <w:noProof/>
        </w:rPr>
        <w:t>Forslaget af 16. maj 2018 til omarbejdet forordning om oprettelse af et europæisk netværk af indvandringsforbindelsesofficerer har til formål at øge koordinationen og optimere anvendelsen af indvandringsforbindelsesofficerer, herunder de nye europæiske forbindelsesofficerer, der er indsat i tredjelande, for at kunne reagere mere effektivt på Unionens prioriteter på migrationsområdet; samtidig er det, får så vidt angår dets konkrete samspil med andre dele af Schengenreglerne, som sådan ikke forskelligt fra den nuværende forordning (EF) nr. 377/2004 som ændret ved forordning (EU) nr. 493/2011.</w:t>
      </w:r>
    </w:p>
    <w:p>
      <w:pPr>
        <w:pStyle w:val="ManualConsidrant"/>
        <w:rPr>
          <w:noProof/>
        </w:rPr>
      </w:pPr>
      <w:r>
        <w:t>(5)</w:t>
      </w:r>
      <w:r>
        <w:tab/>
      </w:r>
      <w:r>
        <w:rPr>
          <w:noProof/>
        </w:rPr>
        <w:t>Forslaget til omarbejdet forordning om oprettelse af et europæisk netværk af indvandringsforbindelsesofficerer kan derfor lige som forordning (EF) nr. 377/2004 som ændret ved forordning (EU) nr. 493/2011 anses for en selvstændig foranstaltning inden for Schengenreglerne uden nogen form for operationelt samspil med andre retlige instrumenter, som indgår i disse regler.</w:t>
      </w:r>
    </w:p>
    <w:p>
      <w:pPr>
        <w:pStyle w:val="ManualConsidrant"/>
        <w:rPr>
          <w:noProof/>
        </w:rPr>
      </w:pPr>
      <w:r>
        <w:t>(6)</w:t>
      </w:r>
      <w:r>
        <w:tab/>
      </w:r>
      <w:r>
        <w:rPr>
          <w:noProof/>
        </w:rPr>
        <w:t>I denne særlige situation og i lyset af den selvstændige status, som forordning (EF) nr. 377/2004 som ændret ved forordning (EU) nr. 493/2011 har inden for Schengenreglerne, kan der anlægges den betragtning, at det vil sikre Det Forenede Kongeriges videst mulige deltagelse i Schengenreglerne, uden at det alvorligt berører den praktiske gennemførelse af de andre dele af disse regler, og samtidig med at sammenhængen mellem reglernes forskellige dele respekteres, hvis Det Forenede Kongerige ikke længere deltager i denne forordning eller senere ændringer heraf, men fortsat deltager i den øvrige del af de Schengenregler, hvori det på nuværende tidspunkt deltager i henhold til Rådets afgørelse 2000/365/EF</w:t>
      </w:r>
      <w:r>
        <w:rPr>
          <w:rStyle w:val="FootnoteReference"/>
          <w:noProof/>
        </w:rPr>
        <w:footnoteReference w:id="6"/>
      </w:r>
      <w:r>
        <w:rPr>
          <w:noProof/>
        </w:rPr>
        <w:t>.</w:t>
      </w:r>
    </w:p>
    <w:p>
      <w:pPr>
        <w:pStyle w:val="ManualConsidrant"/>
        <w:rPr>
          <w:noProof/>
        </w:rPr>
      </w:pPr>
      <w:r>
        <w:t>(7)</w:t>
      </w:r>
      <w:r>
        <w:tab/>
      </w:r>
      <w:r>
        <w:rPr>
          <w:noProof/>
        </w:rPr>
        <w:t xml:space="preserve">I overensstemmelse med artikel 5, stk. 3, i protokol (nr. 19) om Schengenreglerne som integreret i Den Europæiske Union og med virkning fra den dato, hvor forslaget til en omarbejdning af forordning (EF) nr. 377/2004 træder i kraft, bør artikel 8, stk. 2, i afgørelse 2000/365/EF derfor ophøre med at finde anvendelse på Det Forenede Kongerige Storbritannien og Nordirland for så vidt angår forordning (EF) nr. 377/2004 som ændret ved forordning (EU) nr. 493/2011 og senere ændringer heraf, herunder forslag til en omarbejdning af forordning (EF) nr. 377/2004. </w:t>
      </w:r>
    </w:p>
    <w:p>
      <w:pPr>
        <w:pStyle w:val="ManualConsidrant"/>
        <w:rPr>
          <w:noProof/>
        </w:rPr>
      </w:pPr>
      <w:r>
        <w:t>(8)</w:t>
      </w:r>
      <w:r>
        <w:tab/>
      </w:r>
      <w:r>
        <w:rPr>
          <w:noProof/>
        </w:rPr>
        <w:t>I overensstemmelse med artikel 5, stk. 3, i nævnte protokol bør nr. 6) i bilag I til Rådets afgørelse 2004/926/EF</w:t>
      </w:r>
      <w:r>
        <w:rPr>
          <w:rStyle w:val="FootnoteReference"/>
          <w:noProof/>
        </w:rPr>
        <w:footnoteReference w:id="7"/>
      </w:r>
      <w:r>
        <w:rPr>
          <w:noProof/>
        </w:rPr>
        <w:t xml:space="preserve"> følgelig også ophøre med at finde anvendelse for så vidt angår forordning (EF) nr. 377/2004 fra den dato, hvor forslaget til omarbejdning træder i kraft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Afgørelse 2000/365/EF samt nr. 6) i bilag I til afgørelse 2004/926/EF ophører med at finde anvendelse på Det Forenede Kongerige Storbritannien og Nordirland for så vidt angår Rådets forordning (EF) nr. 377/2004 om oprettelse af et netværk af indvandringsforbindelsesofficerer som ændret ved forordning (EU) nr. 493/2011 og senere ændringer heraf fra den dato, hvor forslaget til omarbejdning af Europa-Parlamentets og Rådets forordning om oprettelse af et europæisk netværk af indvandringsforbindelsesofficerer træder i kraft.</w:t>
      </w:r>
    </w:p>
    <w:p>
      <w:pPr>
        <w:pStyle w:val="Titrearticle"/>
        <w:rPr>
          <w:noProof/>
        </w:rPr>
      </w:pPr>
      <w:r>
        <w:rPr>
          <w:noProof/>
        </w:rPr>
        <w:t>Artikel 2</w:t>
      </w:r>
    </w:p>
    <w:p>
      <w:pPr>
        <w:keepLines/>
        <w:rPr>
          <w:noProof/>
        </w:rPr>
      </w:pPr>
      <w:r>
        <w:rPr>
          <w:noProof/>
        </w:rPr>
        <w:t xml:space="preserve">Denne afgørelse træder i kraft 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131 af 1.6.2000, s. 43.</w:t>
      </w:r>
    </w:p>
  </w:footnote>
  <w:footnote w:id="2">
    <w:p>
      <w:pPr>
        <w:pStyle w:val="FootnoteText"/>
      </w:pPr>
      <w:r>
        <w:rPr>
          <w:rStyle w:val="FootnoteReference"/>
        </w:rPr>
        <w:footnoteRef/>
      </w:r>
      <w:r>
        <w:tab/>
        <w:t>Forslag til Europa-Parlamentets og Rådets forordning om oprettelse af et europæisk netværk af indvandringsforbindelsesofficerer (omarbejdning)* (COM(2018) 303 final).</w:t>
      </w:r>
    </w:p>
  </w:footnote>
  <w:footnote w:id="3">
    <w:p>
      <w:pPr>
        <w:pStyle w:val="FootnoteText"/>
      </w:pPr>
      <w:r>
        <w:rPr>
          <w:rStyle w:val="FootnoteReference"/>
        </w:rPr>
        <w:footnoteRef/>
      </w:r>
      <w:r>
        <w:tab/>
        <w:t>COM(2018) 303 endelig.</w:t>
      </w:r>
    </w:p>
  </w:footnote>
  <w:footnote w:id="4">
    <w:p>
      <w:pPr>
        <w:pStyle w:val="FootnoteText"/>
      </w:pPr>
      <w:r>
        <w:rPr>
          <w:rStyle w:val="FootnoteReference"/>
        </w:rPr>
        <w:footnoteRef/>
      </w:r>
      <w:r>
        <w:tab/>
        <w:t>Rådets forordning (EF) nr. 377/2004 af 19. februar 2004 om oprettelse af et netværk af indvandringsforbindelsesofficerer (EUT L 064 af 2.3.2004, s. 1).</w:t>
      </w:r>
    </w:p>
  </w:footnote>
  <w:footnote w:id="5">
    <w:p>
      <w:pPr>
        <w:pStyle w:val="FootnoteText"/>
      </w:pPr>
      <w:r>
        <w:rPr>
          <w:rStyle w:val="FootnoteReference"/>
        </w:rPr>
        <w:footnoteRef/>
      </w:r>
      <w:r>
        <w:tab/>
        <w:t>Europa-Parlamentets og Rådets forordning (EU) nr. 493/2011 af 5. april 2011 om ændring af Rådets forordning (EF) nr. 377/2004 om oprettelse af et netværk af indvandringsforbindelsesofficerer (EUT L 141 af 27.5.2011, s. 13).</w:t>
      </w:r>
    </w:p>
  </w:footnote>
  <w:footnote w:id="6">
    <w:p>
      <w:pPr>
        <w:pStyle w:val="FootnoteText"/>
        <w:rPr>
          <w:lang w:val="sk-SK"/>
        </w:rPr>
      </w:pPr>
      <w:r>
        <w:rPr>
          <w:rStyle w:val="FootnoteReference"/>
        </w:rPr>
        <w:footnoteRef/>
      </w:r>
      <w:r>
        <w:tab/>
        <w:t>Rådets afgørelse 2000/365/EF af 29. maj 2000 om anmodningen fra Det Forenede Kongerige Storbritannien og Nordirland om at deltage i visse bestemmelser i Schengen-reglerne (EFT L 131 af 1.6.2000, s. 43).</w:t>
      </w:r>
    </w:p>
  </w:footnote>
  <w:footnote w:id="7">
    <w:p>
      <w:pPr>
        <w:pStyle w:val="FootnoteText"/>
      </w:pPr>
      <w:r>
        <w:rPr>
          <w:rStyle w:val="FootnoteReference"/>
        </w:rPr>
        <w:footnoteRef/>
      </w:r>
      <w:r>
        <w:tab/>
        <w:t>Rådets afgørelse 2004/926/EF af 22. december 2004 om iværksættelse af nogle af Schengen-reglerne i Det Forenede Kongerige Storbritannien og Nordirland (EUT L 395 af 31.12.2004, s.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CB9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28A4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DE1E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ECB7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841F5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0674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8D4E7C4"/>
    <w:lvl w:ilvl="0">
      <w:start w:val="1"/>
      <w:numFmt w:val="decimal"/>
      <w:pStyle w:val="ListNumber"/>
      <w:lvlText w:val="%1."/>
      <w:lvlJc w:val="left"/>
      <w:pPr>
        <w:tabs>
          <w:tab w:val="num" w:pos="360"/>
        </w:tabs>
        <w:ind w:left="360" w:hanging="360"/>
      </w:pPr>
    </w:lvl>
  </w:abstractNum>
  <w:abstractNum w:abstractNumId="7">
    <w:nsid w:val="FFFFFF89"/>
    <w:multiLevelType w:val="singleLevel"/>
    <w:tmpl w:val="B7326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ETTE Anne (HOME)">
    <w15:presenceInfo w15:providerId="None" w15:userId="BARETTE Anne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1:17: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1DCBB858-D387-4EFE-A0D4-84C3E7DCA2C3"/>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11"/>
    <w:docVar w:name="LW_REF.II.NEW.CP_YEAR" w:val="2019"/>
    <w:docVar w:name="LW_REF.INST.NEW" w:val="COM"/>
    <w:docVar w:name="LW_REF.INST.NEW_ADOPTED" w:val="final"/>
    <w:docVar w:name="LW_REF.INST.NEW_TEXT" w:val="(2019) 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meddelelse fra Det Forenede Kongerige Storbritannien og Nordirland om, at det ikke længere ønsker at deltage i visse bestemmelser i Schengenreglerne som fastsat i Rådets forordning (EF) nr. 377/2004 af 19. februar 2004 om oprettelse af et netværk af indvandringsforbindelsesofficerer_x000b_"/>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489">
      <w:bodyDiv w:val="1"/>
      <w:marLeft w:val="0"/>
      <w:marRight w:val="0"/>
      <w:marTop w:val="0"/>
      <w:marBottom w:val="0"/>
      <w:divBdr>
        <w:top w:val="none" w:sz="0" w:space="0" w:color="auto"/>
        <w:left w:val="none" w:sz="0" w:space="0" w:color="auto"/>
        <w:bottom w:val="none" w:sz="0" w:space="0" w:color="auto"/>
        <w:right w:val="none" w:sz="0" w:space="0" w:color="auto"/>
      </w:divBdr>
    </w:div>
    <w:div w:id="1993946932">
      <w:bodyDiv w:val="1"/>
      <w:marLeft w:val="0"/>
      <w:marRight w:val="0"/>
      <w:marTop w:val="0"/>
      <w:marBottom w:val="0"/>
      <w:divBdr>
        <w:top w:val="none" w:sz="0" w:space="0" w:color="auto"/>
        <w:left w:val="none" w:sz="0" w:space="0" w:color="auto"/>
        <w:bottom w:val="none" w:sz="0" w:space="0" w:color="auto"/>
        <w:right w:val="none" w:sz="0" w:space="0" w:color="auto"/>
      </w:divBdr>
      <w:divsChild>
        <w:div w:id="500394591">
          <w:marLeft w:val="0"/>
          <w:marRight w:val="0"/>
          <w:marTop w:val="0"/>
          <w:marBottom w:val="0"/>
          <w:divBdr>
            <w:top w:val="none" w:sz="0" w:space="0" w:color="auto"/>
            <w:left w:val="none" w:sz="0" w:space="0" w:color="auto"/>
            <w:bottom w:val="none" w:sz="0" w:space="0" w:color="auto"/>
            <w:right w:val="none" w:sz="0" w:space="0" w:color="auto"/>
          </w:divBdr>
        </w:div>
        <w:div w:id="158487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B236-399D-48A5-ADFF-5D962AE4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1649</Words>
  <Characters>9894</Characters>
  <Application>Microsoft Office Word</Application>
  <DocSecurity>0</DocSecurity>
  <Lines>170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2018-10-24T15:44:00Z</cp:lastPrinted>
  <dcterms:created xsi:type="dcterms:W3CDTF">2019-01-28T08:01:00Z</dcterms:created>
  <dcterms:modified xsi:type="dcterms:W3CDTF">2019-01-28T10:17:00Z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