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F807289E-E487-4CB3-AFF5-002ECF546BF4" style="width:451.25pt;height:464.6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DŮVODOVÁ ZPRÁVA</w:t>
      </w:r>
    </w:p>
    <w:p>
      <w:pPr>
        <w:pStyle w:val="ManualHeading1"/>
        <w:rPr>
          <w:noProof/>
        </w:rPr>
      </w:pPr>
      <w:r>
        <w:rPr>
          <w:noProof/>
        </w:rPr>
        <w:t>1.</w:t>
      </w:r>
      <w:r>
        <w:rPr>
          <w:noProof/>
        </w:rPr>
        <w:tab/>
        <w:t>SOUVISLOSTI NÁVRHU</w:t>
      </w:r>
    </w:p>
    <w:p>
      <w:pPr>
        <w:pStyle w:val="ManualHeading2"/>
        <w:rPr>
          <w:rFonts w:eastAsia="Arial Unicode MS"/>
          <w:noProof/>
        </w:rPr>
      </w:pPr>
      <w:r>
        <w:rPr>
          <w:noProof/>
          <w:color w:val="000000"/>
          <w:u w:color="000000"/>
          <w:bdr w:val="nil"/>
        </w:rPr>
        <w:t>•</w:t>
      </w:r>
      <w:r>
        <w:rPr>
          <w:noProof/>
        </w:rPr>
        <w:tab/>
        <w:t>Odůvodnění a cíle návrhu</w:t>
      </w:r>
    </w:p>
    <w:p>
      <w:pPr>
        <w:pBdr>
          <w:top w:val="nil"/>
          <w:left w:val="nil"/>
          <w:bottom w:val="nil"/>
          <w:right w:val="nil"/>
          <w:between w:val="nil"/>
          <w:bar w:val="nil"/>
        </w:pBdr>
        <w:spacing w:before="0" w:after="240"/>
        <w:ind w:left="720"/>
        <w:rPr>
          <w:noProof/>
        </w:rPr>
      </w:pPr>
      <w:r>
        <w:rPr>
          <w:noProof/>
        </w:rPr>
        <w:t>Cílem předlohy rozhodnutí Smíšeného výboru EHP (připojeného k navrhovanému rozhodnutí Rady) je změnit přílohu IX (Finanční služby) Dohody o EHP tak, aby do ní bylo začleněno nařízení o trzích finančních nástrojů (MiFIR) a směrnice o trzích finančních nástrojů (MiFID II)</w:t>
      </w:r>
      <w:r>
        <w:rPr>
          <w:rStyle w:val="FootnoteReference"/>
          <w:noProof/>
        </w:rPr>
        <w:footnoteReference w:id="1"/>
      </w:r>
      <w:r>
        <w:rPr>
          <w:noProof/>
        </w:rPr>
        <w:t xml:space="preserve">. </w:t>
      </w:r>
    </w:p>
    <w:p>
      <w:pPr>
        <w:pStyle w:val="Text1"/>
        <w:ind w:left="720"/>
        <w:rPr>
          <w:noProof/>
        </w:rPr>
      </w:pPr>
      <w:r>
        <w:rPr>
          <w:noProof/>
        </w:rPr>
        <w:t>Úpravy uvedené v předlohách připojených rozhodnutí Smíšeného výboru EHP překračují rámec úprav, které lze považovat za úpravy pouze technické povahy ve smyslu nařízení Rady č. 2894/94. Postoj Unie proto zaujme Rada.</w:t>
      </w:r>
    </w:p>
    <w:p>
      <w:pPr>
        <w:pStyle w:val="ManualHeading2"/>
        <w:rPr>
          <w:rFonts w:eastAsia="Arial Unicode MS"/>
          <w:noProof/>
          <w:color w:val="000000"/>
          <w:u w:color="000000"/>
          <w:bdr w:val="nil"/>
        </w:rPr>
      </w:pPr>
      <w:r>
        <w:rPr>
          <w:noProof/>
          <w:color w:val="000000"/>
          <w:u w:color="000000"/>
          <w:bdr w:val="nil"/>
        </w:rPr>
        <w:t>•</w:t>
      </w:r>
      <w:r>
        <w:rPr>
          <w:noProof/>
        </w:rPr>
        <w:tab/>
        <w:t>Soulad s platnými předpisy v této oblasti politiky</w:t>
      </w:r>
    </w:p>
    <w:p>
      <w:pPr>
        <w:pStyle w:val="Text1"/>
        <w:ind w:left="720"/>
        <w:rPr>
          <w:rFonts w:eastAsia="Arial Unicode MS"/>
          <w:noProof/>
        </w:rPr>
      </w:pPr>
      <w:r>
        <w:rPr>
          <w:noProof/>
        </w:rPr>
        <w:t>Připojená předloha rozhodnutí Smíšeného výboru EHP rozšiřuje stávající politiku EU na státy ESVO EHP (Norsko, Island a Lichtenštejnsko).</w:t>
      </w:r>
      <w:r>
        <w:t xml:space="preserve"> </w:t>
      </w:r>
    </w:p>
    <w:p>
      <w:pPr>
        <w:pStyle w:val="ManualHeading2"/>
        <w:rPr>
          <w:rFonts w:eastAsia="Arial Unicode MS"/>
          <w:noProof/>
        </w:rPr>
      </w:pPr>
      <w:r>
        <w:rPr>
          <w:noProof/>
          <w:color w:val="000000"/>
          <w:u w:color="000000"/>
          <w:bdr w:val="nil"/>
        </w:rPr>
        <w:t>•</w:t>
      </w:r>
      <w:r>
        <w:rPr>
          <w:noProof/>
        </w:rPr>
        <w:tab/>
        <w:t>Soulad s ostatními politikami Unie</w:t>
      </w:r>
    </w:p>
    <w:p>
      <w:pPr>
        <w:pStyle w:val="Text1"/>
        <w:ind w:left="720"/>
        <w:rPr>
          <w:rFonts w:eastAsia="Arial Unicode MS"/>
          <w:noProof/>
        </w:rPr>
      </w:pPr>
      <w:r>
        <w:rPr>
          <w:noProof/>
        </w:rPr>
        <w:t xml:space="preserve">Rozšíření </w:t>
      </w:r>
      <w:r>
        <w:rPr>
          <w:i/>
          <w:noProof/>
        </w:rPr>
        <w:t>acquis</w:t>
      </w:r>
      <w:r>
        <w:rPr>
          <w:noProof/>
        </w:rPr>
        <w:t xml:space="preserve"> EU na státy ESVO EHP jeho začleněním do Dohody o EHP probíhá v souladu s cíli a zásadami uvedené dohody, jejímž cílem je vytvoření dynamického a jednotného Evropského hospodářského prostoru založeného na společných pravidlech a rovných podmínkách hospodářské soutěže. </w:t>
      </w:r>
    </w:p>
    <w:p>
      <w:pPr>
        <w:pStyle w:val="ManualHeading1"/>
        <w:rPr>
          <w:noProof/>
        </w:rPr>
      </w:pPr>
      <w:r>
        <w:rPr>
          <w:noProof/>
        </w:rPr>
        <w:t>2.</w:t>
      </w:r>
      <w:r>
        <w:rPr>
          <w:noProof/>
        </w:rPr>
        <w:tab/>
        <w:t>PRÁVNÍ ZÁKLAD, SUBSIDIARITA A PROPORCIONALITA</w:t>
      </w:r>
    </w:p>
    <w:p>
      <w:pPr>
        <w:pStyle w:val="ManualHeading2"/>
        <w:rPr>
          <w:rFonts w:eastAsia="Arial Unicode MS"/>
          <w:noProof/>
          <w:u w:color="000000"/>
          <w:bdr w:val="nil"/>
        </w:rPr>
      </w:pPr>
      <w:r>
        <w:rPr>
          <w:noProof/>
        </w:rPr>
        <w:t>•</w:t>
      </w:r>
      <w:r>
        <w:rPr>
          <w:noProof/>
        </w:rPr>
        <w:tab/>
        <w:t>Právní základ</w:t>
      </w:r>
    </w:p>
    <w:p>
      <w:pPr>
        <w:pStyle w:val="Text1"/>
        <w:rPr>
          <w:noProof/>
        </w:rPr>
      </w:pPr>
      <w:r>
        <w:rPr>
          <w:noProof/>
        </w:rPr>
        <w:t>Právní předpisy, které mají být začleněny do Dohody o EHP, jsou založeny na článku 114 Smlouvy o fungování Evropské unie.</w:t>
      </w:r>
    </w:p>
    <w:p>
      <w:pPr>
        <w:pStyle w:val="Text1"/>
        <w:rPr>
          <w:noProof/>
        </w:rPr>
      </w:pPr>
      <w:r>
        <w:rPr>
          <w:noProof/>
        </w:rPr>
        <w:t>Podle čl. 1 odst. 3 nařízení Rady (ES) č. 2894/94</w:t>
      </w:r>
      <w:r>
        <w:rPr>
          <w:rStyle w:val="FootnoteReference"/>
          <w:noProof/>
        </w:rPr>
        <w:footnoteReference w:id="2"/>
      </w:r>
      <w:r>
        <w:rPr>
          <w:noProof/>
        </w:rPr>
        <w:t xml:space="preserve"> o některých prováděcích pravidlech k Dohodě o EHP zaujímá postoj Unie k takovým rozhodnutím Rada na návrh Komise. </w:t>
      </w:r>
    </w:p>
    <w:p>
      <w:pPr>
        <w:pStyle w:val="Text1"/>
        <w:rPr>
          <w:noProof/>
        </w:rPr>
      </w:pPr>
      <w:r>
        <w:rPr>
          <w:noProof/>
        </w:rPr>
        <w:t>Evropská služba pro vnější činnost spolu s útvary Komise předkládá návrhy rozhodnutí Smíšeného výboru EHP Radě, aby je Rada přijala jako postoj Unie. Evropská služba pro vnější činnost doufá, že je bude moci předložit Smíšenému výboru EHP co nejdříve.</w:t>
      </w:r>
    </w:p>
    <w:p>
      <w:pPr>
        <w:pStyle w:val="ManualHeading2"/>
        <w:rPr>
          <w:rFonts w:eastAsia="Arial Unicode MS"/>
          <w:noProof/>
          <w:u w:color="000000"/>
          <w:bdr w:val="nil"/>
        </w:rPr>
      </w:pPr>
      <w:r>
        <w:rPr>
          <w:noProof/>
        </w:rPr>
        <w:t>•</w:t>
      </w:r>
      <w:r>
        <w:rPr>
          <w:noProof/>
        </w:rPr>
        <w:tab/>
        <w:t xml:space="preserve">Subsidiarita (v případě nevýlučné pravomoci) </w:t>
      </w:r>
    </w:p>
    <w:p>
      <w:pPr>
        <w:pStyle w:val="Text1"/>
        <w:rPr>
          <w:noProof/>
        </w:rPr>
      </w:pPr>
      <w:r>
        <w:rPr>
          <w:noProof/>
        </w:rPr>
        <w:t xml:space="preserve">Návrh je v souladu se zásadou subsidiarity z tohoto důvodu: </w:t>
      </w:r>
    </w:p>
    <w:p>
      <w:pPr>
        <w:pStyle w:val="Text1"/>
        <w:rPr>
          <w:noProof/>
        </w:rPr>
      </w:pPr>
      <w:r>
        <w:rPr>
          <w:noProof/>
        </w:rPr>
        <w:t xml:space="preserve">cíle tohoto návrhu, kterým je zejména zajistit jednotnost vnitřního trhu, nemůže být uspokojivě dosaženo na úrovni členských států, a proto jej může být z důvodu účinků lépe dosaženo na úrovni Unie. </w:t>
      </w:r>
    </w:p>
    <w:p>
      <w:pPr>
        <w:pStyle w:val="Text1"/>
        <w:rPr>
          <w:noProof/>
        </w:rPr>
      </w:pPr>
      <w:r>
        <w:rPr>
          <w:noProof/>
        </w:rPr>
        <w:t xml:space="preserve">Proces začleňování </w:t>
      </w:r>
      <w:r>
        <w:rPr>
          <w:i/>
          <w:noProof/>
        </w:rPr>
        <w:t>acquis</w:t>
      </w:r>
      <w:r>
        <w:rPr>
          <w:noProof/>
        </w:rPr>
        <w:t xml:space="preserve"> EU do Dohody o EHP probíhá v souladu s nařízením Rady (ES) č. 2894/94 ze dne 28. listopadu 1994 o některých prováděcích pravidlech k Dohodě o Evropském hospodářském prostoru, které přijatý přístup potvrzuje. </w:t>
      </w:r>
    </w:p>
    <w:p>
      <w:pPr>
        <w:pStyle w:val="ManualHeading2"/>
        <w:rPr>
          <w:rFonts w:eastAsia="Arial Unicode MS"/>
          <w:noProof/>
          <w:u w:color="000000"/>
          <w:bdr w:val="nil"/>
        </w:rPr>
      </w:pPr>
      <w:r>
        <w:rPr>
          <w:noProof/>
        </w:rPr>
        <w:t>•</w:t>
      </w:r>
      <w:r>
        <w:rPr>
          <w:noProof/>
        </w:rPr>
        <w:tab/>
        <w:t>Proporcionalita</w:t>
      </w:r>
    </w:p>
    <w:p>
      <w:pPr>
        <w:pStyle w:val="Text1"/>
        <w:rPr>
          <w:noProof/>
        </w:rPr>
      </w:pPr>
      <w:r>
        <w:rPr>
          <w:noProof/>
        </w:rPr>
        <w:t>V souladu se zásadou proporcionality nepřekračuje tento návrh rámec toho, co je nezbytné pro dosažení jeho cíle.</w:t>
      </w:r>
    </w:p>
    <w:p>
      <w:pPr>
        <w:pStyle w:val="ManualHeading2"/>
        <w:rPr>
          <w:rFonts w:eastAsia="Arial Unicode MS"/>
          <w:noProof/>
          <w:u w:color="000000"/>
          <w:bdr w:val="nil"/>
        </w:rPr>
      </w:pPr>
      <w:r>
        <w:rPr>
          <w:noProof/>
        </w:rPr>
        <w:t>•</w:t>
      </w:r>
      <w:r>
        <w:rPr>
          <w:noProof/>
        </w:rPr>
        <w:tab/>
        <w:t>Volba nástroje</w:t>
      </w:r>
    </w:p>
    <w:p>
      <w:pPr>
        <w:pStyle w:val="Text1"/>
        <w:rPr>
          <w:noProof/>
        </w:rPr>
      </w:pPr>
      <w:r>
        <w:rPr>
          <w:noProof/>
        </w:rPr>
        <w:t xml:space="preserve">V souladu s článkem 98 Dohody o EHP je zvoleným nástrojem rozhodnutí Smíšeného výboru EHP. Smíšený výbor EHP zajišťuje účinné provádění a fungování Dohody o EHP. Za tímto účelem přijímá rozhodnutí v případech stanovených v Dohodě o EHP. </w:t>
      </w:r>
    </w:p>
    <w:p>
      <w:pPr>
        <w:pStyle w:val="ManualHeading1"/>
        <w:rPr>
          <w:noProof/>
        </w:rPr>
      </w:pPr>
      <w:r>
        <w:rPr>
          <w:noProof/>
        </w:rPr>
        <w:t>3.</w:t>
      </w:r>
      <w:r>
        <w:rPr>
          <w:noProof/>
        </w:rPr>
        <w:tab/>
        <w:t xml:space="preserve">VÝSLEDKY HODNOCENÍ </w:t>
      </w:r>
      <w:r>
        <w:rPr>
          <w:i/>
          <w:noProof/>
        </w:rPr>
        <w:t>EX POST</w:t>
      </w:r>
      <w:r>
        <w:rPr>
          <w:noProof/>
        </w:rPr>
        <w:t>, KONZULTACÍ SE ZÚČASTNĚNÝMI STRANAMI A POSOUZENÍ DOPADŮ</w:t>
      </w:r>
    </w:p>
    <w:p>
      <w:pPr>
        <w:pStyle w:val="ManualHeading2"/>
        <w:rPr>
          <w:rFonts w:eastAsia="Arial Unicode MS"/>
          <w:noProof/>
        </w:rPr>
      </w:pPr>
      <w:r>
        <w:rPr>
          <w:noProof/>
        </w:rPr>
        <w:tab/>
      </w:r>
      <w:r>
        <w:rPr>
          <w:b w:val="0"/>
          <w:noProof/>
        </w:rPr>
        <w:t xml:space="preserve">Nevztahuje se na tento návrh. </w:t>
      </w:r>
    </w:p>
    <w:p>
      <w:pPr>
        <w:pStyle w:val="ManualHeading1"/>
        <w:rPr>
          <w:noProof/>
        </w:rPr>
      </w:pPr>
      <w:r>
        <w:rPr>
          <w:noProof/>
        </w:rPr>
        <w:t>4.</w:t>
      </w:r>
      <w:r>
        <w:rPr>
          <w:noProof/>
        </w:rPr>
        <w:tab/>
        <w:t>ROZPOČTOVÉ DŮSLEDKY</w:t>
      </w:r>
    </w:p>
    <w:p>
      <w:pPr>
        <w:pStyle w:val="Text1"/>
        <w:rPr>
          <w:noProof/>
        </w:rPr>
      </w:pPr>
      <w:r>
        <w:rPr>
          <w:noProof/>
        </w:rPr>
        <w:t>Neočekávají se žádné důsledky pro rozpočet vyplývající ze začlenění výše uvedeného nařízení do Dohody o EHP.</w:t>
      </w:r>
    </w:p>
    <w:p>
      <w:pPr>
        <w:pStyle w:val="ManualHeading1"/>
        <w:rPr>
          <w:noProof/>
        </w:rPr>
      </w:pPr>
      <w:r>
        <w:rPr>
          <w:noProof/>
        </w:rPr>
        <w:t>5.</w:t>
      </w:r>
      <w:r>
        <w:rPr>
          <w:noProof/>
        </w:rPr>
        <w:tab/>
        <w:t>OSTATNÍ PRVKY</w:t>
      </w:r>
    </w:p>
    <w:p>
      <w:pPr>
        <w:pStyle w:val="ManualHeading2"/>
        <w:rPr>
          <w:rFonts w:eastAsia="Arial Unicode MS"/>
          <w:noProof/>
          <w:u w:color="000000"/>
          <w:bdr w:val="nil"/>
        </w:rPr>
      </w:pPr>
      <w:r>
        <w:rPr>
          <w:noProof/>
        </w:rPr>
        <w:t>•</w:t>
      </w:r>
      <w:r>
        <w:rPr>
          <w:noProof/>
        </w:rPr>
        <w:tab/>
        <w:t>Podrobné vysvětlení konkrétních ustanovení návrhu</w:t>
      </w:r>
    </w:p>
    <w:p>
      <w:pPr>
        <w:rPr>
          <w:i/>
          <w:noProof/>
          <w:u w:val="single"/>
        </w:rPr>
      </w:pPr>
      <w:r>
        <w:rPr>
          <w:i/>
          <w:noProof/>
          <w:u w:val="single"/>
        </w:rPr>
        <w:t>Články 11–13, čl. 41 odst. 2 – Obezřetnostní posuzování navrhovaných nabyvatelů, kteří nejsou rezidenty (Společné prohlášení k rozhodnutí Smíšeného výboru) a doložka nejvyšších výhod pro společnosti z EHP (úprava f) ve vztahu k směrnici 2014/65/EU)</w:t>
      </w:r>
    </w:p>
    <w:p>
      <w:pPr>
        <w:rPr>
          <w:noProof/>
        </w:rPr>
      </w:pPr>
      <w:r>
        <w:rPr>
          <w:noProof/>
        </w:rPr>
        <w:t>Dohoda o EHP v zásadě neslouží k regulaci vztahů smluvních stran s třetími zeměmi (viz zejména 16. bod odůvodnění preambule Dohody o EHP). Dohoda o EHP neobsahuje ustanovení o liberalizaci kapitálových toků ani neposkytuje nerezidentům práva týkající se svobody usazování nebo účasti na kapitálu společností (viz články 31 a 34, 40 a 124 Dohody o EHP).</w:t>
      </w:r>
    </w:p>
    <w:p>
      <w:pPr>
        <w:rPr>
          <w:noProof/>
        </w:rPr>
      </w:pPr>
      <w:r>
        <w:rPr>
          <w:noProof/>
        </w:rPr>
        <w:t>Ve společném prohlášení k rozhodnutí Smíšeného výboru se proto uvádí, že smluvní strany sdílejí názor, že začleněním směrnice 2014/65/EU do Dohody o EHP nejsou dotčeny obecně platné vnitrostátní předpisy týkající se prověření přímých zahraničních investic z důvodu bezpečnosti nebo veřejného pořádku.</w:t>
      </w:r>
    </w:p>
    <w:p>
      <w:pPr>
        <w:rPr>
          <w:i/>
          <w:noProof/>
        </w:rPr>
      </w:pPr>
      <w:r>
        <w:rPr>
          <w:noProof/>
        </w:rPr>
        <w:t>Kromě toho se v úpravě f) objasňuje, že se společnostmi ze třetích zemí, které byly schváleny příslušným vnitrostátním nebo odvětvovým orgánem EHP, nesmí být zacházeno příznivěji než se společnostmi z EHP.</w:t>
      </w:r>
      <w:r>
        <w:rPr>
          <w:i/>
          <w:noProof/>
          <w:u w:val="single"/>
        </w:rPr>
        <w:t>Výjimky pro kapitálové nástroje (úprava g) ve vztahu k nařízení (EU) č. 600/2014</w:t>
      </w:r>
      <w:r>
        <w:rPr>
          <w:i/>
          <w:noProof/>
        </w:rPr>
        <w:t>)</w:t>
      </w:r>
    </w:p>
    <w:p>
      <w:pPr>
        <w:rPr>
          <w:noProof/>
        </w:rPr>
      </w:pPr>
      <w:r>
        <w:rPr>
          <w:noProof/>
        </w:rPr>
        <w:t>V čl. 4 odst. 4 nařízení o trzích finančních nástrojů (MiFIR) se stanoví, že orgán ESMA sleduje uplatňování výjimek udělených vnitrostátními nebo odvětvovými orgány a předkládá Komisi výroční zprávu. Jelikož ESMA bude mít také pravomoc sledovat uplatňování výjimek ve státech ESVO EHP, úprava g) bod i) zajistí, aby orgán ESMA rovněž předkládal svou výroční zprávu Kontrolnímu úřadu ESVO, aby mu umožnil vykonávat jeho funkci dohledu podle článku 109 Dohody o EHP.</w:t>
      </w:r>
    </w:p>
    <w:p>
      <w:pPr>
        <w:pBdr>
          <w:top w:val="nil"/>
          <w:left w:val="nil"/>
          <w:bottom w:val="nil"/>
          <w:right w:val="nil"/>
          <w:between w:val="nil"/>
          <w:bar w:val="nil"/>
        </w:pBdr>
        <w:spacing w:before="0" w:after="240"/>
        <w:rPr>
          <w:noProof/>
        </w:rPr>
      </w:pPr>
      <w:r>
        <w:rPr>
          <w:noProof/>
        </w:rPr>
        <w:t>Kromě toho se úpravou g) bodem ii) upravuje datum uzávěrky pro výjimky, které poskytly příslušné vnitrostátní nebo odvětvové orgány států ESVO EHP podle právních předpisů platných před vstupem nařízení MiFIR v platnost a které má orgán ESMA v souladu s čl. 4 odst. 7 nařízení MiFIR do 3. ledna 2019 přezkoumat, aby se zohlednilo datum vstupu nařízení MiFIR v platnost v kontextu EHP.</w:t>
      </w:r>
    </w:p>
    <w:p>
      <w:pPr>
        <w:rPr>
          <w:i/>
          <w:noProof/>
          <w:u w:val="single"/>
        </w:rPr>
      </w:pPr>
      <w:r>
        <w:rPr>
          <w:i/>
          <w:noProof/>
          <w:u w:val="single"/>
        </w:rPr>
        <w:t>Oznámení obchodních systémů, že si nepřejí být vázány (úprava i) ve vztahu k nařízení (EU) č. 600/2014)</w:t>
      </w:r>
    </w:p>
    <w:p>
      <w:pPr>
        <w:rPr>
          <w:noProof/>
        </w:rPr>
      </w:pPr>
      <w:r>
        <w:rPr>
          <w:noProof/>
        </w:rPr>
        <w:t>Podle čl. 36 odst. 5 nařízení MiFIR oznámí obchodní systém orgánu ESMA a svému příslušnému orgánu, že si nepřeje být vázán článkem 36 ve vztahu k derivátům obchodovaným v obchodním systému.</w:t>
      </w:r>
    </w:p>
    <w:p>
      <w:pPr>
        <w:rPr>
          <w:noProof/>
        </w:rPr>
      </w:pPr>
      <w:r>
        <w:rPr>
          <w:noProof/>
        </w:rPr>
        <w:t>Pokud jde o obchodní systémy ve státech ESVO EHP, je příslušným orgánem dohledu, kterému se zasílají tato oznámení, Kontrolní úřad ESVO. Úpravou i) bodem i) se tedy upravuje znění čl. 36 odst. 5 nařízení MiFIR za tímto účelem.</w:t>
      </w:r>
    </w:p>
    <w:p>
      <w:pPr>
        <w:pBdr>
          <w:top w:val="nil"/>
          <w:left w:val="nil"/>
          <w:bottom w:val="nil"/>
          <w:right w:val="nil"/>
          <w:between w:val="nil"/>
          <w:bar w:val="nil"/>
        </w:pBdr>
        <w:spacing w:before="0" w:after="240"/>
        <w:rPr>
          <w:noProof/>
        </w:rPr>
      </w:pPr>
      <w:r>
        <w:rPr>
          <w:noProof/>
        </w:rPr>
        <w:t>Aby byla zajištěna transparentnost informací o rozšířeném vnitřním trhu pro všechny hospodářské subjekty v EHP, úprava i) bod ii) stanoví, že orgán ESMA do seznamu ke zveřejnění zahrne také oznámení doručená Kontrolnímu úřadu ESVO.</w:t>
      </w:r>
    </w:p>
    <w:p>
      <w:pPr>
        <w:rPr>
          <w:i/>
          <w:noProof/>
          <w:u w:val="single"/>
        </w:rPr>
      </w:pPr>
      <w:r>
        <w:rPr>
          <w:i/>
          <w:noProof/>
          <w:u w:val="single"/>
        </w:rPr>
        <w:t>Povinnost poskytovat licence na nové referenční hodnoty (úprava j) ve vztahu k nařízení (EU) č. 600/2014)</w:t>
      </w:r>
    </w:p>
    <w:p>
      <w:pPr>
        <w:rPr>
          <w:noProof/>
        </w:rPr>
      </w:pPr>
      <w:r>
        <w:rPr>
          <w:noProof/>
        </w:rPr>
        <w:t>V souladu s článkem 7 Dohody o EHP jsou pro státy ESVO EHP závazné pouze akty, které byly začleněny do Dohody o EHP. Povinnost poskytovat licence na nové referenční hodnoty vypracované po vstupu nařízení MiFIR v platnost se tudíž může uplatnit pouze ode dne vstupu v platnost rozhodnutí Smíšeného výboru, kterým je toto nařízení začleněno do Dohody o EHP. Úpravou j) bodem i) se za tímto účelem upravuje znění čl. 37 odst. 2 nařízení MiFIR.</w:t>
      </w:r>
    </w:p>
    <w:p>
      <w:pPr>
        <w:pBdr>
          <w:top w:val="nil"/>
          <w:left w:val="nil"/>
          <w:bottom w:val="nil"/>
          <w:right w:val="nil"/>
          <w:between w:val="nil"/>
          <w:bar w:val="nil"/>
        </w:pBdr>
        <w:spacing w:before="0" w:after="240"/>
      </w:pPr>
      <w:r>
        <w:rPr>
          <w:noProof/>
        </w:rPr>
        <w:t>Kromě toho se úpravou j) bodem ii) odkazy na články 101 a 102 SFEU týkající se pravidel hospodářské soutěže upravují na odkazy na články 53 a 54 Dohody o EHP, které tvoří společný referenční rámec mezi smluvními stranami Dohody o EHP.</w:t>
      </w:r>
    </w:p>
    <w:p>
      <w:pPr>
        <w:pBdr>
          <w:top w:val="nil"/>
          <w:left w:val="nil"/>
          <w:bottom w:val="nil"/>
          <w:right w:val="nil"/>
          <w:between w:val="nil"/>
          <w:bar w:val="nil"/>
        </w:pBdr>
        <w:spacing w:before="0" w:after="240"/>
      </w:pP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t>2019/0022 (NLE)</w:t>
      </w:r>
    </w:p>
    <w:p>
      <w:pPr>
        <w:pStyle w:val="Statut"/>
        <w:rPr>
          <w:noProof/>
        </w:rPr>
      </w:pPr>
      <w:r>
        <w:rPr>
          <w:noProof/>
        </w:rPr>
        <w:t>Návrh</w:t>
      </w:r>
    </w:p>
    <w:p>
      <w:pPr>
        <w:pStyle w:val="Typedudocument"/>
        <w:rPr>
          <w:noProof/>
        </w:rPr>
      </w:pPr>
      <w:r>
        <w:rPr>
          <w:noProof/>
        </w:rPr>
        <w:t>ROZHODNUTÍ RADY</w:t>
      </w:r>
    </w:p>
    <w:p>
      <w:pPr>
        <w:pStyle w:val="Titreobjet"/>
        <w:rPr>
          <w:noProof/>
        </w:rPr>
      </w:pPr>
      <w:r>
        <w:rPr>
          <w:noProof/>
        </w:rPr>
        <w:t xml:space="preserve">o postoji, který má být zaujat jménem Evropské unie ve Smíšeném výboru EHP ke změnám přílohy IX (Finanční služby) </w:t>
      </w:r>
      <w:r>
        <w:rPr>
          <w:noProof/>
        </w:rPr>
        <w:br/>
        <w:t>Dohody o EHP</w:t>
      </w:r>
      <w:r>
        <w:rPr>
          <w:noProof/>
        </w:rPr>
        <w:br/>
      </w:r>
      <w:r>
        <w:rPr>
          <w:noProof/>
        </w:rPr>
        <w:br/>
        <w:t>(nařízení o trzích finančních nástrojů (MiFIR) a směrnice o trzích finančních nástrojů (MiFID II))</w:t>
      </w:r>
      <w:r>
        <w:rPr>
          <w:noProof/>
        </w:rPr>
        <w:br/>
      </w:r>
    </w:p>
    <w:p>
      <w:pPr>
        <w:pStyle w:val="IntrtEEE"/>
        <w:rPr>
          <w:noProof/>
        </w:rPr>
      </w:pPr>
      <w:r>
        <w:rPr>
          <w:noProof/>
        </w:rPr>
        <w:t>(Text s významem pro EHP)</w:t>
      </w:r>
    </w:p>
    <w:p>
      <w:pPr>
        <w:pStyle w:val="Institutionquiagit"/>
        <w:rPr>
          <w:noProof/>
        </w:rPr>
      </w:pPr>
      <w:r>
        <w:rPr>
          <w:noProof/>
        </w:rPr>
        <w:t>RADA EVROPSKÉ UNIE,</w:t>
      </w:r>
    </w:p>
    <w:p>
      <w:pPr>
        <w:rPr>
          <w:noProof/>
        </w:rPr>
      </w:pPr>
      <w:r>
        <w:rPr>
          <w:noProof/>
        </w:rPr>
        <w:t>s ohledem na Smlouvu o fungování Evropské unie, a zejména na článek 114 ve spojení s čl. 218 odst. 9 této smlouvy,</w:t>
      </w:r>
    </w:p>
    <w:p>
      <w:pPr>
        <w:rPr>
          <w:noProof/>
        </w:rPr>
      </w:pPr>
      <w:r>
        <w:rPr>
          <w:noProof/>
        </w:rPr>
        <w:t>s ohledem na nařízení Rady (ES) č. 2894/94 ze dne 28. listopadu 1994 o některých prováděcích pravidlech k Dohodě o Evropském hospodářském prostoru</w:t>
      </w:r>
      <w:r>
        <w:rPr>
          <w:rStyle w:val="FootnoteReference"/>
          <w:noProof/>
        </w:rPr>
        <w:footnoteReference w:id="3"/>
      </w:r>
      <w:r>
        <w:rPr>
          <w:noProof/>
        </w:rPr>
        <w:t>, a zejména na čl. 1 odst. 3 uvedeného nařízení,</w:t>
      </w:r>
    </w:p>
    <w:p>
      <w:pPr>
        <w:rPr>
          <w:noProof/>
        </w:rPr>
      </w:pPr>
      <w:r>
        <w:rPr>
          <w:noProof/>
        </w:rPr>
        <w:t>s ohledem na návrh Evropské komise,</w:t>
      </w:r>
    </w:p>
    <w:p>
      <w:pPr>
        <w:rPr>
          <w:noProof/>
        </w:rPr>
      </w:pPr>
      <w:r>
        <w:rPr>
          <w:noProof/>
        </w:rPr>
        <w:t>vzhledem k těmto důvodům:</w:t>
      </w:r>
    </w:p>
    <w:p>
      <w:pPr>
        <w:pStyle w:val="ManualConsidrant"/>
        <w:rPr>
          <w:noProof/>
        </w:rPr>
      </w:pPr>
      <w:r>
        <w:t>(1)</w:t>
      </w:r>
      <w:r>
        <w:tab/>
      </w:r>
      <w:r>
        <w:rPr>
          <w:noProof/>
        </w:rPr>
        <w:t>Dohoda o Evropském hospodářském prostoru</w:t>
      </w:r>
      <w:r>
        <w:rPr>
          <w:rStyle w:val="FootnoteReference"/>
          <w:noProof/>
        </w:rPr>
        <w:footnoteReference w:id="4"/>
      </w:r>
      <w:r>
        <w:rPr>
          <w:noProof/>
        </w:rPr>
        <w:t xml:space="preserve"> (dále jen „Dohoda o EHP“) vstoupila v platnost dne 1. ledna 1994.</w:t>
      </w:r>
    </w:p>
    <w:p>
      <w:pPr>
        <w:pStyle w:val="ManualConsidrant"/>
        <w:rPr>
          <w:noProof/>
        </w:rPr>
      </w:pPr>
      <w:r>
        <w:t>(2)</w:t>
      </w:r>
      <w:r>
        <w:tab/>
      </w:r>
      <w:r>
        <w:rPr>
          <w:noProof/>
        </w:rPr>
        <w:t>Podle článku 98 Dohody o EHP může Smíšený výbor EHP rozhodnout mimo jiné o změně přílohy IX Dohody o EHP, která obsahuje ustanovení o finančních službách.</w:t>
      </w:r>
    </w:p>
    <w:p>
      <w:pPr>
        <w:pStyle w:val="ManualConsidrant"/>
        <w:rPr>
          <w:noProof/>
        </w:rPr>
      </w:pPr>
      <w:r>
        <w:t>(3)</w:t>
      </w:r>
      <w:r>
        <w:tab/>
      </w:r>
      <w:r>
        <w:rPr>
          <w:noProof/>
        </w:rPr>
        <w:t>Nařízení Evropského parlamentu a Rady (EU) č. 600/2014</w:t>
      </w:r>
      <w:r>
        <w:rPr>
          <w:rStyle w:val="FootnoteReference"/>
          <w:noProof/>
        </w:rPr>
        <w:footnoteReference w:id="5"/>
      </w:r>
      <w:r>
        <w:rPr>
          <w:noProof/>
        </w:rPr>
        <w:t xml:space="preserve"> a směrnice Evropského parlamentu a Rady 2014/65/EU</w:t>
      </w:r>
      <w:r>
        <w:rPr>
          <w:rStyle w:val="FootnoteReference"/>
          <w:noProof/>
        </w:rPr>
        <w:footnoteReference w:id="6"/>
      </w:r>
      <w:r>
        <w:rPr>
          <w:noProof/>
        </w:rPr>
        <w:t xml:space="preserve"> by měly být začleněny do Dohody o EHP.</w:t>
      </w:r>
    </w:p>
    <w:p>
      <w:pPr>
        <w:pStyle w:val="ManualConsidrant"/>
        <w:rPr>
          <w:noProof/>
        </w:rPr>
      </w:pPr>
      <w:r>
        <w:t>(4)</w:t>
      </w:r>
      <w:r>
        <w:tab/>
      </w:r>
      <w:r>
        <w:rPr>
          <w:noProof/>
        </w:rPr>
        <w:t xml:space="preserve">Příloha IX Dohody o EHP by proto měla být odpovídajícím způsobem změněna. </w:t>
      </w:r>
    </w:p>
    <w:p>
      <w:pPr>
        <w:pStyle w:val="ManualConsidrant"/>
        <w:rPr>
          <w:noProof/>
        </w:rPr>
      </w:pPr>
      <w:r>
        <w:t>(5)</w:t>
      </w:r>
      <w:r>
        <w:tab/>
      </w:r>
      <w:r>
        <w:rPr>
          <w:noProof/>
        </w:rPr>
        <w:t>Postoj Unie ve Smíšeném výboru EHP by proto měl vycházet z připojené předlohy rozhodnutí,</w:t>
      </w:r>
    </w:p>
    <w:p>
      <w:pPr>
        <w:pStyle w:val="Formuledadoption"/>
        <w:rPr>
          <w:noProof/>
        </w:rPr>
      </w:pPr>
      <w:r>
        <w:rPr>
          <w:noProof/>
        </w:rPr>
        <w:t xml:space="preserve">PŘIJALA TOTO ROZHODNUTÍ: </w:t>
      </w:r>
    </w:p>
    <w:p>
      <w:pPr>
        <w:pStyle w:val="Titrearticle"/>
        <w:rPr>
          <w:noProof/>
        </w:rPr>
      </w:pPr>
      <w:r>
        <w:rPr>
          <w:noProof/>
        </w:rPr>
        <w:t>Článek 1</w:t>
      </w:r>
    </w:p>
    <w:p>
      <w:pPr>
        <w:rPr>
          <w:noProof/>
        </w:rPr>
      </w:pPr>
      <w:r>
        <w:rPr>
          <w:noProof/>
        </w:rPr>
        <w:t>Postoj, který má být zaujat jménem Unie ve Smíšeném výboru EHP k navrhované změně přílohy IX (Finanční služby) Dohody o EHP, vychází z předlohy rozhodnutí Smíšeného výboru EHP připojených k tomuto rozhodnutí.</w:t>
      </w:r>
    </w:p>
    <w:p>
      <w:pPr>
        <w:pStyle w:val="Titrearticle"/>
        <w:keepNext w:val="0"/>
        <w:rPr>
          <w:noProof/>
        </w:rPr>
      </w:pPr>
      <w:r>
        <w:rPr>
          <w:noProof/>
        </w:rPr>
        <w:t>Článek 2</w:t>
      </w:r>
    </w:p>
    <w:p>
      <w:pPr>
        <w:keepLines/>
        <w:rPr>
          <w:noProof/>
        </w:rPr>
      </w:pPr>
      <w:r>
        <w:rPr>
          <w:noProof/>
        </w:rPr>
        <w:t>Toto rozhodnutí vstupuje v platnost dnem přijetí.</w:t>
      </w:r>
    </w:p>
    <w:p>
      <w:pPr>
        <w:keepNext/>
        <w:keepLines/>
        <w:rPr>
          <w:noProof/>
        </w:rPr>
      </w:pPr>
    </w:p>
    <w:p>
      <w:pPr>
        <w:keepNext/>
        <w:keepLines/>
        <w:rPr>
          <w:noProof/>
        </w:rPr>
      </w:pPr>
    </w:p>
    <w:p>
      <w:pPr>
        <w:pStyle w:val="Fait"/>
        <w:rPr>
          <w:noProof/>
        </w:rPr>
      </w:pPr>
      <w:r>
        <w:t>V Bruselu dne</w:t>
      </w:r>
    </w:p>
    <w:p>
      <w:pPr>
        <w:pStyle w:val="Institutionquisigne"/>
        <w:rPr>
          <w:noProof/>
        </w:rPr>
      </w:pPr>
      <w:r>
        <w:rPr>
          <w:noProof/>
        </w:rPr>
        <w:tab/>
        <w:t>Za Radu</w:t>
      </w:r>
    </w:p>
    <w:p>
      <w:pPr>
        <w:pStyle w:val="Personnequisigne"/>
        <w:rPr>
          <w:noProof/>
        </w:rPr>
      </w:pPr>
      <w:r>
        <w:rPr>
          <w:noProof/>
        </w:rPr>
        <w:tab/>
        <w:t>předseda/předsedkyně</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Nařízení Evropského parlamentu a Rady (EU) č. 600/2014 ze dne 15. května 2014 o trzích finančních nástrojů a o změně nařízení (EU) č. 648/2012, ve znění oprav v Úř. věst. L 270, 15.10.2015, s. 4, Úř. věst. L 187, 12.7.2016, s. 30 a Úř. věst. L 278, 27.10.2017, s. 54.</w:t>
      </w:r>
    </w:p>
    <w:p>
      <w:pPr>
        <w:pStyle w:val="FootnoteText"/>
        <w:ind w:firstLine="0"/>
      </w:pPr>
    </w:p>
    <w:p>
      <w:pPr>
        <w:pStyle w:val="FootnoteText"/>
        <w:ind w:firstLine="0"/>
      </w:pPr>
      <w:r>
        <w:t>Směrnice Evropského parlamentu a Rady 2014/65/EU ze dne 15. května 2014 o trzích finančních nástrojů a o změně směrnic 2002/92/ES a 2011/61/EU, ve znění oprav v Úř. věst. L 188, 13.7.2016, s. 28, Úř. věst. L 273, 8.10.2016, s. 35 a Úř. věst. L 64, 10.3.2017, s. 116.</w:t>
      </w:r>
    </w:p>
  </w:footnote>
  <w:footnote w:id="2">
    <w:p>
      <w:pPr>
        <w:pStyle w:val="FootnoteText"/>
        <w:rPr>
          <w:iCs/>
          <w:lang w:val="nn-NO"/>
        </w:rPr>
      </w:pPr>
      <w:r>
        <w:rPr>
          <w:rStyle w:val="FootnoteReference"/>
        </w:rPr>
        <w:footnoteRef/>
      </w:r>
      <w:r>
        <w:tab/>
        <w:t xml:space="preserve">Úř. věst. </w:t>
      </w:r>
      <w:r>
        <w:rPr>
          <w:lang w:val="nn-NO"/>
        </w:rPr>
        <w:t>L 305, 30.11.1994, s. 6.</w:t>
      </w:r>
    </w:p>
  </w:footnote>
  <w:footnote w:id="3">
    <w:p>
      <w:pPr>
        <w:pStyle w:val="FootnoteText"/>
        <w:rPr>
          <w:lang w:val="nn-NO"/>
        </w:rPr>
      </w:pPr>
      <w:r>
        <w:rPr>
          <w:rStyle w:val="FootnoteReference"/>
        </w:rPr>
        <w:footnoteRef/>
      </w:r>
      <w:r>
        <w:rPr>
          <w:lang w:val="nn-NO"/>
        </w:rPr>
        <w:tab/>
        <w:t>Úř. věst. L 305, 30.11.1994, s. 6.</w:t>
      </w:r>
    </w:p>
  </w:footnote>
  <w:footnote w:id="4">
    <w:p>
      <w:pPr>
        <w:pStyle w:val="FootnoteText"/>
        <w:rPr>
          <w:lang w:val="nn-NO"/>
        </w:rPr>
      </w:pPr>
      <w:r>
        <w:rPr>
          <w:rStyle w:val="FootnoteReference"/>
        </w:rPr>
        <w:footnoteRef/>
      </w:r>
      <w:r>
        <w:rPr>
          <w:lang w:val="nn-NO"/>
        </w:rPr>
        <w:tab/>
        <w:t xml:space="preserve">Úř. věst. L 1, 3.1.1994, s. 3. </w:t>
      </w:r>
    </w:p>
  </w:footnote>
  <w:footnote w:id="5">
    <w:p>
      <w:pPr>
        <w:pStyle w:val="FootnoteText"/>
        <w:rPr>
          <w:lang w:val="nn-NO"/>
        </w:rPr>
      </w:pPr>
      <w:r>
        <w:rPr>
          <w:rStyle w:val="FootnoteReference"/>
        </w:rPr>
        <w:footnoteRef/>
      </w:r>
      <w:r>
        <w:rPr>
          <w:lang w:val="nn-NO"/>
        </w:rPr>
        <w:tab/>
        <w:t xml:space="preserve">Nařízení Evropského parlamentu a Rady (EU) č. 600/2014 ze dne 15. května 2014 o trzích finančních nástrojů a o změně nařízení (EU) č. 648/2012, ve znění oprav v Úř. věst. L 270, 15.10.2015, s. 4, Úř. věst. L 187, 12.7.2016, s. 30 a Úř. věst. L 278, 27.10.2017, s. 54. </w:t>
      </w:r>
    </w:p>
  </w:footnote>
  <w:footnote w:id="6">
    <w:p>
      <w:pPr>
        <w:pStyle w:val="FootnoteText"/>
        <w:rPr>
          <w:lang w:val="en-US"/>
        </w:rPr>
      </w:pPr>
      <w:r>
        <w:rPr>
          <w:rStyle w:val="FootnoteReference"/>
        </w:rPr>
        <w:footnoteRef/>
      </w:r>
      <w:r>
        <w:rPr>
          <w:lang w:val="nn-NO"/>
        </w:rPr>
        <w:tab/>
        <w:t xml:space="preserve">Směrnice Evropského parlamentu a Rady 2014/65/EU ze dne 15. května 2014 o trzích finančních nástrojů a o změně směrnic 2002/92/ES a 2011/61/EU, ve znění oprav v Úř. věst. </w:t>
      </w:r>
      <w:r>
        <w:t xml:space="preserve">L 188, 13.7.2016, s. 28, Úř. věst. L 273, 8.10.2016, s. 35 a Úř. věst. L 64, 10.3.2017, s. 116.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57EF42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4261226"/>
    <w:lvl w:ilvl="0">
      <w:start w:val="1"/>
      <w:numFmt w:val="decimal"/>
      <w:pStyle w:val="ListNumber3"/>
      <w:lvlText w:val="%1."/>
      <w:lvlJc w:val="left"/>
      <w:pPr>
        <w:tabs>
          <w:tab w:val="num" w:pos="926"/>
        </w:tabs>
        <w:ind w:left="926" w:hanging="360"/>
      </w:pPr>
    </w:lvl>
  </w:abstractNum>
  <w:abstractNum w:abstractNumId="2">
    <w:nsid w:val="FFFFFF7F"/>
    <w:multiLevelType w:val="singleLevel"/>
    <w:tmpl w:val="88769B2C"/>
    <w:lvl w:ilvl="0">
      <w:start w:val="1"/>
      <w:numFmt w:val="decimal"/>
      <w:pStyle w:val="ListNumber2"/>
      <w:lvlText w:val="%1."/>
      <w:lvlJc w:val="left"/>
      <w:pPr>
        <w:tabs>
          <w:tab w:val="num" w:pos="643"/>
        </w:tabs>
        <w:ind w:left="643" w:hanging="360"/>
      </w:pPr>
    </w:lvl>
  </w:abstractNum>
  <w:abstractNum w:abstractNumId="3">
    <w:nsid w:val="FFFFFF81"/>
    <w:multiLevelType w:val="singleLevel"/>
    <w:tmpl w:val="2198187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148C0D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2426B4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F528E4C"/>
    <w:lvl w:ilvl="0">
      <w:start w:val="1"/>
      <w:numFmt w:val="decimal"/>
      <w:pStyle w:val="ListNumber"/>
      <w:lvlText w:val="%1."/>
      <w:lvlJc w:val="left"/>
      <w:pPr>
        <w:tabs>
          <w:tab w:val="num" w:pos="360"/>
        </w:tabs>
        <w:ind w:left="360" w:hanging="360"/>
      </w:pPr>
    </w:lvl>
  </w:abstractNum>
  <w:abstractNum w:abstractNumId="7">
    <w:nsid w:val="FFFFFF89"/>
    <w:multiLevelType w:val="singleLevel"/>
    <w:tmpl w:val="19AE738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28 13:47:39"/>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6"/>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F807289E-E487-4CB3-AFF5-002ECF546BF4"/>
    <w:docVar w:name="LW_COVERPAGE_TYPE" w:val="1"/>
    <w:docVar w:name="LW_CROSSREFERENCE" w:val="&lt;UNUSED&gt;"/>
    <w:docVar w:name="LW_DocType" w:val="COM"/>
    <w:docVar w:name="LW_EMISSION" w:val="31.1.2019"/>
    <w:docVar w:name="LW_EMISSION_ISODATE" w:val="2019-01-31"/>
    <w:docVar w:name="LW_EMISSION_LOCATION" w:val="BRX"/>
    <w:docVar w:name="LW_EMISSION_PREFIX" w:val="V Bruselu dne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Text s významem pro EHP)"/>
    <w:docVar w:name="LW_LANGUE" w:val="CS"/>
    <w:docVar w:name="LW_LEVEL_OF_SENSITIVITY" w:val="Standard treatment"/>
    <w:docVar w:name="LW_NOM.INST" w:val="EVROPSKÁ KOMISE"/>
    <w:docVar w:name="LW_NOM.INST_JOINTDOC" w:val="&lt;EMPTY&gt;"/>
    <w:docVar w:name="LW_PART_NBR" w:val="1"/>
    <w:docVar w:name="LW_PART_NBR_TOTAL" w:val="1"/>
    <w:docVar w:name="LW_REF.II.NEW.CP" w:val="NLE"/>
    <w:docVar w:name="LW_REF.II.NEW.CP_NUMBER" w:val="0022"/>
    <w:docVar w:name="LW_REF.II.NEW.CP_YEAR" w:val="2019"/>
    <w:docVar w:name="LW_REF.INST.NEW" w:val="COM"/>
    <w:docVar w:name="LW_REF.INST.NEW_ADOPTED" w:val="final"/>
    <w:docVar w:name="LW_REF.INST.NEW_TEXT" w:val="(2019) 3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Návrh"/>
    <w:docVar w:name="LW_SUPERTITRE" w:val="&lt;UNUSED&gt;"/>
    <w:docVar w:name="LW_TITRE.OBJ.CP" w:val="o postoji, který má být zaujat jménem Evropské unie ve Smí\u353?eném výboru EHP ke zm\u283?nám p\u345?ílohy IX (Finan\u269?ní slu\u382?by) _x000b_Dohody o EHP_x000b__x000b_(na\u345?ízení o trzích finan\u269?ních nástroj\u367? (MiFIR) a sm\u283?rnice o trzích finan\u269?ních nástroj\u367? (MiFID II))_x000b_"/>
    <w:docVar w:name="LW_TYPE.DOC.CP" w:val="ROZHODNUTÍ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cs-CZ"/>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cs-CZ"/>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07476">
      <w:bodyDiv w:val="1"/>
      <w:marLeft w:val="0"/>
      <w:marRight w:val="0"/>
      <w:marTop w:val="0"/>
      <w:marBottom w:val="0"/>
      <w:divBdr>
        <w:top w:val="none" w:sz="0" w:space="0" w:color="auto"/>
        <w:left w:val="none" w:sz="0" w:space="0" w:color="auto"/>
        <w:bottom w:val="none" w:sz="0" w:space="0" w:color="auto"/>
        <w:right w:val="none" w:sz="0" w:space="0" w:color="auto"/>
      </w:divBdr>
    </w:div>
    <w:div w:id="1925990825">
      <w:bodyDiv w:val="1"/>
      <w:marLeft w:val="0"/>
      <w:marRight w:val="0"/>
      <w:marTop w:val="0"/>
      <w:marBottom w:val="0"/>
      <w:divBdr>
        <w:top w:val="none" w:sz="0" w:space="0" w:color="auto"/>
        <w:left w:val="none" w:sz="0" w:space="0" w:color="auto"/>
        <w:bottom w:val="none" w:sz="0" w:space="0" w:color="auto"/>
        <w:right w:val="none" w:sz="0" w:space="0" w:color="auto"/>
      </w:divBdr>
    </w:div>
    <w:div w:id="201151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6</Pages>
  <Words>1260</Words>
  <Characters>6873</Characters>
  <Application>Microsoft Office Word</Application>
  <DocSecurity>0</DocSecurity>
  <Lines>146</Lines>
  <Paragraphs>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18</cp:revision>
  <dcterms:created xsi:type="dcterms:W3CDTF">2019-01-24T08:07:00Z</dcterms:created>
  <dcterms:modified xsi:type="dcterms:W3CDTF">2019-01-28T12:47:00Z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